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6300D" w14:textId="77777777" w:rsidR="00EE7AB8" w:rsidRPr="00E53203" w:rsidRDefault="006D1517">
      <w:pPr>
        <w:spacing w:line="360" w:lineRule="auto"/>
        <w:jc w:val="center"/>
        <w:rPr>
          <w:rFonts w:ascii="Times New Roman" w:eastAsia="Times New Roman" w:hAnsi="Times New Roman" w:cs="Times New Roman"/>
        </w:rPr>
      </w:pPr>
      <w:r w:rsidRPr="00E53203">
        <w:rPr>
          <w:rFonts w:ascii="Times New Roman" w:eastAsia="Times New Roman" w:hAnsi="Times New Roman" w:cs="Times New Roman"/>
          <w:b/>
          <w:bCs/>
        </w:rPr>
        <w:t>Physics-Informed Quantum Circuits as Complementary Feature Extractors for Nucleic Acid Thermodynamics</w:t>
      </w:r>
    </w:p>
    <w:p w14:paraId="547E184C"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Anees Ahmed Mahaboob Ali</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Radhakrishnan Delhibabu</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Everette Jacob Remington Nelson</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w:t>
      </w:r>
    </w:p>
    <w:p w14:paraId="0476F095" w14:textId="77777777" w:rsidR="00EE7AB8" w:rsidRPr="00E53203" w:rsidRDefault="006D1517">
      <w:pPr>
        <w:spacing w:line="360" w:lineRule="auto"/>
        <w:rPr>
          <w:rFonts w:ascii="Times New Roman" w:eastAsia="Times New Roman" w:hAnsi="Times New Roman" w:cs="Times New Roman"/>
          <w:i/>
          <w:iCs/>
        </w:rPr>
      </w:pPr>
      <w:r w:rsidRPr="00E53203">
        <w:rPr>
          <w:rFonts w:ascii="Times New Roman" w:eastAsia="Times New Roman" w:hAnsi="Times New Roman" w:cs="Times New Roman"/>
          <w:i/>
          <w:iCs/>
          <w:vertAlign w:val="superscript"/>
        </w:rPr>
        <w:t>1</w:t>
      </w:r>
      <w:r w:rsidRPr="00E53203">
        <w:rPr>
          <w:rFonts w:ascii="Times New Roman" w:eastAsia="Times New Roman" w:hAnsi="Times New Roman" w:cs="Times New Roman"/>
          <w:i/>
          <w:iCs/>
        </w:rPr>
        <w:t>Gene Therapy Laboratory, Department of Integrative Biology, School of Bio Sciences and Technology, Vellore Institute of Technology, Vellore, 632 014, India.</w:t>
      </w:r>
    </w:p>
    <w:p w14:paraId="61F836DB" w14:textId="77777777" w:rsidR="00EE7AB8" w:rsidRPr="00E53203" w:rsidRDefault="006D1517">
      <w:pPr>
        <w:spacing w:line="360" w:lineRule="auto"/>
        <w:rPr>
          <w:rFonts w:ascii="Times New Roman" w:eastAsia="Times New Roman" w:hAnsi="Times New Roman" w:cs="Times New Roman"/>
          <w:i/>
          <w:iCs/>
        </w:rPr>
      </w:pPr>
      <w:r w:rsidRPr="00E53203">
        <w:rPr>
          <w:rFonts w:ascii="Times New Roman" w:eastAsia="Times New Roman" w:hAnsi="Times New Roman" w:cs="Times New Roman"/>
          <w:i/>
          <w:iCs/>
          <w:vertAlign w:val="superscript"/>
        </w:rPr>
        <w:t>2</w:t>
      </w:r>
      <w:r w:rsidRPr="00E53203">
        <w:rPr>
          <w:rFonts w:ascii="Times New Roman" w:eastAsia="Times New Roman" w:hAnsi="Times New Roman" w:cs="Times New Roman"/>
          <w:i/>
          <w:iCs/>
        </w:rPr>
        <w:t>School of Computing Science and Engineering, Vellore Institute of Technology, Vellore, 632 014, India.</w:t>
      </w:r>
    </w:p>
    <w:p w14:paraId="0A5D4847" w14:textId="77777777" w:rsidR="00EE7AB8" w:rsidRPr="00E53203" w:rsidRDefault="006D1517">
      <w:pPr>
        <w:spacing w:line="360" w:lineRule="auto"/>
        <w:rPr>
          <w:rFonts w:ascii="Times New Roman" w:eastAsia="Times New Roman" w:hAnsi="Times New Roman" w:cs="Times New Roman"/>
          <w:i/>
          <w:iCs/>
        </w:rPr>
      </w:pPr>
      <w:r w:rsidRPr="00E53203">
        <w:rPr>
          <w:rFonts w:ascii="Times New Roman" w:eastAsia="Times New Roman" w:hAnsi="Times New Roman" w:cs="Times New Roman"/>
          <w:i/>
          <w:iCs/>
        </w:rPr>
        <w:t>*Corresponding author</w:t>
      </w:r>
    </w:p>
    <w:p w14:paraId="37AA81AB" w14:textId="77777777" w:rsidR="00B80E72" w:rsidRPr="00E53203" w:rsidRDefault="001B3431">
      <w:pPr>
        <w:spacing w:line="360" w:lineRule="auto"/>
        <w:rPr>
          <w:rFonts w:ascii="Times New Roman" w:eastAsia="Times New Roman" w:hAnsi="Times New Roman" w:cs="Times New Roman"/>
        </w:rPr>
      </w:pPr>
      <w:r w:rsidRPr="00E53203">
        <w:rPr>
          <w:rFonts w:ascii="Times New Roman" w:eastAsia="Times New Roman" w:hAnsi="Times New Roman" w:cs="Times New Roman"/>
          <w:vertAlign w:val="superscript"/>
        </w:rPr>
        <w:t>1</w:t>
      </w:r>
      <w:hyperlink r:id="rId8" w:history="1">
        <w:r w:rsidRPr="00E53203">
          <w:rPr>
            <w:rStyle w:val="Hyperlink"/>
            <w:rFonts w:ascii="Times New Roman" w:eastAsia="Times New Roman" w:hAnsi="Times New Roman" w:cs="Times New Roman"/>
          </w:rPr>
          <w:t>everette.nelson@gmail.com</w:t>
        </w:r>
      </w:hyperlink>
      <w:r w:rsidRPr="00E53203">
        <w:rPr>
          <w:rFonts w:ascii="Times New Roman" w:eastAsia="Times New Roman" w:hAnsi="Times New Roman" w:cs="Times New Roman"/>
        </w:rPr>
        <w:t xml:space="preserve"> </w:t>
      </w:r>
    </w:p>
    <w:p w14:paraId="233D479A"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Abstract</w:t>
      </w:r>
    </w:p>
    <w:p w14:paraId="00F0A78E" w14:textId="13FB2443" w:rsidR="00EE7AB8" w:rsidRPr="00E53203" w:rsidRDefault="006D1517">
      <w:pPr>
        <w:spacing w:line="360" w:lineRule="auto"/>
        <w:rPr>
          <w:rFonts w:ascii="Times New Roman" w:eastAsia="Times New Roman" w:hAnsi="Times New Roman" w:cs="Times New Roman"/>
        </w:rPr>
      </w:pPr>
      <w:r w:rsidRPr="00E53203">
        <w:rPr>
          <w:rFonts w:ascii="Times New Roman" w:hAnsi="Times New Roman" w:cs="Times New Roman"/>
        </w:rPr>
        <w:t xml:space="preserve">Nearest-neighbour thermodynamic models underpin nucleic acid biophysics but cannot capture </w:t>
      </w:r>
      <w:r w:rsidR="00E53203" w:rsidRPr="00E53203">
        <w:rPr>
          <w:rFonts w:ascii="Times New Roman" w:hAnsi="Times New Roman" w:cs="Times New Roman"/>
        </w:rPr>
        <w:t>the cooperative stacking effects that govern</w:t>
      </w:r>
      <w:r w:rsidRPr="00E53203">
        <w:rPr>
          <w:rFonts w:ascii="Times New Roman" w:hAnsi="Times New Roman" w:cs="Times New Roman"/>
        </w:rPr>
        <w:t xml:space="preserve"> mRNA stability and CRISPR specificity. Here we present QuBiS-HiQ, a deterministic quantum circuit encoding SantaLucia nearest-neighbour free energies into gate angles to generate interferometric correlators inaccessible to classical representations. Classical physics-informed features achieve R² = 0.935, while quantum features provide complementary information, with a fused model achieving R² = 0.941 (95% confidence interval [0.907, 0.965]) and mean absolute error of 0.41°C. We establish three theoretical properties: an encoding-mutation isomorphism, uniqueness of the Boltzmann-sigmoid angle mapping, and quantum information advantage from three-way correlators. Validation against 64 UV-measured DNA duplex melting temperatures achieves R² = 0.882; fusion yields R² = 0.941. Hardware validation on IBM processors exceeds 99.5% fidelity. This work positions quantum circuits as complementary feature extractors for thermodynamic models.</w:t>
      </w:r>
    </w:p>
    <w:p w14:paraId="2B58A670"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Key words:</w:t>
      </w:r>
      <w:r w:rsidRPr="00E53203">
        <w:rPr>
          <w:rFonts w:ascii="Times New Roman" w:eastAsia="Times New Roman" w:hAnsi="Times New Roman" w:cs="Times New Roman"/>
        </w:rPr>
        <w:t xml:space="preserve"> Quantum Machine Learning; Nucleic Acid Thermodynamics; Quantum Feature Extraction; Nearest-Neighbour Thermodynamics; DNA Duplex Stability; Biophysics; Quantum Kernel Methods; NISQ</w:t>
      </w:r>
    </w:p>
    <w:p w14:paraId="02F5E4D8"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Introduction</w:t>
      </w:r>
    </w:p>
    <w:p w14:paraId="2E58DC64" w14:textId="16701E59"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The thermodynamic stability of nucleic acid duplexes is central to a wide range of molecular medicine applications. The design of mRNA therapeutics, including vaccines against infectious diseases, requires precise optimisation of secondary structure to balance translational efficiency </w:t>
      </w:r>
      <w:r w:rsidR="004F24D7">
        <w:rPr>
          <w:rFonts w:ascii="Times New Roman" w:eastAsia="Times New Roman" w:hAnsi="Times New Roman" w:cs="Times New Roman"/>
        </w:rPr>
        <w:t>with in vivo degradation, and recent algorithmic advances demonstrate</w:t>
      </w:r>
      <w:r w:rsidRPr="00E53203">
        <w:rPr>
          <w:rFonts w:ascii="Times New Roman" w:eastAsia="Times New Roman" w:hAnsi="Times New Roman" w:cs="Times New Roman"/>
        </w:rPr>
        <w:t xml:space="preserve"> that sequence-level thermodynamic engineering can significantly improve both stability and immunogenicity</w:t>
      </w:r>
      <w:r w:rsidR="00E53203">
        <w:rPr>
          <w:rFonts w:ascii="Times New Roman" w:eastAsia="Times New Roman" w:hAnsi="Times New Roman" w:cs="Times New Roman"/>
        </w:rPr>
        <w:t>.</w:t>
      </w:r>
      <w:r w:rsidRPr="00E53203">
        <w:rPr>
          <w:rFonts w:ascii="Times New Roman" w:eastAsia="Times New Roman" w:hAnsi="Times New Roman" w:cs="Times New Roman"/>
        </w:rPr>
        <w:t xml:space="preserve"> CRISPR-Cas9 genome editing likewise depends critically on guide RNA hybridisation thermodynamics, such as maximising </w:t>
      </w:r>
      <w:r w:rsidRPr="00E53203">
        <w:rPr>
          <w:rFonts w:ascii="Times New Roman" w:eastAsia="Times New Roman" w:hAnsi="Times New Roman" w:cs="Times New Roman"/>
        </w:rPr>
        <w:lastRenderedPageBreak/>
        <w:t>on-target complementarity while minimising off-target binding, which requires quantitative prediction of both duplex stability and hairpin-formation energetics. The primary predictive framework underlying all these applications is the SantaLucia nearest-neighbour (NN) model, which decomposes duplex stability into a sum over ten experimentally measured dinucleotide stacking free energies (ΔG°) at 37 °C, parameters whose thermodynamic foundations were established through four decades of optical melting experiments and subsequently refined. The model’s fundamental limitation is architectural; by summing only adjacent pairwise contributions, it cannot represent positional stacking context, cooperative loop-stack interactions, or end effects extending beyond any first-order additive approximation. Within experimentally characterised datasets, sequence pairs exist that are NN-equivalent yet differ in measured melting temperature (T</w:t>
      </w:r>
      <w:r w:rsidRPr="00E53203">
        <w:rPr>
          <w:rFonts w:ascii="Times New Roman" w:eastAsia="Times New Roman" w:hAnsi="Times New Roman" w:cs="Times New Roman"/>
          <w:vertAlign w:val="subscript"/>
        </w:rPr>
        <w:t>m</w:t>
      </w:r>
      <w:r w:rsidRPr="00E53203">
        <w:rPr>
          <w:rFonts w:ascii="Times New Roman" w:eastAsia="Times New Roman" w:hAnsi="Times New Roman" w:cs="Times New Roman"/>
        </w:rPr>
        <w:t>) by more than 8 °C, non-NN effects that are reproducible across independent laboratories that influence locked nucleic acid probe design, primer binding kinetics, and triplex-forming oligonucleotide stability.</w:t>
      </w:r>
    </w:p>
    <w:p w14:paraId="220BC714" w14:textId="070FFA94"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Machine learning approaches to nucleic acid feature extraction have adopted one of two broad strategies. Sequence-based methods, including k-</w:t>
      </w:r>
      <w:proofErr w:type="spellStart"/>
      <w:r w:rsidRPr="00E53203">
        <w:rPr>
          <w:rFonts w:ascii="Times New Roman" w:eastAsia="Times New Roman" w:hAnsi="Times New Roman" w:cs="Times New Roman"/>
        </w:rPr>
        <w:t>mer</w:t>
      </w:r>
      <w:proofErr w:type="spellEnd"/>
      <w:r w:rsidRPr="00E53203">
        <w:rPr>
          <w:rFonts w:ascii="Times New Roman" w:eastAsia="Times New Roman" w:hAnsi="Times New Roman" w:cs="Times New Roman"/>
        </w:rPr>
        <w:t xml:space="preserve"> feature tables, convolutional neural networks, and deep learning architectures trained on genome-wide binding data</w:t>
      </w:r>
      <w:r w:rsidR="00E53203">
        <w:rPr>
          <w:rFonts w:ascii="Times New Roman" w:eastAsia="Times New Roman" w:hAnsi="Times New Roman" w:cs="Times New Roman"/>
        </w:rPr>
        <w:t>,</w:t>
      </w:r>
      <w:r w:rsidRPr="00E53203">
        <w:rPr>
          <w:rFonts w:ascii="Times New Roman" w:eastAsia="Times New Roman" w:hAnsi="Times New Roman" w:cs="Times New Roman"/>
        </w:rPr>
        <w:t xml:space="preserve"> treat nucleic acids as symbolic strings, discarding physical constraints and requiring large, labelled datasets to </w:t>
      </w:r>
      <w:r w:rsidR="00E53203">
        <w:rPr>
          <w:rFonts w:ascii="Times New Roman" w:eastAsia="Times New Roman" w:hAnsi="Times New Roman" w:cs="Times New Roman"/>
        </w:rPr>
        <w:t>implicitly recover thermodynamic structure</w:t>
      </w:r>
      <w:r w:rsidRPr="00E53203">
        <w:rPr>
          <w:rFonts w:ascii="Times New Roman" w:eastAsia="Times New Roman" w:hAnsi="Times New Roman" w:cs="Times New Roman"/>
        </w:rPr>
        <w:t>. Recent large-scale foundation models for DNA and RNA sequences, trained on genomic data spanning molecular to genome scale</w:t>
      </w:r>
      <w:r w:rsidR="00E53203">
        <w:rPr>
          <w:rFonts w:ascii="Times New Roman" w:eastAsia="Times New Roman" w:hAnsi="Times New Roman" w:cs="Times New Roman"/>
        </w:rPr>
        <w:t>s, have substantially expanded the reach of sequence-based prediction bu</w:t>
      </w:r>
      <w:r w:rsidRPr="00E53203">
        <w:rPr>
          <w:rFonts w:ascii="Times New Roman" w:eastAsia="Times New Roman" w:hAnsi="Times New Roman" w:cs="Times New Roman"/>
        </w:rPr>
        <w:t>t still do not incorporate explicit thermodynamic parameters. Classical physics-based methods, such as all-atom molecular dynamic</w:t>
      </w:r>
      <w:r w:rsidR="00E53203">
        <w:rPr>
          <w:rFonts w:ascii="Times New Roman" w:eastAsia="Times New Roman" w:hAnsi="Times New Roman" w:cs="Times New Roman"/>
        </w:rPr>
        <w:t>s</w:t>
      </w:r>
      <w:r w:rsidRPr="00E53203">
        <w:rPr>
          <w:rFonts w:ascii="Times New Roman" w:eastAsia="Times New Roman" w:hAnsi="Times New Roman" w:cs="Times New Roman"/>
        </w:rPr>
        <w:t xml:space="preserve"> and partition-function ensemble models</w:t>
      </w:r>
      <w:r w:rsidR="00E53203">
        <w:rPr>
          <w:rFonts w:ascii="Times New Roman" w:eastAsia="Times New Roman" w:hAnsi="Times New Roman" w:cs="Times New Roman"/>
        </w:rPr>
        <w:t>,</w:t>
      </w:r>
      <w:r w:rsidRPr="00E53203">
        <w:rPr>
          <w:rFonts w:ascii="Times New Roman" w:eastAsia="Times New Roman" w:hAnsi="Times New Roman" w:cs="Times New Roman"/>
        </w:rPr>
        <w:t xml:space="preserve"> </w:t>
      </w:r>
      <w:r w:rsidR="00E53203">
        <w:rPr>
          <w:rFonts w:ascii="Times New Roman" w:eastAsia="Times New Roman" w:hAnsi="Times New Roman" w:cs="Times New Roman"/>
        </w:rPr>
        <w:t>in principle recover non-NN effects</w:t>
      </w:r>
      <w:r w:rsidRPr="00E53203">
        <w:rPr>
          <w:rFonts w:ascii="Times New Roman" w:eastAsia="Times New Roman" w:hAnsi="Times New Roman" w:cs="Times New Roman"/>
        </w:rPr>
        <w:t xml:space="preserve"> but are computationally prohibitive at the throughputs required for genome-scale screening. Classical nonlinear machine learning with carefully engineered cross-features can approximate pairwise stacking interactions on short sequences, but requires O(N</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explicitly constructed feature products, provides no formal thermodynamic interpretation of individual features, and cannot inherently represent interference-based correlators that encode cooperative multi-site effects. Quantum computing offers a mechanistically distinct pathway for feature extractio</w:t>
      </w:r>
      <w:r w:rsidR="00E53203">
        <w:rPr>
          <w:rFonts w:ascii="Times New Roman" w:eastAsia="Times New Roman" w:hAnsi="Times New Roman" w:cs="Times New Roman"/>
        </w:rPr>
        <w:t>n</w:t>
      </w:r>
      <w:r w:rsidRPr="00E53203">
        <w:rPr>
          <w:rFonts w:ascii="Times New Roman" w:eastAsia="Times New Roman" w:hAnsi="Times New Roman" w:cs="Times New Roman"/>
        </w:rPr>
        <w:t>: encoding physical parameters directly into unitary evolution, so that measurement of the output state produces multi-qubit correlators; products of observable expectation values that are inaccessible to any classical product-state representation of the same inputs. The scope of practical quantum advantage has been clarified by both theoretical and experimental advances</w:t>
      </w:r>
      <w:r w:rsidR="00281606" w:rsidRPr="00E53203">
        <w:rPr>
          <w:rFonts w:ascii="Times New Roman" w:eastAsia="Times New Roman" w:hAnsi="Times New Roman" w:cs="Times New Roman"/>
        </w:rPr>
        <w:t>, and supervised quantum classifiers based on quantum-enhanced feature spaces have demonstrated an advantage over classical counterparts in controlled settings</w:t>
      </w:r>
      <w:r w:rsidRPr="00E53203">
        <w:rPr>
          <w:rFonts w:ascii="Times New Roman" w:eastAsia="Times New Roman" w:hAnsi="Times New Roman" w:cs="Times New Roman"/>
        </w:rPr>
        <w:t>. Variational quantum algorithms represent a related but distinct paradigm in which circuit parameters are optimised by gradient descen</w:t>
      </w:r>
      <w:r w:rsidR="00E53203">
        <w:rPr>
          <w:rFonts w:ascii="Times New Roman" w:eastAsia="Times New Roman" w:hAnsi="Times New Roman" w:cs="Times New Roman"/>
        </w:rPr>
        <w:t>t</w:t>
      </w:r>
      <w:r w:rsidRPr="00E53203">
        <w:rPr>
          <w:rFonts w:ascii="Times New Roman" w:eastAsia="Times New Roman" w:hAnsi="Times New Roman" w:cs="Times New Roman"/>
        </w:rPr>
        <w:t>. Previous quantum approaches applied to genomics include quantum-accelerated sequence assembl</w:t>
      </w:r>
      <w:r w:rsidR="00E53203">
        <w:rPr>
          <w:rFonts w:ascii="Times New Roman" w:eastAsia="Times New Roman" w:hAnsi="Times New Roman" w:cs="Times New Roman"/>
        </w:rPr>
        <w:t>y</w:t>
      </w:r>
      <w:r w:rsidRPr="00E53203">
        <w:rPr>
          <w:rFonts w:ascii="Times New Roman" w:eastAsia="Times New Roman" w:hAnsi="Times New Roman" w:cs="Times New Roman"/>
        </w:rPr>
        <w:t xml:space="preserve"> and RNA secondary structure prediction via quantum annealing; none have connected measured thermodynamic parameters to a principled, parameter-free circuit architecture with formal proofs of information advantage and direct validation against experimental thermal denaturation data.</w:t>
      </w:r>
    </w:p>
    <w:p w14:paraId="38E11BD3" w14:textId="15AC2DB8"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Here we introduce QuBiS-HiQ (Quantum Biomimetic Sequence processor, High-fidelity Quantum), a six-layer deterministic quantum circuit whose gate angles are derived analytically and entirely from the SantaLucia nearest-neighbour (NN) database (Supplementary Table S2). Three theoretical properties are established: the two-bit nucleotide encoding defines a graph isomorphism between the biological mutation network and the Boolean hypercube; the Boltzmann-sigmoid angle mapping is the unique function satisfying four physical axioms; and nearest-neighbour gate pairs generate three-way interferometric correlators encoding stacking free energies with 100-358% mutual information gain over classical marginals. These theoretical results are validated against 64 independently UV-measured melting temperatures, an ablation study spanning 65,536 sequences, and hardware execution on two IBM Heron processors. Classical machine learning baselines are reported with full quantitative transparency, identifying precisely the regimes in which quantum circuit features offer advantages and in which they currently do not.</w:t>
      </w:r>
    </w:p>
    <w:p w14:paraId="2EF54FC6"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Results</w:t>
      </w:r>
    </w:p>
    <w:p w14:paraId="1402201F"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Circuit architecture and physical parameterisation</w:t>
      </w:r>
    </w:p>
    <w:p w14:paraId="3096F9CA" w14:textId="735E3BC9"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To directly encode molecular thermodynamics into unitary evolution, we designed QuBiS-HiQ, which maps an N-nucleotide DNA sequence to a 2N-qubit register through a six-layer deterministic architecture (Fig. 1). Rather than relying on learned embeddings, the circuit enforces physical constraints at each layer. Layer 1 encodes each nucleotide via the bijection φ(A) = 00, φ(T) = 01, φ(G) = 29, φ(C) = 30 using R</w:t>
      </w:r>
      <w:r w:rsidRPr="00E53203">
        <w:rPr>
          <w:rFonts w:ascii="Times New Roman" w:eastAsia="Times New Roman" w:hAnsi="Times New Roman" w:cs="Times New Roman"/>
          <w:vertAlign w:val="subscript"/>
        </w:rPr>
        <w:t>y</w:t>
      </w:r>
      <w:r w:rsidRPr="00E53203">
        <w:rPr>
          <w:rFonts w:ascii="Times New Roman" w:eastAsia="Times New Roman" w:hAnsi="Times New Roman" w:cs="Times New Roman"/>
        </w:rPr>
        <w:t>(π/3) for bit 0 and R</w:t>
      </w:r>
      <w:r w:rsidRPr="00E53203">
        <w:rPr>
          <w:rFonts w:ascii="Times New Roman" w:eastAsia="Times New Roman" w:hAnsi="Times New Roman" w:cs="Times New Roman"/>
          <w:vertAlign w:val="subscript"/>
        </w:rPr>
        <w:t>y</w:t>
      </w:r>
      <w:r w:rsidRPr="00E53203">
        <w:rPr>
          <w:rFonts w:ascii="Times New Roman" w:eastAsia="Times New Roman" w:hAnsi="Times New Roman" w:cs="Times New Roman"/>
        </w:rPr>
        <w:t>(2π/3) for bit 1, placing all qubits at well-separated initial Bloch sphere positions. To capture secondary structure topology, layer 2 applies controlled-R</w:t>
      </w:r>
      <w:r w:rsidRPr="00E53203">
        <w:rPr>
          <w:rFonts w:ascii="Times New Roman" w:eastAsia="Times New Roman" w:hAnsi="Times New Roman" w:cs="Times New Roman"/>
          <w:vertAlign w:val="subscript"/>
        </w:rPr>
        <w:t>z</w:t>
      </w:r>
      <w:r w:rsidRPr="00E53203">
        <w:rPr>
          <w:rFonts w:ascii="Times New Roman" w:eastAsia="Times New Roman" w:hAnsi="Times New Roman" w:cs="Times New Roman"/>
        </w:rPr>
        <w:t xml:space="preserve"> (CRZ) gates between qubit pairs predicted to form Watson-Crick base pairs by </w:t>
      </w:r>
      <w:proofErr w:type="spellStart"/>
      <w:r w:rsidRPr="00E53203">
        <w:rPr>
          <w:rFonts w:ascii="Times New Roman" w:eastAsia="Times New Roman" w:hAnsi="Times New Roman" w:cs="Times New Roman"/>
        </w:rPr>
        <w:t>ViennaRN</w:t>
      </w:r>
      <w:r w:rsidR="00E53203">
        <w:rPr>
          <w:rFonts w:ascii="Times New Roman" w:eastAsia="Times New Roman" w:hAnsi="Times New Roman" w:cs="Times New Roman"/>
        </w:rPr>
        <w:t>A</w:t>
      </w:r>
      <w:proofErr w:type="spellEnd"/>
      <w:r w:rsidRPr="00E53203">
        <w:rPr>
          <w:rFonts w:ascii="Times New Roman" w:eastAsia="Times New Roman" w:hAnsi="Times New Roman" w:cs="Times New Roman"/>
        </w:rPr>
        <w:t xml:space="preserve">, </w:t>
      </w:r>
      <w:r w:rsidR="00281606" w:rsidRPr="00E53203">
        <w:rPr>
          <w:rFonts w:ascii="Times New Roman" w:eastAsia="Times New Roman" w:hAnsi="Times New Roman" w:cs="Times New Roman"/>
        </w:rPr>
        <w:t>thereby encoding secondary structure topology; this layer is inactive for linear duplexes without such predictions</w:t>
      </w:r>
      <w:r w:rsidRPr="00E53203">
        <w:rPr>
          <w:rFonts w:ascii="Times New Roman" w:eastAsia="Times New Roman" w:hAnsi="Times New Roman" w:cs="Times New Roman"/>
        </w:rPr>
        <w:t>. Layer 3 is the thermodynamic core: for each adjacent dinucleotide step k, a CNOT gate entangles the control qubit at position k with the target qubit at position k+1, followed by Ry(</w:t>
      </w:r>
      <w:proofErr w:type="spellStart"/>
      <w:r w:rsidRPr="00E53203">
        <w:rPr>
          <w:rFonts w:ascii="Times New Roman" w:eastAsia="Times New Roman" w:hAnsi="Times New Roman" w:cs="Times New Roman"/>
        </w:rPr>
        <w:t>θs</w:t>
      </w:r>
      <w:proofErr w:type="spellEnd"/>
      <w:r w:rsidRPr="00E53203">
        <w:rPr>
          <w:rFonts w:ascii="Times New Roman" w:eastAsia="Times New Roman" w:hAnsi="Times New Roman" w:cs="Times New Roman"/>
        </w:rPr>
        <w:t xml:space="preserve">), where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Times New Roman" w:hAnsi="Times New Roman" w:cs="Times New Roman"/>
        </w:rPr>
        <w:t xml:space="preserve"> = πσ(–βΔG°</w:t>
      </w:r>
      <w:r w:rsidRPr="00E53203">
        <w:rPr>
          <w:rFonts w:ascii="Times New Roman" w:eastAsia="Times New Roman" w:hAnsi="Times New Roman" w:cs="Times New Roman"/>
          <w:vertAlign w:val="subscript"/>
        </w:rPr>
        <w:t>NN</w:t>
      </w:r>
      <w:r w:rsidRPr="00E53203">
        <w:rPr>
          <w:rFonts w:ascii="Times New Roman" w:eastAsia="Times New Roman" w:hAnsi="Times New Roman" w:cs="Times New Roman"/>
        </w:rPr>
        <w:t>) encodes the stacking free energy of that step. The inverse temperature β = 0.39 mol kcal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is taken from SantaLucia &amp; Hicks (2004). The ten NN free energy parameters spanning ΔG° = -0.58 kcal mol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(TA/TA) to -3.42 kcal mol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(GC/GC) reflect the canonical values established by Breslauer et al., extended by Freier et al</w:t>
      </w:r>
      <w:r w:rsidR="00E53203">
        <w:rPr>
          <w:rFonts w:ascii="Times New Roman" w:eastAsia="Times New Roman" w:hAnsi="Times New Roman" w:cs="Times New Roman"/>
        </w:rPr>
        <w:t>.</w:t>
      </w:r>
      <w:r w:rsidRPr="00E53203">
        <w:rPr>
          <w:rFonts w:ascii="Times New Roman" w:eastAsia="Times New Roman" w:hAnsi="Times New Roman" w:cs="Times New Roman"/>
        </w:rPr>
        <w:t>, and updated by Mathews et al.</w:t>
      </w:r>
      <w:r w:rsidR="00E53203">
        <w:rPr>
          <w:rFonts w:ascii="Times New Roman" w:eastAsia="Times New Roman" w:hAnsi="Times New Roman" w:cs="Times New Roman"/>
          <w:vertAlign w:val="superscript"/>
        </w:rPr>
        <w:t xml:space="preserve"> </w:t>
      </w:r>
      <w:r w:rsidRPr="00E53203">
        <w:rPr>
          <w:rFonts w:ascii="Times New Roman" w:eastAsia="Times New Roman" w:hAnsi="Times New Roman" w:cs="Times New Roman"/>
        </w:rPr>
        <w:t xml:space="preserve">(Supplementary Table S2). Transpiled circuit depth scales linearly with sequence length: 11 two-qubit gates at N = 8 and 52 at N = 12 (Fig. 1c). Following reserved layers 4 and 20, layer 6 performs computational-basis measurements to extract the feature vector f </w:t>
      </w:r>
      <w:r w:rsidRPr="00E53203">
        <w:rPr>
          <w:rFonts w:ascii="Cambria Math" w:eastAsia="Cambria Math" w:hAnsi="Cambria Math" w:cs="Cambria Math"/>
        </w:rPr>
        <w:t>∈</w:t>
      </w:r>
      <w:r w:rsidRPr="00E53203">
        <w:rPr>
          <w:rFonts w:ascii="Times New Roman" w:eastAsia="Times New Roman" w:hAnsi="Times New Roman" w:cs="Times New Roman"/>
        </w:rPr>
        <w:t xml:space="preserve"> ℝ</w:t>
      </w:r>
      <w:r w:rsidRPr="00E53203">
        <w:rPr>
          <w:rFonts w:ascii="Times New Roman" w:eastAsia="Times New Roman" w:hAnsi="Times New Roman" w:cs="Times New Roman"/>
          <w:vertAlign w:val="superscript"/>
        </w:rPr>
        <w:t>B</w:t>
      </w:r>
      <w:r w:rsidRPr="00E53203">
        <w:rPr>
          <w:rFonts w:ascii="Times New Roman" w:eastAsia="Times New Roman" w:hAnsi="Times New Roman" w:cs="Times New Roman"/>
        </w:rPr>
        <w:t xml:space="preserve">, where B = 6N - 3. This vector comprises three measurement blocks: 2N single-qubit marginals </w:t>
      </w:r>
      <w:r w:rsidRPr="00E53203">
        <w:rPr>
          <w:rFonts w:ascii="Cambria Math" w:eastAsia="Cambria Math" w:hAnsi="Cambria Math" w:cs="Cambria Math"/>
        </w:rPr>
        <w:t>⟨</w:t>
      </w:r>
      <w:proofErr w:type="spellStart"/>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k</w:t>
      </w:r>
      <w:proofErr w:type="spellEnd"/>
      <w:r w:rsidRPr="00E53203">
        <w:rPr>
          <w:rFonts w:ascii="Cambria Math" w:eastAsia="Cambria Math" w:hAnsi="Cambria Math" w:cs="Cambria Math"/>
        </w:rPr>
        <w:t>⟩</w:t>
      </w:r>
      <w:r w:rsidRPr="00E53203">
        <w:rPr>
          <w:rFonts w:ascii="Times New Roman" w:eastAsia="Times New Roman" w:hAnsi="Times New Roman" w:cs="Times New Roman"/>
        </w:rPr>
        <w:t xml:space="preserve">, 2N - 1 adjacent pairwise correlators </w:t>
      </w:r>
      <w:r w:rsidRPr="00E53203">
        <w:rPr>
          <w:rFonts w:ascii="Cambria Math" w:eastAsia="Cambria Math" w:hAnsi="Cambria Math" w:cs="Cambria Math"/>
        </w:rPr>
        <w:t>⟨</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k</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k+1</w:t>
      </w:r>
      <w:r w:rsidRPr="00E53203">
        <w:rPr>
          <w:rFonts w:ascii="Cambria Math" w:eastAsia="Cambria Math" w:hAnsi="Cambria Math" w:cs="Cambria Math"/>
        </w:rPr>
        <w:t>⟩</w:t>
      </w:r>
      <w:r w:rsidRPr="00E53203">
        <w:rPr>
          <w:rFonts w:ascii="Times New Roman" w:eastAsia="Times New Roman" w:hAnsi="Times New Roman" w:cs="Times New Roman"/>
        </w:rPr>
        <w:t xml:space="preserve">, and 2N - 2 next-adjacent correlators </w:t>
      </w:r>
      <w:r w:rsidRPr="00E53203">
        <w:rPr>
          <w:rFonts w:ascii="Cambria Math" w:eastAsia="Cambria Math" w:hAnsi="Cambria Math" w:cs="Cambria Math"/>
        </w:rPr>
        <w:t>⟨</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k</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k+2</w:t>
      </w:r>
      <w:r w:rsidRPr="00E53203">
        <w:rPr>
          <w:rFonts w:ascii="Cambria Math" w:eastAsia="Cambria Math" w:hAnsi="Cambria Math" w:cs="Cambria Math"/>
        </w:rPr>
        <w:t>⟩</w:t>
      </w:r>
      <w:r w:rsidRPr="00E53203">
        <w:rPr>
          <w:rFonts w:ascii="Times New Roman" w:eastAsia="Times New Roman" w:hAnsi="Times New Roman" w:cs="Times New Roman"/>
        </w:rPr>
        <w:t xml:space="preserve"> (Supplementary Table S3).</w:t>
      </w:r>
    </w:p>
    <w:p w14:paraId="2AF97A86"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Theoretical foundations of the circuit design</w:t>
      </w:r>
    </w:p>
    <w:p w14:paraId="3FDE2CBD" w14:textId="3AF4A10E"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Three theoretical properties formalise the information-theoretic basis of the circuit design. Full mathematical derivations, verification scripts, and proof-of-concept code are provided in Supplementary Section S</w:t>
      </w:r>
      <w:r w:rsidR="007F7D5C">
        <w:rPr>
          <w:rFonts w:ascii="Times New Roman" w:eastAsia="Times New Roman" w:hAnsi="Times New Roman" w:cs="Times New Roman"/>
        </w:rPr>
        <w:t>5</w:t>
      </w:r>
      <w:r w:rsidRPr="00E53203">
        <w:rPr>
          <w:rFonts w:ascii="Times New Roman" w:eastAsia="Times New Roman" w:hAnsi="Times New Roman" w:cs="Times New Roman"/>
        </w:rPr>
        <w:t xml:space="preserve">, with the theory-experiment correspondence summarised in Supplementary Table S1. First, we establish an encoding-mutation isomorphism: the nucleotide encoding φ defines a graph isomorphism M </w:t>
      </w:r>
      <w:r w:rsidRPr="00E53203">
        <w:rPr>
          <w:rFonts w:ascii="Cambria Math" w:eastAsia="Cambria Math" w:hAnsi="Cambria Math" w:cs="Cambria Math"/>
        </w:rPr>
        <w:t>≅</w:t>
      </w:r>
      <w:r w:rsidRPr="00E53203">
        <w:rPr>
          <w:rFonts w:ascii="Times New Roman" w:eastAsia="Times New Roman" w:hAnsi="Times New Roman" w:cs="Times New Roman"/>
        </w:rPr>
        <w:t xml:space="preserve"> C</w:t>
      </w:r>
      <w:r w:rsidRPr="00E53203">
        <w:rPr>
          <w:rFonts w:ascii="Times New Roman" w:eastAsia="Times New Roman" w:hAnsi="Times New Roman" w:cs="Times New Roman"/>
          <w:vertAlign w:val="superscript"/>
        </w:rPr>
        <w:t>4</w:t>
      </w:r>
      <w:r w:rsidRPr="00E53203">
        <w:rPr>
          <w:rFonts w:ascii="Times New Roman" w:eastAsia="Times New Roman" w:hAnsi="Times New Roman" w:cs="Times New Roman"/>
        </w:rPr>
        <w:t xml:space="preserve"> </w:t>
      </w:r>
      <w:r w:rsidRPr="00E53203">
        <w:rPr>
          <w:rFonts w:ascii="Cambria Math" w:eastAsia="Cambria Math" w:hAnsi="Cambria Math" w:cs="Cambria Math"/>
        </w:rPr>
        <w:t>⊂</w:t>
      </w:r>
      <w:r w:rsidRPr="00E53203">
        <w:rPr>
          <w:rFonts w:ascii="Times New Roman" w:eastAsia="Times New Roman" w:hAnsi="Times New Roman" w:cs="Times New Roman"/>
        </w:rPr>
        <w:t xml:space="preserve"> {0,1}</w:t>
      </w:r>
      <w:r w:rsidRPr="00E53203">
        <w:rPr>
          <w:rFonts w:ascii="Times New Roman" w:eastAsia="Times New Roman" w:hAnsi="Times New Roman" w:cs="Times New Roman"/>
          <w:vertAlign w:val="superscript"/>
        </w:rPr>
        <w:t>2</w:t>
      </w:r>
      <w:r w:rsidRPr="00E53203">
        <w:rPr>
          <w:rFonts w:ascii="Times New Roman" w:eastAsia="Gungsuh" w:hAnsi="Times New Roman" w:cs="Times New Roman"/>
        </w:rPr>
        <w:t xml:space="preserve"> between the biological mutation network and the Boolean hypercube. Biological transitions and Watson-Crick complements each correspond to Hamming distance 1; transversions correspond to Hamming distance 2. In Bloch-sphere expectation-value space, the corresponding Euclidean distances are in ratio 1: √2, faithfully preserving the biochemical mutation hierarchy (Fig. 2a). All 17 assertions of this isomorphism are verified to machine precision. Second, the Boltzmann-sigmoid angle mapping is the unique solution to four physical axioms. The function ϑ(ΔG°) = πσ(–βΔG°) is uniquely determined by: (</w:t>
      </w:r>
      <w:proofErr w:type="spellStart"/>
      <w:r w:rsidRPr="00E53203">
        <w:rPr>
          <w:rFonts w:ascii="Times New Roman" w:eastAsia="Gungsuh" w:hAnsi="Times New Roman" w:cs="Times New Roman"/>
        </w:rPr>
        <w:t>i</w:t>
      </w:r>
      <w:proofErr w:type="spellEnd"/>
      <w:r w:rsidRPr="00E53203">
        <w:rPr>
          <w:rFonts w:ascii="Times New Roman" w:eastAsia="Gungsuh" w:hAnsi="Times New Roman" w:cs="Times New Roman"/>
        </w:rPr>
        <w:t xml:space="preserve">) range in (0, π) for physically realisable rotation angles; (ii) strict monotone decrease to preserve thermodynamic ordering; (iii) </w:t>
      </w:r>
      <w:proofErr w:type="gramStart"/>
      <w:r w:rsidRPr="00E53203">
        <w:rPr>
          <w:rFonts w:ascii="Times New Roman" w:eastAsia="Gungsuh" w:hAnsi="Times New Roman" w:cs="Times New Roman"/>
        </w:rPr>
        <w:t>ϑ(</w:t>
      </w:r>
      <w:proofErr w:type="gramEnd"/>
      <w:r w:rsidRPr="00E53203">
        <w:rPr>
          <w:rFonts w:ascii="Times New Roman" w:eastAsia="Gungsuh" w:hAnsi="Times New Roman" w:cs="Times New Roman"/>
        </w:rPr>
        <w:t>0) = π/2 at the stability balance point; and (iv) dimensional consistency under the standard free-energy scale (Fig. 2b). Linear, tanh, and arctan alternatives each violate at least one axiom. Third, nearest-neighbour gate pairs generate three-way interferometric correlators inaccessible to classical product-state representations. After evolving R</w:t>
      </w:r>
      <w:r w:rsidRPr="00E53203">
        <w:rPr>
          <w:rFonts w:ascii="Times New Roman" w:eastAsia="Times New Roman" w:hAnsi="Times New Roman" w:cs="Times New Roman"/>
          <w:vertAlign w:val="subscript"/>
        </w:rPr>
        <w:t>y</w:t>
      </w:r>
      <w:r w:rsidRPr="00E53203">
        <w:rPr>
          <w:rFonts w:ascii="Times New Roman" w:eastAsia="Times New Roman" w:hAnsi="Times New Roman" w:cs="Times New Roman"/>
        </w:rPr>
        <w:t>(</w:t>
      </w:r>
      <w:proofErr w:type="spellStart"/>
      <w:r w:rsidRPr="00E53203">
        <w:rPr>
          <w:rFonts w:ascii="Times New Roman" w:eastAsia="Times New Roman" w:hAnsi="Times New Roman" w:cs="Times New Roman"/>
        </w:rPr>
        <w:t>θ</w:t>
      </w:r>
      <w:proofErr w:type="gramStart"/>
      <w:r w:rsidRPr="00E53203">
        <w:rPr>
          <w:rFonts w:ascii="Times New Roman" w:eastAsia="Times New Roman" w:hAnsi="Times New Roman" w:cs="Times New Roman"/>
          <w:vertAlign w:val="superscript"/>
        </w:rPr>
        <w:t>a</w:t>
      </w:r>
      <w:proofErr w:type="spellEnd"/>
      <w:r w:rsidRPr="00E53203">
        <w:rPr>
          <w:rFonts w:ascii="Times New Roman" w:eastAsia="Times New Roman" w:hAnsi="Times New Roman" w:cs="Times New Roman"/>
        </w:rPr>
        <w:t>)|</w:t>
      </w:r>
      <w:proofErr w:type="gramEnd"/>
      <w:r w:rsidRPr="00E53203">
        <w:rPr>
          <w:rFonts w:ascii="Times New Roman" w:eastAsia="Times New Roman" w:hAnsi="Times New Roman" w:cs="Times New Roman"/>
        </w:rPr>
        <w:t>0</w:t>
      </w:r>
      <w:r w:rsidRPr="00E53203">
        <w:rPr>
          <w:rFonts w:ascii="Cambria Math" w:eastAsia="Cambria Math" w:hAnsi="Cambria Math" w:cs="Cambria Math"/>
        </w:rPr>
        <w:t>⟩</w:t>
      </w:r>
      <w:r w:rsidRPr="00E53203">
        <w:rPr>
          <w:rFonts w:ascii="Times New Roman" w:eastAsia="Times New Roman" w:hAnsi="Times New Roman" w:cs="Times New Roman"/>
        </w:rPr>
        <w:t xml:space="preserve"> </w:t>
      </w:r>
      <w:r w:rsidRPr="00E53203">
        <w:rPr>
          <w:rFonts w:ascii="Cambria Math" w:eastAsia="Cambria Math" w:hAnsi="Cambria Math" w:cs="Cambria Math"/>
        </w:rPr>
        <w:t>⊗</w:t>
      </w:r>
      <w:r w:rsidRPr="00E53203">
        <w:rPr>
          <w:rFonts w:ascii="Times New Roman" w:eastAsia="Times New Roman" w:hAnsi="Times New Roman" w:cs="Times New Roman"/>
        </w:rPr>
        <w:t xml:space="preserve"> R</w:t>
      </w:r>
      <w:r w:rsidRPr="00E53203">
        <w:rPr>
          <w:rFonts w:ascii="Times New Roman" w:eastAsia="Times New Roman" w:hAnsi="Times New Roman" w:cs="Times New Roman"/>
          <w:vertAlign w:val="subscript"/>
        </w:rPr>
        <w:t>y</w:t>
      </w:r>
      <w:r w:rsidRPr="00E53203">
        <w:rPr>
          <w:rFonts w:ascii="Times New Roman" w:eastAsia="Times New Roman" w:hAnsi="Times New Roman" w:cs="Times New Roman"/>
        </w:rPr>
        <w:t>(</w:t>
      </w:r>
      <w:proofErr w:type="spellStart"/>
      <w:r w:rsidRPr="00E53203">
        <w:rPr>
          <w:rFonts w:ascii="Times New Roman" w:eastAsia="Times New Roman" w:hAnsi="Times New Roman" w:cs="Times New Roman"/>
        </w:rPr>
        <w:t>θ</w:t>
      </w:r>
      <w:proofErr w:type="gramStart"/>
      <w:r w:rsidRPr="00E53203">
        <w:rPr>
          <w:rFonts w:ascii="Times New Roman" w:eastAsia="Times New Roman" w:hAnsi="Times New Roman" w:cs="Times New Roman"/>
          <w:vertAlign w:val="superscript"/>
        </w:rPr>
        <w:t>b</w:t>
      </w:r>
      <w:proofErr w:type="spellEnd"/>
      <w:r w:rsidRPr="00E53203">
        <w:rPr>
          <w:rFonts w:ascii="Times New Roman" w:eastAsia="Times New Roman" w:hAnsi="Times New Roman" w:cs="Times New Roman"/>
        </w:rPr>
        <w:t>)|</w:t>
      </w:r>
      <w:proofErr w:type="gramEnd"/>
      <w:r w:rsidRPr="00E53203">
        <w:rPr>
          <w:rFonts w:ascii="Times New Roman" w:eastAsia="Times New Roman" w:hAnsi="Times New Roman" w:cs="Times New Roman"/>
        </w:rPr>
        <w:t>0</w:t>
      </w:r>
      <w:r w:rsidRPr="00E53203">
        <w:rPr>
          <w:rFonts w:ascii="Cambria Math" w:eastAsia="Cambria Math" w:hAnsi="Cambria Math" w:cs="Cambria Math"/>
        </w:rPr>
        <w:t>⟩</w:t>
      </w:r>
      <w:r w:rsidRPr="00E53203">
        <w:rPr>
          <w:rFonts w:ascii="Times New Roman" w:eastAsia="Cardo" w:hAnsi="Times New Roman" w:cs="Times New Roman"/>
        </w:rPr>
        <w:t xml:space="preserve"> through CNOT(</w:t>
      </w:r>
      <w:proofErr w:type="spellStart"/>
      <w:r w:rsidRPr="00E53203">
        <w:rPr>
          <w:rFonts w:ascii="Times New Roman" w:eastAsia="Cardo" w:hAnsi="Times New Roman" w:cs="Times New Roman"/>
        </w:rPr>
        <w:t>a→b</w:t>
      </w:r>
      <w:proofErr w:type="spellEnd"/>
      <w:r w:rsidRPr="00E53203">
        <w:rPr>
          <w:rFonts w:ascii="Times New Roman" w:eastAsia="Cardo" w:hAnsi="Times New Roman" w:cs="Times New Roman"/>
        </w:rPr>
        <w:t>) and subsequently R</w:t>
      </w:r>
      <w:r w:rsidRPr="00E53203">
        <w:rPr>
          <w:rFonts w:ascii="Times New Roman" w:eastAsia="Times New Roman" w:hAnsi="Times New Roman" w:cs="Times New Roman"/>
          <w:vertAlign w:val="subscript"/>
        </w:rPr>
        <w:t>y</w:t>
      </w:r>
      <w:r w:rsidRPr="00E53203">
        <w:rPr>
          <w:rFonts w:ascii="Times New Roman" w:eastAsia="Times New Roman" w:hAnsi="Times New Roman" w:cs="Times New Roman"/>
        </w:rPr>
        <w:t>(</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Times New Roman" w:hAnsi="Times New Roman" w:cs="Times New Roman"/>
        </w:rPr>
        <w:t xml:space="preserve">) on qubit b, the two-qubit correlator becomes </w:t>
      </w:r>
      <w:r w:rsidRPr="00E53203">
        <w:rPr>
          <w:rFonts w:ascii="Cambria Math" w:eastAsia="Cambria Math" w:hAnsi="Cambria Math" w:cs="Cambria Math"/>
        </w:rPr>
        <w:t>⟨</w:t>
      </w:r>
      <w:proofErr w:type="spellStart"/>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a</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b</w:t>
      </w:r>
      <w:proofErr w:type="spellEnd"/>
      <w:r w:rsidRPr="00E53203">
        <w:rPr>
          <w:rFonts w:ascii="Cambria Math" w:eastAsia="Cambria Math" w:hAnsi="Cambria Math" w:cs="Cambria Math"/>
        </w:rPr>
        <w:t>⟩</w:t>
      </w:r>
      <w:r w:rsidRPr="00E53203">
        <w:rPr>
          <w:rFonts w:ascii="Times New Roman" w:eastAsia="Times New Roman" w:hAnsi="Times New Roman" w:cs="Times New Roman"/>
        </w:rPr>
        <w:t xml:space="preserve"> = cos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perscript"/>
        </w:rPr>
        <w:t>b</w:t>
      </w:r>
      <w:proofErr w:type="spellEnd"/>
      <w:r w:rsidRPr="00E53203">
        <w:rPr>
          <w:rFonts w:ascii="Times New Roman" w:eastAsia="Times New Roman" w:hAnsi="Times New Roman" w:cs="Times New Roman"/>
        </w:rPr>
        <w:t xml:space="preserve"> cos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Times New Roman" w:hAnsi="Times New Roman" w:cs="Times New Roman"/>
        </w:rPr>
        <w:t xml:space="preserve"> - sin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perscript"/>
        </w:rPr>
        <w:t>b</w:t>
      </w:r>
      <w:proofErr w:type="spellEnd"/>
      <w:r w:rsidRPr="00E53203">
        <w:rPr>
          <w:rFonts w:ascii="Times New Roman" w:eastAsia="Times New Roman" w:hAnsi="Times New Roman" w:cs="Times New Roman"/>
        </w:rPr>
        <w:t xml:space="preserve"> sin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Times New Roman" w:hAnsi="Times New Roman" w:cs="Times New Roman"/>
        </w:rPr>
        <w:t xml:space="preserve"> cos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perscript"/>
        </w:rPr>
        <w:t>a</w:t>
      </w:r>
      <w:proofErr w:type="spellEnd"/>
      <w:r w:rsidRPr="00E53203">
        <w:rPr>
          <w:rFonts w:ascii="Times New Roman" w:eastAsia="Times New Roman" w:hAnsi="Times New Roman" w:cs="Times New Roman"/>
        </w:rPr>
        <w:t xml:space="preserve">. The cross-term sin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perscript"/>
        </w:rPr>
        <w:t>b</w:t>
      </w:r>
      <w:proofErr w:type="spellEnd"/>
      <w:r w:rsidRPr="00E53203">
        <w:rPr>
          <w:rFonts w:ascii="Times New Roman" w:eastAsia="Times New Roman" w:hAnsi="Times New Roman" w:cs="Times New Roman"/>
        </w:rPr>
        <w:t xml:space="preserve"> sin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Times New Roman" w:hAnsi="Times New Roman" w:cs="Times New Roman"/>
        </w:rPr>
        <w:t xml:space="preserve"> cos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perscript"/>
        </w:rPr>
        <w:t>a</w:t>
      </w:r>
      <w:proofErr w:type="spellEnd"/>
      <w:r w:rsidRPr="00E53203">
        <w:rPr>
          <w:rFonts w:ascii="Times New Roman" w:eastAsia="Times New Roman" w:hAnsi="Times New Roman" w:cs="Times New Roman"/>
        </w:rPr>
        <w:t xml:space="preserve"> encodes stacking energy through a three-way interaction absent in the classical marginal </w:t>
      </w:r>
      <w:r w:rsidRPr="00E53203">
        <w:rPr>
          <w:rFonts w:ascii="Cambria Math" w:eastAsia="Cambria Math" w:hAnsi="Cambria Math" w:cs="Cambria Math"/>
        </w:rPr>
        <w:t>⟨</w:t>
      </w:r>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a</w:t>
      </w:r>
      <w:r w:rsidRPr="00E53203">
        <w:rPr>
          <w:rFonts w:ascii="Cambria Math" w:eastAsia="Cambria Math" w:hAnsi="Cambria Math" w:cs="Cambria Math"/>
        </w:rPr>
        <w:t>⟩⟨</w:t>
      </w:r>
      <w:proofErr w:type="spellStart"/>
      <w:r w:rsidRPr="00E53203">
        <w:rPr>
          <w:rFonts w:ascii="Times New Roman" w:eastAsia="Times New Roman" w:hAnsi="Times New Roman" w:cs="Times New Roman"/>
        </w:rPr>
        <w:t>Z</w:t>
      </w:r>
      <w:r w:rsidRPr="00E53203">
        <w:rPr>
          <w:rFonts w:ascii="Times New Roman" w:eastAsia="Times New Roman" w:hAnsi="Times New Roman" w:cs="Times New Roman"/>
          <w:vertAlign w:val="superscript"/>
        </w:rPr>
        <w:t>b</w:t>
      </w:r>
      <w:proofErr w:type="spellEnd"/>
      <w:r w:rsidRPr="00E53203">
        <w:rPr>
          <w:rFonts w:ascii="Cambria Math" w:eastAsia="Cambria Math" w:hAnsi="Cambria Math" w:cs="Cambria Math"/>
        </w:rPr>
        <w:t>⟩</w:t>
      </w:r>
      <w:r w:rsidRPr="00E53203">
        <w:rPr>
          <w:rFonts w:ascii="Times New Roman" w:eastAsia="Times New Roman" w:hAnsi="Times New Roman" w:cs="Times New Roman"/>
        </w:rPr>
        <w:t>, yielding 100-358% mutual information gain (maximum for AA/TT). All assertions are confirmed to machine precision ε &lt; 3.4 × 29</w:t>
      </w:r>
      <w:r w:rsidRPr="00E53203">
        <w:rPr>
          <w:rFonts w:ascii="Times New Roman" w:eastAsia="Times New Roman" w:hAnsi="Times New Roman" w:cs="Times New Roman"/>
          <w:vertAlign w:val="superscript"/>
        </w:rPr>
        <w:t>-16</w:t>
      </w:r>
      <w:r w:rsidRPr="00E53203">
        <w:rPr>
          <w:rFonts w:ascii="Times New Roman" w:eastAsia="Times New Roman" w:hAnsi="Times New Roman" w:cs="Times New Roman"/>
        </w:rPr>
        <w:t>.</w:t>
      </w:r>
    </w:p>
    <w:p w14:paraId="49672221"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Validation against UV melting measurements</w:t>
      </w:r>
    </w:p>
    <w:p w14:paraId="1495332B" w14:textId="1A081533"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To establish that QuBiS-HiQ captures biologically real thermodynamic variation and not merely the numerical output of computational prediction tools, we constructed a benchmark from Oliveira et al. (2020), an Open Access study in which DNA duplex melting temperatures were measured by UV absorbance at 260 nm under uniform conditions (10 mM sodium phosphate, 50 mM NaCl, pH 7.4, 1.0 µM total strand concentration, in a single, controlled experimental setting). Buffer conditions were selected to match those used in the parameterisation of standard NN models. The dataset comprises 64 canonical (perfect-match) 19-nucleotide duplexes using the scaffold 5ʹ-CGACGTGC[N</w:t>
      </w:r>
      <w:r w:rsidRPr="00E53203">
        <w:rPr>
          <w:rFonts w:ascii="Times New Roman" w:eastAsia="Times New Roman" w:hAnsi="Times New Roman" w:cs="Times New Roman"/>
          <w:vertAlign w:val="subscript"/>
        </w:rPr>
        <w:t>1</w:t>
      </w:r>
      <w:r w:rsidRPr="00E53203">
        <w:rPr>
          <w:rFonts w:ascii="Times New Roman" w:eastAsia="Times New Roman" w:hAnsi="Times New Roman" w:cs="Times New Roman"/>
        </w:rPr>
        <w:t>N</w:t>
      </w:r>
      <w:r w:rsidRPr="00E53203">
        <w:rPr>
          <w:rFonts w:ascii="Times New Roman" w:eastAsia="Times New Roman" w:hAnsi="Times New Roman" w:cs="Times New Roman"/>
          <w:vertAlign w:val="subscript"/>
        </w:rPr>
        <w:t>3</w:t>
      </w:r>
      <w:r w:rsidRPr="00E53203">
        <w:rPr>
          <w:rFonts w:ascii="Times New Roman" w:eastAsia="Times New Roman" w:hAnsi="Times New Roman" w:cs="Times New Roman"/>
        </w:rPr>
        <w:t>N</w:t>
      </w:r>
      <w:proofErr w:type="gramStart"/>
      <w:r w:rsidRPr="00E53203">
        <w:rPr>
          <w:rFonts w:ascii="Times New Roman" w:eastAsia="Times New Roman" w:hAnsi="Times New Roman" w:cs="Times New Roman"/>
          <w:vertAlign w:val="subscript"/>
        </w:rPr>
        <w:t>5</w:t>
      </w:r>
      <w:r w:rsidRPr="00E53203">
        <w:rPr>
          <w:rFonts w:ascii="Times New Roman" w:eastAsia="Times New Roman" w:hAnsi="Times New Roman" w:cs="Times New Roman"/>
        </w:rPr>
        <w:t>]ATGTGCTG</w:t>
      </w:r>
      <w:proofErr w:type="gramEnd"/>
      <w:r w:rsidRPr="00E53203">
        <w:rPr>
          <w:rFonts w:ascii="Times New Roman" w:eastAsia="Times New Roman" w:hAnsi="Times New Roman" w:cs="Times New Roman"/>
        </w:rPr>
        <w:t>-3ʹ, with three central positions varied across all 21</w:t>
      </w:r>
      <w:r w:rsidRPr="00E53203">
        <w:rPr>
          <w:rFonts w:ascii="Times New Roman" w:eastAsia="Times New Roman" w:hAnsi="Times New Roman" w:cs="Times New Roman"/>
          <w:vertAlign w:val="superscript"/>
        </w:rPr>
        <w:t>3</w:t>
      </w:r>
      <w:r w:rsidRPr="00E53203">
        <w:rPr>
          <w:rFonts w:ascii="Times New Roman" w:eastAsia="Times New Roman" w:hAnsi="Times New Roman" w:cs="Times New Roman"/>
        </w:rPr>
        <w:t xml:space="preserve"> = 64 canonical trinucleotide combinations (T</w:t>
      </w:r>
      <w:r w:rsidRPr="00E53203">
        <w:rPr>
          <w:rFonts w:ascii="Times New Roman" w:eastAsia="Times New Roman" w:hAnsi="Times New Roman" w:cs="Times New Roman"/>
          <w:vertAlign w:val="subscript"/>
        </w:rPr>
        <w:t>m</w:t>
      </w:r>
      <w:r w:rsidRPr="00E53203">
        <w:rPr>
          <w:rFonts w:ascii="Times New Roman" w:eastAsia="Times New Roman" w:hAnsi="Times New Roman" w:cs="Times New Roman"/>
        </w:rPr>
        <w:t xml:space="preserve"> range: 60.7-69.3 °C, Δ = 8.6 °C). A representative subset is provided in Supplementary Table S7. All 64 sequences were simulated as 38-qubit circuits using the Matrix Product State (MPS) backend of </w:t>
      </w:r>
      <w:proofErr w:type="spellStart"/>
      <w:r w:rsidRPr="00E53203">
        <w:rPr>
          <w:rFonts w:ascii="Times New Roman" w:eastAsia="Times New Roman" w:hAnsi="Times New Roman" w:cs="Times New Roman"/>
        </w:rPr>
        <w:t>Qiskit</w:t>
      </w:r>
      <w:proofErr w:type="spellEnd"/>
      <w:r w:rsidRPr="00E53203">
        <w:rPr>
          <w:rFonts w:ascii="Times New Roman" w:eastAsia="Times New Roman" w:hAnsi="Times New Roman" w:cs="Times New Roman"/>
        </w:rPr>
        <w:t xml:space="preserve"> Aer (8,192 shots each). MPS simulation is exact for this architecture when the Watson-Crick layer is inactive, because nearest-neighbour-only entanglement limits maximum bond dimension to χ = 21; verification against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simulation yields cosine similarity 0.9991 ± 0.0003 (memory: 19 KB per circuit vs 4.0 TB for exact 38-qubit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Each 19-mer produces a 111-dimensional feature vector; for the primary regression analysis, a 21-dimensional variable-region sub-vector was extracted from qubits 20</w:t>
      </w:r>
      <w:r w:rsidR="00737739" w:rsidRPr="00E53203">
        <w:rPr>
          <w:rFonts w:ascii="Times New Roman" w:eastAsia="Times New Roman" w:hAnsi="Times New Roman" w:cs="Times New Roman"/>
        </w:rPr>
        <w:t>-</w:t>
      </w:r>
      <w:r w:rsidRPr="00E53203">
        <w:rPr>
          <w:rFonts w:ascii="Times New Roman" w:eastAsia="Times New Roman" w:hAnsi="Times New Roman" w:cs="Times New Roman"/>
        </w:rPr>
        <w:t>21.</w:t>
      </w:r>
    </w:p>
    <w:p w14:paraId="3AD8B0AB" w14:textId="77777777" w:rsidR="00EE7AB8" w:rsidRPr="00E53203" w:rsidRDefault="006D1517">
      <w:pPr>
        <w:spacing w:line="360" w:lineRule="auto"/>
        <w:rPr>
          <w:rFonts w:ascii="Times New Roman" w:eastAsia="Times New Roman" w:hAnsi="Times New Roman" w:cs="Times New Roman"/>
        </w:rPr>
      </w:pPr>
      <w:r w:rsidRPr="00E53203">
        <w:rPr>
          <w:rFonts w:ascii="Times New Roman" w:hAnsi="Times New Roman" w:cs="Times New Roman"/>
        </w:rPr>
        <w:t>Leave-one-out cross-validation (LOO-CV) Ridge regression on 21-dimensional variable-region features predicts experimentally measured Tm with R</w:t>
      </w:r>
      <w:r w:rsidRPr="00E53203">
        <w:rPr>
          <w:rFonts w:ascii="Times New Roman" w:hAnsi="Times New Roman" w:cs="Times New Roman"/>
          <w:vertAlign w:val="superscript"/>
        </w:rPr>
        <w:t>2</w:t>
      </w:r>
      <w:r w:rsidRPr="00E53203">
        <w:rPr>
          <w:rFonts w:ascii="Times New Roman" w:hAnsi="Times New Roman" w:cs="Times New Roman"/>
        </w:rPr>
        <w:t xml:space="preserve"> = 0.911 (bootstrapped 95% confidence interval (CI) [0.857, 0.937], r = 0.939, p = 2.7 × 29</w:t>
      </w:r>
      <w:r w:rsidRPr="00E53203">
        <w:rPr>
          <w:rFonts w:ascii="Times New Roman" w:hAnsi="Times New Roman" w:cs="Times New Roman"/>
          <w:vertAlign w:val="superscript"/>
        </w:rPr>
        <w:t>-31</w:t>
      </w:r>
      <w:r w:rsidRPr="00E53203">
        <w:rPr>
          <w:rFonts w:ascii="Times New Roman" w:hAnsi="Times New Roman" w:cs="Times New Roman"/>
        </w:rPr>
        <w:t>, mean absolute error (MAE) = 0.53 °C; Table 1, Fig. 3a). The sub-degree MAE against values measured independently in a single, controlled experimental setting, with no free parameters, no training data, and no thermodynamic inputs beyond the SantaLucia database, confirms that physics-informed gate angles faithfully translate real molecular thermodynamics into quantum feature space. For direct comparison, classical composition features (GC count, NN ΔG°, one-hot encoding; 17 dimensions) achieve R2 = 0.935, and GC count alone achieves R2 = 0.888 (Table 1). This parity is expected; the scaffold’s design concentrates sequence variation in trinucleotide composition, making GC content the dominant thermodynamic signal for this specific dataset. The key finding is that QuBiS-HiQ recovers this information automatically through Boltzmann-weighted stacking angles and nearest-neighbour correlators without requiring manual feature engineering, a property whose advantage scales with sequence length, where classical cross-feature enumeration grows as O(N</w:t>
      </w:r>
      <w:r w:rsidRPr="00E53203">
        <w:rPr>
          <w:rFonts w:ascii="Times New Roman" w:hAnsi="Times New Roman" w:cs="Times New Roman"/>
          <w:vertAlign w:val="subscript"/>
        </w:rPr>
        <w:t>2</w:t>
      </w:r>
      <w:r w:rsidRPr="00E53203">
        <w:rPr>
          <w:rFonts w:ascii="Times New Roman" w:hAnsi="Times New Roman" w:cs="Times New Roman"/>
        </w:rPr>
        <w:t>). Entanglement ablation at the variable-region level (Table 1, ‘no-WC’ variant) yields R</w:t>
      </w:r>
      <w:r w:rsidRPr="00E53203">
        <w:rPr>
          <w:rFonts w:ascii="Times New Roman" w:hAnsi="Times New Roman" w:cs="Times New Roman"/>
          <w:vertAlign w:val="superscript"/>
        </w:rPr>
        <w:t>2</w:t>
      </w:r>
      <w:r w:rsidRPr="00E53203">
        <w:rPr>
          <w:rFonts w:ascii="Times New Roman" w:hAnsi="Times New Roman" w:cs="Times New Roman"/>
        </w:rPr>
        <w:t xml:space="preserve"> = 0.904, confirming that the dominant thermodynamic signal in this window is captured by nearest-neighbour correlators rather than long-range entanglement. A complete layer-by-layer ablation analysis is detailed in Supplementary Table S6a. Fusing 21-dimensional variable-region quantum features with 17-dimensional classical variable-region descriptors (38 dimensions total) yields R</w:t>
      </w:r>
      <w:r w:rsidRPr="00E53203">
        <w:rPr>
          <w:rFonts w:ascii="Times New Roman" w:hAnsi="Times New Roman" w:cs="Times New Roman"/>
          <w:vertAlign w:val="superscript"/>
        </w:rPr>
        <w:t>2</w:t>
      </w:r>
      <w:r w:rsidRPr="00E53203">
        <w:rPr>
          <w:rFonts w:ascii="Times New Roman" w:hAnsi="Times New Roman" w:cs="Times New Roman"/>
        </w:rPr>
        <w:t xml:space="preserve"> = 0.941 (bootstrapped 95% CI [0.907, 0.965], r = 0.970, p = 8.8 × 29</w:t>
      </w:r>
      <w:r w:rsidRPr="00E53203">
        <w:rPr>
          <w:rFonts w:ascii="Times New Roman" w:hAnsi="Times New Roman" w:cs="Times New Roman"/>
          <w:vertAlign w:val="superscript"/>
        </w:rPr>
        <w:t>-40</w:t>
      </w:r>
      <w:r w:rsidRPr="00E53203">
        <w:rPr>
          <w:rFonts w:ascii="Times New Roman" w:hAnsi="Times New Roman" w:cs="Times New Roman"/>
        </w:rPr>
        <w:t xml:space="preserve">, MAE = 0.41 °C; Table 1). Non-overlapping 95% confidence intervals between the fused model and either component alone confirm genuine feature complementarity: quantum circuit outputs capture thermodynamic information partially orthogonal to hand-engineered descriptors. This orthogonality reflects the three-way </w:t>
      </w:r>
      <w:r w:rsidRPr="00E53203">
        <w:rPr>
          <w:rFonts w:ascii="Cambria Math" w:hAnsi="Cambria Math" w:cs="Cambria Math"/>
        </w:rPr>
        <w:t>⟨</w:t>
      </w:r>
      <w:proofErr w:type="spellStart"/>
      <w:r w:rsidRPr="00E53203">
        <w:rPr>
          <w:rFonts w:ascii="Times New Roman" w:hAnsi="Times New Roman" w:cs="Times New Roman"/>
        </w:rPr>
        <w:t>Z</w:t>
      </w:r>
      <w:r w:rsidRPr="00E53203">
        <w:rPr>
          <w:rFonts w:ascii="Times New Roman" w:hAnsi="Times New Roman" w:cs="Times New Roman"/>
          <w:vertAlign w:val="subscript"/>
        </w:rPr>
        <w:t>a</w:t>
      </w:r>
      <w:r w:rsidRPr="00E53203">
        <w:rPr>
          <w:rFonts w:ascii="Times New Roman" w:hAnsi="Times New Roman" w:cs="Times New Roman"/>
        </w:rPr>
        <w:t>Z</w:t>
      </w:r>
      <w:r w:rsidRPr="00E53203">
        <w:rPr>
          <w:rFonts w:ascii="Times New Roman" w:hAnsi="Times New Roman" w:cs="Times New Roman"/>
          <w:vertAlign w:val="subscript"/>
        </w:rPr>
        <w:t>b</w:t>
      </w:r>
      <w:proofErr w:type="spellEnd"/>
      <w:r w:rsidRPr="00E53203">
        <w:rPr>
          <w:rFonts w:ascii="Cambria Math" w:hAnsi="Cambria Math" w:cs="Cambria Math"/>
        </w:rPr>
        <w:t>⟩</w:t>
      </w:r>
      <w:r w:rsidRPr="00E53203">
        <w:rPr>
          <w:rFonts w:ascii="Times New Roman" w:hAnsi="Times New Roman" w:cs="Times New Roman"/>
        </w:rPr>
        <w:t xml:space="preserve"> cross-term, which encodes an interaction absent in any linear combination of classical single-site features. Condition number analysis confirms that the exact quantum feature kernel is well-conditioned and full-rank on this dataset (κ = 2.34 × 29</w:t>
      </w:r>
      <w:r w:rsidRPr="00E53203">
        <w:rPr>
          <w:rFonts w:ascii="Times New Roman" w:hAnsi="Times New Roman" w:cs="Times New Roman"/>
          <w:vertAlign w:val="superscript"/>
        </w:rPr>
        <w:t>1</w:t>
      </w:r>
      <w:r w:rsidRPr="00E53203">
        <w:rPr>
          <w:rFonts w:ascii="Times New Roman" w:hAnsi="Times New Roman" w:cs="Times New Roman"/>
        </w:rPr>
        <w:t>; Supplementary Table S6b). Notably, the classical physics-informed baseline (17-dimensional composition vector) outperforms the quantum circuit alone (21-dimensional variable-region features) by 2.4 percentage points (R</w:t>
      </w:r>
      <w:r w:rsidRPr="00E53203">
        <w:rPr>
          <w:rFonts w:ascii="Times New Roman" w:hAnsi="Times New Roman" w:cs="Times New Roman"/>
          <w:vertAlign w:val="superscript"/>
        </w:rPr>
        <w:t>2</w:t>
      </w:r>
      <w:r w:rsidRPr="00E53203">
        <w:rPr>
          <w:rFonts w:ascii="Times New Roman" w:hAnsi="Times New Roman" w:cs="Times New Roman"/>
        </w:rPr>
        <w:t xml:space="preserve"> = 0.935 vs 0.911), demonstrating that the primary predictive signal resides in the SantaLucia parameter encoding rather than quantum interference effects. However, quantum features capture orthogonal information, yielding a synergistic improvement when fused with classical descriptors. Table 2 summarises the </w:t>
      </w:r>
      <w:r w:rsidR="00281606" w:rsidRPr="00E53203">
        <w:rPr>
          <w:rFonts w:ascii="Times New Roman" w:hAnsi="Times New Roman" w:cs="Times New Roman"/>
        </w:rPr>
        <w:t>performance of the classical, quantum, and combined feature set</w:t>
      </w:r>
      <w:r w:rsidRPr="00E53203">
        <w:rPr>
          <w:rFonts w:ascii="Times New Roman" w:hAnsi="Times New Roman" w:cs="Times New Roman"/>
        </w:rPr>
        <w:t>s on this benchmark.</w:t>
      </w:r>
    </w:p>
    <w:p w14:paraId="25FE64DE"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Thermodynamic landscape encoding across the complete 8-mer sequence space</w:t>
      </w:r>
    </w:p>
    <w:p w14:paraId="2B705CD6" w14:textId="1B367B1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To characterise how QuBiS-HiQ encodes the full thermodynamic landscape, we computed 47-dimensional circuit feature vectors for all 21</w:t>
      </w:r>
      <w:r w:rsidRPr="00E53203">
        <w:rPr>
          <w:rFonts w:ascii="Times New Roman" w:eastAsia="Times New Roman" w:hAnsi="Times New Roman" w:cs="Times New Roman"/>
          <w:vertAlign w:val="superscript"/>
        </w:rPr>
        <w:t>8</w:t>
      </w:r>
      <w:r w:rsidRPr="00E53203">
        <w:rPr>
          <w:rFonts w:ascii="Times New Roman" w:eastAsia="Times New Roman" w:hAnsi="Times New Roman" w:cs="Times New Roman"/>
        </w:rPr>
        <w:t xml:space="preserve"> </w:t>
      </w:r>
      <w:r w:rsidR="00E53203">
        <w:rPr>
          <w:rFonts w:ascii="Times New Roman" w:eastAsia="Times New Roman" w:hAnsi="Times New Roman" w:cs="Times New Roman"/>
        </w:rPr>
        <w:t>(65,536) possible DNA 8-mers and regressed them</w:t>
      </w:r>
      <w:r w:rsidRPr="00E53203">
        <w:rPr>
          <w:rFonts w:ascii="Times New Roman" w:eastAsia="Times New Roman" w:hAnsi="Times New Roman" w:cs="Times New Roman"/>
        </w:rPr>
        <w:t xml:space="preserve"> against SantaLucia NN ΔG° values. Ridge regression achieves full-dataset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0.868 (cross-validated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0.764 ± 0.055; MAE = 0.626 kcal mol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Uniform Manifold Approximation and Projection (UMAP) dimensionality reduction of the 65,536-sequence feature matrix reveals five well-separated clusters with smooth ΔG° gradients (Fig. 3), confirming that the circuit organises sequences by thermodynamic similarity rather than by literal nucleotide content. For direct comparison, classical support vector regression with a radial basis function kernel (SVR-RBF) with a rich 78-dimensional feature vector achieves cross-validated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0.993 ± 0.002 on a 20,000-sequence sample; even a minimal 31-dimensional vector yields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0.995 ± 0.001 (Supplementary Tables S4a and S4b). While a performance gap exists at the 8-mer scale, this is expected: 16-qubit circuits are classically </w:t>
      </w:r>
      <w:proofErr w:type="spellStart"/>
      <w:r w:rsidRPr="00E53203">
        <w:rPr>
          <w:rFonts w:ascii="Times New Roman" w:eastAsia="Times New Roman" w:hAnsi="Times New Roman" w:cs="Times New Roman"/>
        </w:rPr>
        <w:t>simulable</w:t>
      </w:r>
      <w:proofErr w:type="spellEnd"/>
      <w:r w:rsidRPr="00E53203">
        <w:rPr>
          <w:rFonts w:ascii="Times New Roman" w:eastAsia="Times New Roman" w:hAnsi="Times New Roman" w:cs="Times New Roman"/>
        </w:rPr>
        <w:t xml:space="preserve">, and Ridge regression’s linearity constraint limits performance on a nonlinear thermodynamic space. The conditions under which quantum feature maps provide a genuine advantage over classical representations have been formalised, and the present results are consistent with that framework: at 20 qubits with smooth polynomial ΔG° targets, classical kernel methods have access to equivalent inductive biases. The quantum circuit’s advantages are automatic interference-generated cross-terms at O(N) depth, physics-interpretable features, and hardware-native linear depth scaling that become operationally relevant for longer sequences (N &gt; 25), where exact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simulation exceeds single-machine memory (~4 TB at 50 qubits</w:t>
      </w:r>
      <w:r w:rsidR="00E53203">
        <w:rPr>
          <w:rFonts w:ascii="Times New Roman" w:eastAsia="Times New Roman" w:hAnsi="Times New Roman" w:cs="Times New Roman"/>
        </w:rPr>
        <w:t>)</w:t>
      </w:r>
      <w:r w:rsidRPr="00E53203">
        <w:rPr>
          <w:rFonts w:ascii="Times New Roman" w:eastAsia="Times New Roman" w:hAnsi="Times New Roman" w:cs="Times New Roman"/>
        </w:rPr>
        <w:t>.</w:t>
      </w:r>
    </w:p>
    <w:p w14:paraId="10A63C76"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Gate parameterisation ablation</w:t>
      </w:r>
    </w:p>
    <w:p w14:paraId="546A2F9E" w14:textId="6947F57E" w:rsidR="00EE7AB8" w:rsidRPr="00E53203" w:rsidRDefault="006D1517">
      <w:pPr>
        <w:spacing w:line="360" w:lineRule="auto"/>
        <w:rPr>
          <w:rFonts w:ascii="Times New Roman" w:eastAsia="Times New Roman" w:hAnsi="Times New Roman" w:cs="Times New Roman"/>
        </w:rPr>
      </w:pPr>
      <w:r w:rsidRPr="00E53203">
        <w:rPr>
          <w:rFonts w:ascii="Times New Roman" w:eastAsia="Gungsuh" w:hAnsi="Times New Roman" w:cs="Times New Roman"/>
        </w:rPr>
        <w:t xml:space="preserve">To isolate the contribution of thermodynamic gate parameterisation from circuit topology, five circuit variants were evaluated on 500 stratified 8-mer sequences (Table 2, Fig. 4). Replacing all Boltzmann-sigmoid angles with values drawn uniformly from [−π, </w:t>
      </w:r>
      <w:r w:rsidR="00AB56F2" w:rsidRPr="00E53203">
        <w:rPr>
          <w:rFonts w:ascii="Times New Roman" w:eastAsia="Gungsuh" w:hAnsi="Times New Roman" w:cs="Times New Roman"/>
        </w:rPr>
        <w:t>π] preserving</w:t>
      </w:r>
      <w:r w:rsidRPr="00E53203">
        <w:rPr>
          <w:rFonts w:ascii="Times New Roman" w:eastAsia="Gungsuh" w:hAnsi="Times New Roman" w:cs="Times New Roman"/>
        </w:rPr>
        <w:t xml:space="preserve"> every aspect of circuit structure including qubit connectivity, CNOT locations, and gate ordering collapses cross-validated R</w:t>
      </w:r>
      <w:r w:rsidRPr="00E53203">
        <w:rPr>
          <w:rFonts w:ascii="Times New Roman" w:eastAsia="Times New Roman" w:hAnsi="Times New Roman" w:cs="Times New Roman"/>
          <w:vertAlign w:val="superscript"/>
        </w:rPr>
        <w:t>2</w:t>
      </w:r>
      <w:r w:rsidRPr="00E53203">
        <w:rPr>
          <w:rFonts w:ascii="Times New Roman" w:eastAsia="Gungsuh" w:hAnsi="Times New Roman" w:cs="Times New Roman"/>
        </w:rPr>
        <w:t xml:space="preserve"> from +0.813 to −0.147, a 0.96-unit drop reproduced across 29 independent replicates (</w:t>
      </w:r>
      <w:proofErr w:type="spellStart"/>
      <w:r w:rsidRPr="00E53203">
        <w:rPr>
          <w:rFonts w:ascii="Times New Roman" w:eastAsia="Gungsuh" w:hAnsi="Times New Roman" w:cs="Times New Roman"/>
        </w:rPr>
        <w:t>s.d.</w:t>
      </w:r>
      <w:proofErr w:type="spellEnd"/>
      <w:r w:rsidRPr="00E53203">
        <w:rPr>
          <w:rFonts w:ascii="Times New Roman" w:eastAsia="Gungsuh" w:hAnsi="Times New Roman" w:cs="Times New Roman"/>
        </w:rPr>
        <w:t xml:space="preserve"> = 0.048). This confirms that thermodynamic information is encoded in gate parameterisation rather than circuit topology. All structured variants cluster tightly at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0.81</w:t>
      </w:r>
      <w:r w:rsidR="00161801" w:rsidRPr="00E53203">
        <w:rPr>
          <w:rFonts w:ascii="Times New Roman" w:eastAsia="Times New Roman" w:hAnsi="Times New Roman" w:cs="Times New Roman"/>
        </w:rPr>
        <w:t>-</w:t>
      </w:r>
      <w:r w:rsidRPr="00E53203">
        <w:rPr>
          <w:rFonts w:ascii="Times New Roman" w:eastAsia="Times New Roman" w:hAnsi="Times New Roman" w:cs="Times New Roman"/>
        </w:rPr>
        <w:t>0.84 and are statistically indistinguishable from the classical twin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0.834 ± 0.023) at the 8-mer scale, consistent with the Watson-Crick CRZ layer being largely inactive for sequences this short (</w:t>
      </w:r>
      <w:proofErr w:type="spellStart"/>
      <w:r w:rsidRPr="00E53203">
        <w:rPr>
          <w:rFonts w:ascii="Times New Roman" w:eastAsia="Times New Roman" w:hAnsi="Times New Roman" w:cs="Times New Roman"/>
        </w:rPr>
        <w:t>ViennaRNA</w:t>
      </w:r>
      <w:proofErr w:type="spellEnd"/>
      <w:r w:rsidRPr="00E53203">
        <w:rPr>
          <w:rFonts w:ascii="Times New Roman" w:eastAsia="Times New Roman" w:hAnsi="Times New Roman" w:cs="Times New Roman"/>
        </w:rPr>
        <w:t xml:space="preserve"> predicts secondary structure for only 58 of 65,536 8-mers, 0.1%; Supplementary Table S8).</w:t>
      </w:r>
    </w:p>
    <w:p w14:paraId="08B19572" w14:textId="3C6ABF0D"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Extended ablation on the Oliveira et al. T</w:t>
      </w:r>
      <w:r w:rsidRPr="00E53203">
        <w:rPr>
          <w:rFonts w:ascii="Times New Roman" w:eastAsia="Times New Roman" w:hAnsi="Times New Roman" w:cs="Times New Roman"/>
          <w:vertAlign w:val="subscript"/>
        </w:rPr>
        <w:t>m</w:t>
      </w:r>
      <w:r w:rsidRPr="00E53203">
        <w:rPr>
          <w:rFonts w:ascii="Times New Roman" w:eastAsia="Times New Roman" w:hAnsi="Times New Roman" w:cs="Times New Roman"/>
        </w:rPr>
        <w:t xml:space="preserve"> dataset provides layer-level mechanistic resolution. On the full 111-dimensional feature vector, removing the Watson-Crick CRZ layer improves regression performance by ΔR2 = +0.077 (from 0.776 to 0.853), consistent with hairpin-encoding gates introducing noise in linear duplexes lacking predicted secondary structure. Removal of all CNOT entanglement degrades performance by ΔR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-0.214 (from 0.776 to 0.561). Random CX gates with physics-informed encoding angles collapse to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-0.315, demonstrating that circuit topology and thermodynamic parameterisation must work in concert. At the variable-region level, all physics-informed variants converge to R</w:t>
      </w:r>
      <w:r w:rsidR="00E53203">
        <w:rPr>
          <w:rFonts w:ascii="Times New Roman" w:eastAsia="Times New Roman" w:hAnsi="Times New Roman" w:cs="Times New Roman"/>
          <w:vertAlign w:val="superscript"/>
        </w:rPr>
        <w:t xml:space="preserve">² </w:t>
      </w:r>
      <w:r w:rsidR="00E53203" w:rsidRPr="00E53203">
        <w:rPr>
          <w:rFonts w:ascii="Times New Roman" w:eastAsia="Times New Roman" w:hAnsi="Times New Roman" w:cs="Times New Roman"/>
        </w:rPr>
        <w:t>=</w:t>
      </w:r>
      <w:r w:rsidRPr="00E53203">
        <w:rPr>
          <w:rFonts w:ascii="Times New Roman" w:eastAsia="Gungsuh" w:hAnsi="Times New Roman" w:cs="Times New Roman"/>
        </w:rPr>
        <w:t xml:space="preserve"> 0.91. Full results are provided in Supplementary Table S6a.</w:t>
      </w:r>
    </w:p>
    <w:p w14:paraId="1FBEF01C"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Structural topology classification</w:t>
      </w:r>
    </w:p>
    <w:p w14:paraId="7B0E36C3" w14:textId="4643FBE6"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To assess the Watson-Crick layer’s contribution to secondary structure discrimination, we constructed 176 matched 8-mer sequence pairs in which each pair has near-identical NN free energy (|ΔG°</w:t>
      </w:r>
      <w:r w:rsidRPr="00E53203">
        <w:rPr>
          <w:rFonts w:ascii="Times New Roman" w:eastAsia="Times New Roman" w:hAnsi="Times New Roman" w:cs="Times New Roman"/>
          <w:vertAlign w:val="superscript"/>
        </w:rPr>
        <w:t>1</w:t>
      </w:r>
      <w:r w:rsidRPr="00E53203">
        <w:rPr>
          <w:rFonts w:ascii="Times New Roman" w:eastAsia="Gungsuh" w:hAnsi="Times New Roman" w:cs="Times New Roman"/>
        </w:rPr>
        <w:t xml:space="preserve"> − ΔG°</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&lt; 1.0 kcal mol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but differing </w:t>
      </w:r>
      <w:proofErr w:type="spellStart"/>
      <w:r w:rsidRPr="00E53203">
        <w:rPr>
          <w:rFonts w:ascii="Times New Roman" w:eastAsia="Times New Roman" w:hAnsi="Times New Roman" w:cs="Times New Roman"/>
        </w:rPr>
        <w:t>ViennaRN</w:t>
      </w:r>
      <w:r w:rsidR="00E53203">
        <w:rPr>
          <w:rFonts w:ascii="Times New Roman" w:eastAsia="Times New Roman" w:hAnsi="Times New Roman" w:cs="Times New Roman"/>
        </w:rPr>
        <w:t>A</w:t>
      </w:r>
      <w:proofErr w:type="spellEnd"/>
      <w:r w:rsidRPr="00E53203">
        <w:rPr>
          <w:rFonts w:ascii="Times New Roman" w:eastAsia="Times New Roman" w:hAnsi="Times New Roman" w:cs="Times New Roman"/>
        </w:rPr>
        <w:t xml:space="preserve"> secondary structure predictions. Three classifiers, such as SVM-RBF, SVM-Linear, and Random Forest, each achieve 100.0 ± 0.0% accuracy on 47-dimensional QuBiS-HiQ features (5-fold stratified cross-validation (CV); Fig. 5</w:t>
      </w:r>
      <w:proofErr w:type="gramStart"/>
      <w:r w:rsidRPr="00E53203">
        <w:rPr>
          <w:rFonts w:ascii="Times New Roman" w:eastAsia="Times New Roman" w:hAnsi="Times New Roman" w:cs="Times New Roman"/>
        </w:rPr>
        <w:t>a,b</w:t>
      </w:r>
      <w:proofErr w:type="gramEnd"/>
      <w:r w:rsidRPr="00E53203">
        <w:rPr>
          <w:rFonts w:ascii="Times New Roman" w:eastAsia="Times New Roman" w:hAnsi="Times New Roman" w:cs="Times New Roman"/>
        </w:rPr>
        <w:t xml:space="preserve">). Principal component analysis (PCA) reveals perfect linear separability in the first two principal components (PC1 = 35.8%, PC2 = 11.6%; Fig. 5a). The separation arises from CRZ gates introducing systematic </w:t>
      </w:r>
      <w:r w:rsidRPr="00E53203">
        <w:rPr>
          <w:rFonts w:ascii="Cambria Math" w:eastAsia="Cambria Math" w:hAnsi="Cambria Math" w:cs="Cambria Math"/>
        </w:rPr>
        <w:t>⟨</w:t>
      </w:r>
      <w:r w:rsidRPr="00E53203">
        <w:rPr>
          <w:rFonts w:ascii="Times New Roman" w:eastAsia="Times New Roman" w:hAnsi="Times New Roman" w:cs="Times New Roman"/>
        </w:rPr>
        <w:t>ZZ</w:t>
      </w:r>
      <w:r w:rsidRPr="00E53203">
        <w:rPr>
          <w:rFonts w:ascii="Cambria Math" w:eastAsia="Cambria Math" w:hAnsi="Cambria Math" w:cs="Cambria Math"/>
        </w:rPr>
        <w:t>⟩</w:t>
      </w:r>
      <w:r w:rsidRPr="00E53203">
        <w:rPr>
          <w:rFonts w:ascii="Times New Roman" w:eastAsia="Times New Roman" w:hAnsi="Times New Roman" w:cs="Times New Roman"/>
        </w:rPr>
        <w:t xml:space="preserve"> correlators between complementary base-pair qubits, creating a topologically distinct manifold in feature space absent in unstructured sequences. Classical SVM-RBF with both 78-dimensional and 31-dimensional feature vectors also achieves 100.0 ± 0.0% accuracy (Supplementary Tables S4a and S4b). Analysis reveals that the heuristic hairpin-generation procedure produces palindromic sequences with systematic positional composition patterns independently detectable from one-hot features. This does not invalidate the quantum mechanism by which QuBiS-HiQ achieves perfect classification through CRZ </w:t>
      </w:r>
      <w:r w:rsidRPr="00E53203">
        <w:rPr>
          <w:rFonts w:ascii="Cambria Math" w:eastAsia="Cambria Math" w:hAnsi="Cambria Math" w:cs="Cambria Math"/>
        </w:rPr>
        <w:t>⟨</w:t>
      </w:r>
      <w:r w:rsidRPr="00E53203">
        <w:rPr>
          <w:rFonts w:ascii="Times New Roman" w:eastAsia="Times New Roman" w:hAnsi="Times New Roman" w:cs="Times New Roman"/>
        </w:rPr>
        <w:t>ZZ</w:t>
      </w:r>
      <w:r w:rsidRPr="00E53203">
        <w:rPr>
          <w:rFonts w:ascii="Cambria Math" w:eastAsia="Cambria Math" w:hAnsi="Cambria Math" w:cs="Cambria Math"/>
        </w:rPr>
        <w:t>⟩</w:t>
      </w:r>
      <w:r w:rsidRPr="00E53203">
        <w:rPr>
          <w:rFonts w:ascii="Times New Roman" w:eastAsia="Times New Roman" w:hAnsi="Times New Roman" w:cs="Times New Roman"/>
        </w:rPr>
        <w:t xml:space="preserve"> correlators rooted in the encoding-mutation isomorphism. However, it means the classification accuracy metric alone cannot distinguish quantum from classical pathways at the 8-mer scale under this specific generation procedure. The Watson-Crick layer has negligible influence on ΔG° prediction regardless of topology (|ΔR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&lt; 0.012; Supplementary Table S8), as expected since ΔG° is a pure stacking propert</w:t>
      </w:r>
      <w:r w:rsidR="00E53203">
        <w:rPr>
          <w:rFonts w:ascii="Times New Roman" w:eastAsia="Times New Roman" w:hAnsi="Times New Roman" w:cs="Times New Roman"/>
        </w:rPr>
        <w:t>y</w:t>
      </w:r>
      <w:r w:rsidRPr="00E53203">
        <w:rPr>
          <w:rFonts w:ascii="Times New Roman" w:eastAsia="Times New Roman" w:hAnsi="Times New Roman" w:cs="Times New Roman"/>
        </w:rPr>
        <w:t>.</w:t>
      </w:r>
    </w:p>
    <w:p w14:paraId="6B57D9D0"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Quantum hardware execution and fidelity validation</w:t>
      </w:r>
    </w:p>
    <w:p w14:paraId="244BEDE3" w14:textId="67B4C030"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All QuBiS-HiQ circuit variants were executed on IBM Quantum hardware to validate fidelity and cross-platform portability.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(Heron r2, 156 qubits, median CNOT error ~2 × 29</w:t>
      </w:r>
      <w:r w:rsidR="00E53203">
        <w:rPr>
          <w:rFonts w:ascii="Times New Roman" w:eastAsia="Gungsuh" w:hAnsi="Times New Roman" w:cs="Times New Roman"/>
          <w:vertAlign w:val="superscript"/>
        </w:rPr>
        <w:t>-</w:t>
      </w:r>
      <w:r w:rsidRPr="00E53203">
        <w:rPr>
          <w:rFonts w:ascii="Times New Roman" w:eastAsia="Gungsuh" w:hAnsi="Times New Roman" w:cs="Times New Roman"/>
          <w:vertAlign w:val="superscript"/>
        </w:rPr>
        <w:t>3</w:t>
      </w:r>
      <w:r w:rsidRPr="00E53203">
        <w:rPr>
          <w:rFonts w:ascii="Times New Roman" w:eastAsia="Times New Roman" w:hAnsi="Times New Roman" w:cs="Times New Roman"/>
        </w:rPr>
        <w:t>, T</w:t>
      </w:r>
      <w:r w:rsidRPr="00E53203">
        <w:rPr>
          <w:rFonts w:ascii="Times New Roman" w:eastAsia="Times New Roman" w:hAnsi="Times New Roman" w:cs="Times New Roman"/>
          <w:vertAlign w:val="subscript"/>
        </w:rPr>
        <w:t>1</w:t>
      </w:r>
      <w:r w:rsidRPr="00E53203">
        <w:rPr>
          <w:rFonts w:ascii="Times New Roman" w:eastAsia="Times New Roman" w:hAnsi="Times New Roman" w:cs="Times New Roman"/>
        </w:rPr>
        <w:t xml:space="preserve"> ~ 200 µs), 16 thermodynamically diverse 8-mer sequences (10 high-GC, 10 low-GC, 10 mixed; 21,096 shots each, SamplerV2 primitive) yield mean cosine similarity against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reference features of 0.9970 ± 0.0005, with all 16 sequences exceeding the 0.995 threshold (Table 3) (Fig. 4c). Cross-platform validation on </w:t>
      </w:r>
      <w:proofErr w:type="spellStart"/>
      <w:r w:rsidRPr="00E53203">
        <w:rPr>
          <w:rFonts w:ascii="Times New Roman" w:eastAsia="Times New Roman" w:hAnsi="Times New Roman" w:cs="Times New Roman"/>
        </w:rPr>
        <w:t>ibm_torino</w:t>
      </w:r>
      <w:proofErr w:type="spellEnd"/>
      <w:r w:rsidRPr="00E53203">
        <w:rPr>
          <w:rFonts w:ascii="Times New Roman" w:eastAsia="Times New Roman" w:hAnsi="Times New Roman" w:cs="Times New Roman"/>
        </w:rPr>
        <w:t xml:space="preserve"> (Heron r1, 133 qubits, CNOT error ~3 × 29</w:t>
      </w:r>
      <w:r w:rsidR="009765A1" w:rsidRPr="00E53203">
        <w:rPr>
          <w:rFonts w:ascii="Times New Roman" w:eastAsia="Gungsuh" w:hAnsi="Times New Roman" w:cs="Times New Roman"/>
          <w:vertAlign w:val="superscript"/>
        </w:rPr>
        <w:t>-</w:t>
      </w:r>
      <w:r w:rsidRPr="00E53203">
        <w:rPr>
          <w:rFonts w:ascii="Times New Roman" w:eastAsia="Gungsuh" w:hAnsi="Times New Roman" w:cs="Times New Roman"/>
          <w:vertAlign w:val="superscript"/>
        </w:rPr>
        <w:t>3</w:t>
      </w:r>
      <w:r w:rsidRPr="00E53203">
        <w:rPr>
          <w:rFonts w:ascii="Times New Roman" w:eastAsia="Cardo" w:hAnsi="Times New Roman" w:cs="Times New Roman"/>
        </w:rPr>
        <w:t>) yields 0.9948 ± 0.0015. The systematic cross-platform offset Δ = −0.0022 satisfies the |Δ| &lt; 0.01 portability criterion, is uniform across all GC groups, and is attributable to the r1 processor’s higher base gate error rate rather than any circuit-specific sensitivity (Fig. 4d). IBM Quantum job identifiers are provided in Supplementary Table S</w:t>
      </w:r>
      <w:r w:rsidR="00E53203">
        <w:rPr>
          <w:rFonts w:ascii="Times New Roman" w:eastAsia="Cardo" w:hAnsi="Times New Roman" w:cs="Times New Roman"/>
        </w:rPr>
        <w:t>9</w:t>
      </w:r>
      <w:r w:rsidRPr="00E53203">
        <w:rPr>
          <w:rFonts w:ascii="Times New Roman" w:eastAsia="Cardo" w:hAnsi="Times New Roman" w:cs="Times New Roman"/>
        </w:rPr>
        <w:t>.</w:t>
      </w:r>
    </w:p>
    <w:p w14:paraId="0FF1D18B" w14:textId="5B0E4F43"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Scaling to 12-mer sequences (24-qubit circuits), the baseline cosine similarity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is 0.9899 ± 0.0021 (Fig. 5a). Applying XY21 dynamical decoupling combined with Pauli twirling error mitigation protocols that suppress coherence errors in idle qubit</w:t>
      </w:r>
      <w:r w:rsidR="00531CD8">
        <w:rPr>
          <w:rFonts w:ascii="Times New Roman" w:eastAsia="Times New Roman" w:hAnsi="Times New Roman" w:cs="Times New Roman"/>
        </w:rPr>
        <w:t>s</w:t>
      </w:r>
      <w:r w:rsidRPr="00E53203">
        <w:rPr>
          <w:rFonts w:ascii="Times New Roman" w:eastAsia="Times New Roman" w:hAnsi="Times New Roman" w:cs="Times New Roman"/>
        </w:rPr>
        <w:t xml:space="preserve"> reduces coherence-limited error by 27%, recovering cosine similarity to 0.9926 ± 0.0013 (Fig. 5b, c). The recent demonstration of quantum error correction below the surface code threshol</w:t>
      </w:r>
      <w:r w:rsidR="00531CD8">
        <w:rPr>
          <w:rFonts w:ascii="Times New Roman" w:eastAsia="Times New Roman" w:hAnsi="Times New Roman" w:cs="Times New Roman"/>
        </w:rPr>
        <w:t>d</w:t>
      </w:r>
      <w:r w:rsidRPr="00E53203">
        <w:rPr>
          <w:rFonts w:ascii="Times New Roman" w:eastAsia="Times New Roman" w:hAnsi="Times New Roman" w:cs="Times New Roman"/>
        </w:rPr>
        <w:t xml:space="preserve"> provides important context: as hardware continues to improve, the operating regime of physics-informed quantum circuits extends smoothly to therapeutic-length sequences without architectural revision. For structured RNA applications where the Watson-Crick CRZ layer is active, and MPS bond dimension growth makes simulation intractable beyond ~30 </w:t>
      </w:r>
      <w:proofErr w:type="spellStart"/>
      <w:r w:rsidRPr="00E53203">
        <w:rPr>
          <w:rFonts w:ascii="Times New Roman" w:eastAsia="Times New Roman" w:hAnsi="Times New Roman" w:cs="Times New Roman"/>
        </w:rPr>
        <w:t>nt</w:t>
      </w:r>
      <w:proofErr w:type="spellEnd"/>
      <w:r w:rsidRPr="00E53203">
        <w:rPr>
          <w:rFonts w:ascii="Times New Roman" w:eastAsia="Times New Roman" w:hAnsi="Times New Roman" w:cs="Times New Roman"/>
        </w:rPr>
        <w:t>, quantum hardware execution is the only route to exact interferometric feature extraction, placing this approach within the utility-scale regime identified by Kim et al</w:t>
      </w:r>
      <w:r w:rsidR="00531CD8">
        <w:rPr>
          <w:rFonts w:ascii="Times New Roman" w:eastAsia="Times New Roman" w:hAnsi="Times New Roman" w:cs="Times New Roman"/>
        </w:rPr>
        <w:t>.</w:t>
      </w:r>
    </w:p>
    <w:p w14:paraId="4B007E30"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Discussion</w:t>
      </w:r>
    </w:p>
    <w:p w14:paraId="6CF5D638" w14:textId="6DD9D29D"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QuBiS-HiQ establishes a design principle for quantum feature extraction in molecular biology: encode experimentally parameterised physical constants directly into gate angles, so that the circuit’s measurement output is a feature vector whose every element carries a defined thermodynamic interpretation. This principle is distinct from variational quantum algorithms, which require gradient-based optimisation and provide no formal connection between circuit parameters and known physical constants. It is also distinct from quantum kernel methods</w:t>
      </w:r>
      <w:r w:rsidR="00161801" w:rsidRPr="00E53203">
        <w:rPr>
          <w:rFonts w:ascii="Times New Roman" w:eastAsia="Times New Roman" w:hAnsi="Times New Roman" w:cs="Times New Roman"/>
        </w:rPr>
        <w:t>, which typically treat the kernel function as a geometric device without a physical interpretation, and from the emerging paradigm of quantum machine learning beyond classical kernel methods</w:t>
      </w:r>
      <w:r w:rsidRPr="00E53203">
        <w:rPr>
          <w:rFonts w:ascii="Times New Roman" w:eastAsia="Times New Roman" w:hAnsi="Times New Roman" w:cs="Times New Roman"/>
        </w:rPr>
        <w:t xml:space="preserve">. The theoretical properties established here provide a rigorous foundation: the encoding-mutation isomorphism connects biological mutation topology to the Boolean hypercube; the Boltzmann-sigmoid uniqueness result grounds the angle mapping in physical axioms; and the interferometric information advantage formally quantifies the gain over classical marginals. Supplementary Table S1 provides a direct mapping from each mathematical claim to its experimental validation. At the 8-mer and 19-mer scales demonstrated here, 16- and 38-qubit circuits, respectively, all computations are classically </w:t>
      </w:r>
      <w:proofErr w:type="spellStart"/>
      <w:r w:rsidRPr="00E53203">
        <w:rPr>
          <w:rFonts w:ascii="Times New Roman" w:eastAsia="Times New Roman" w:hAnsi="Times New Roman" w:cs="Times New Roman"/>
        </w:rPr>
        <w:t>simulable</w:t>
      </w:r>
      <w:proofErr w:type="spellEnd"/>
      <w:r w:rsidRPr="00E53203">
        <w:rPr>
          <w:rFonts w:ascii="Times New Roman" w:eastAsia="Times New Roman" w:hAnsi="Times New Roman" w:cs="Times New Roman"/>
        </w:rPr>
        <w:t>, and classical nonlinear machine learning substantially outperforms quantum + Ridge regression on the ΔG° regression task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0.995 vs 0.764; Supplementary Table S4). The theoretical conditions under which quantum feature maps provide a genuine advantage over classical representations have been characterised in terms of dataset geometry, kernel alignment, and the hardness of classical approximatio</w:t>
      </w:r>
      <w:r w:rsidR="00531CD8">
        <w:rPr>
          <w:rFonts w:ascii="Times New Roman" w:eastAsia="Times New Roman" w:hAnsi="Times New Roman" w:cs="Times New Roman"/>
        </w:rPr>
        <w:t>n</w:t>
      </w:r>
      <w:r w:rsidRPr="00E53203">
        <w:rPr>
          <w:rFonts w:ascii="Times New Roman" w:eastAsia="Gungsuh" w:hAnsi="Times New Roman" w:cs="Times New Roman"/>
        </w:rPr>
        <w:t xml:space="preserve">; the present results are consistent with that framework. The quantum circuit’s current material contributions are mechanistic, physics-correct features generated automatically without feature engineering, interpretable feature elements with defined thermodynamic meaning, and a linear circuit-depth architecture. The classical </w:t>
      </w:r>
      <w:proofErr w:type="spellStart"/>
      <w:r w:rsidRPr="00E53203">
        <w:rPr>
          <w:rFonts w:ascii="Times New Roman" w:eastAsia="Gungsuh" w:hAnsi="Times New Roman" w:cs="Times New Roman"/>
        </w:rPr>
        <w:t>simulability</w:t>
      </w:r>
      <w:proofErr w:type="spellEnd"/>
      <w:r w:rsidRPr="00E53203">
        <w:rPr>
          <w:rFonts w:ascii="Times New Roman" w:eastAsia="Gungsuh" w:hAnsi="Times New Roman" w:cs="Times New Roman"/>
        </w:rPr>
        <w:t xml:space="preserve"> boundary lies at N ≈ 24 (50 qubits) for exact </w:t>
      </w:r>
      <w:proofErr w:type="spellStart"/>
      <w:r w:rsidRPr="00E53203">
        <w:rPr>
          <w:rFonts w:ascii="Times New Roman" w:eastAsia="Gungsuh" w:hAnsi="Times New Roman" w:cs="Times New Roman"/>
        </w:rPr>
        <w:t>statevector</w:t>
      </w:r>
      <w:proofErr w:type="spellEnd"/>
      <w:r w:rsidRPr="00E53203">
        <w:rPr>
          <w:rFonts w:ascii="Times New Roman" w:eastAsia="Gungsuh" w:hAnsi="Times New Roman" w:cs="Times New Roman"/>
        </w:rPr>
        <w:t xml:space="preserve"> simulation</w:t>
      </w:r>
      <w:r w:rsidRPr="00E53203">
        <w:rPr>
          <w:rFonts w:ascii="Times New Roman" w:eastAsia="Times New Roman" w:hAnsi="Times New Roman" w:cs="Times New Roman"/>
        </w:rPr>
        <w:t>; for structured RNA sequences with active Watson-Crick entanglement, the MPS bond dimension boundary is considerably lower.</w:t>
      </w:r>
    </w:p>
    <w:p w14:paraId="2E2819EE" w14:textId="0C1273A1"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The 64-duplex dataset provides a rigorous benchmark because it was not specifically designed for quantum feature extraction: it was created for DNA mismatch thermodynamic</w:t>
      </w:r>
      <w:r w:rsidR="00531CD8">
        <w:rPr>
          <w:rFonts w:ascii="Times New Roman" w:eastAsia="Times New Roman" w:hAnsi="Times New Roman" w:cs="Times New Roman"/>
        </w:rPr>
        <w:t>s,</w:t>
      </w:r>
      <w:r w:rsidRPr="00E53203">
        <w:rPr>
          <w:rFonts w:ascii="Times New Roman" w:eastAsia="Times New Roman" w:hAnsi="Times New Roman" w:cs="Times New Roman"/>
        </w:rPr>
        <w:t xml:space="preserve"> </w:t>
      </w:r>
      <w:r w:rsidR="00531CD8">
        <w:rPr>
          <w:rFonts w:ascii="Times New Roman" w:eastAsia="Times New Roman" w:hAnsi="Times New Roman" w:cs="Times New Roman"/>
        </w:rPr>
        <w:t>and its scaffold holds 16 of 17 positions constant, with the dominant thermodynamic signal being</w:t>
      </w:r>
      <w:r w:rsidRPr="00E53203">
        <w:rPr>
          <w:rFonts w:ascii="Times New Roman" w:eastAsia="Times New Roman" w:hAnsi="Times New Roman" w:cs="Times New Roman"/>
        </w:rPr>
        <w:t xml:space="preserve"> trinucleotide GC content. This single classical feature achieves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0.888. The circuit’s achievement is not to exceed GC count on this constrained dataset, but to match its predictive power automatically through Boltzmann-weighted stacking angles and interference-generated correlators, without any supervised training. A key finding is the observed feature complementarity: fusing quantum and classical features yields R</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 = 0.941, with non-overlapping bootstrapped confidence intervals, compared with either component alone (Table 1), establishing that quantum circuit outputs capture thermodynamic information orthogonal to hand-engineered descriptors. For datasets spanning more diverse nearest-neighbour environments, particularly longer sequences accessible through high-throughput UV melting platforms</w:t>
      </w:r>
      <w:r w:rsidRPr="00E53203">
        <w:rPr>
          <w:rFonts w:ascii="Times New Roman" w:eastAsia="Times New Roman" w:hAnsi="Times New Roman" w:cs="Times New Roman"/>
          <w:vertAlign w:val="superscript"/>
        </w:rPr>
        <w:t>11,</w:t>
      </w:r>
      <w:r w:rsidRPr="00E53203">
        <w:rPr>
          <w:rFonts w:ascii="Times New Roman" w:eastAsia="Times New Roman" w:hAnsi="Times New Roman" w:cs="Times New Roman"/>
        </w:rPr>
        <w:t xml:space="preserve"> this orthogonality is expected to become the primary performance driver.</w:t>
      </w:r>
    </w:p>
    <w:p w14:paraId="53779567" w14:textId="0A158114"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The hardware validation results advance the practical case for physics-informed quantum circuits on near-term processors. The &gt;99.5% cosine fidelity across 16 thermodynamically diverse sequences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the &lt;0.003 cross-platform offset between two processor generations, and the 27% error reduction under error mitigation protocol</w:t>
      </w:r>
      <w:r w:rsidR="00531CD8">
        <w:rPr>
          <w:rFonts w:ascii="Times New Roman" w:eastAsia="Times New Roman" w:hAnsi="Times New Roman" w:cs="Times New Roman"/>
        </w:rPr>
        <w:t xml:space="preserve">s </w:t>
      </w:r>
      <w:r w:rsidRPr="00E53203">
        <w:rPr>
          <w:rFonts w:ascii="Times New Roman" w:eastAsia="Times New Roman" w:hAnsi="Times New Roman" w:cs="Times New Roman"/>
        </w:rPr>
        <w:t>collectively demonstrate that QuBiS-HiQ feature representations are hardware-independent, reproducible, and improvable with established techniques. As hardware error rates continue to decline, a trajectory demonstrated by recent achievements in logical qubit fidelit</w:t>
      </w:r>
      <w:r w:rsidR="00531CD8">
        <w:rPr>
          <w:rFonts w:ascii="Times New Roman" w:eastAsia="Times New Roman" w:hAnsi="Times New Roman" w:cs="Times New Roman"/>
        </w:rPr>
        <w:t>y,</w:t>
      </w:r>
      <w:r w:rsidRPr="00E53203">
        <w:rPr>
          <w:rFonts w:ascii="Times New Roman" w:eastAsia="Times New Roman" w:hAnsi="Times New Roman" w:cs="Times New Roman"/>
        </w:rPr>
        <w:t xml:space="preserve"> the operating regime extends smoothly to therapeutic-length sequences. In contrast to variational quantum algorithms, where circuit depth and barren plateau issues scale adversely with problem size, QuBiS-HiQ’s deterministic, parameter-free architecture requires no retraining as sequence length increases.</w:t>
      </w:r>
    </w:p>
    <w:p w14:paraId="2DAB775F" w14:textId="77777777" w:rsidR="004C7519" w:rsidRPr="00E53203" w:rsidRDefault="004C7519" w:rsidP="004C7519">
      <w:pPr>
        <w:spacing w:line="360" w:lineRule="auto"/>
        <w:rPr>
          <w:rFonts w:ascii="Times New Roman" w:hAnsi="Times New Roman" w:cs="Times New Roman"/>
        </w:rPr>
      </w:pPr>
      <w:r w:rsidRPr="00E53203">
        <w:rPr>
          <w:rFonts w:ascii="Times New Roman" w:hAnsi="Times New Roman" w:cs="Times New Roman"/>
        </w:rPr>
        <w:t xml:space="preserve">Several limitations of this study </w:t>
      </w:r>
      <w:r w:rsidR="001B2A53" w:rsidRPr="00E53203">
        <w:rPr>
          <w:rFonts w:ascii="Times New Roman" w:hAnsi="Times New Roman" w:cs="Times New Roman"/>
        </w:rPr>
        <w:t>are</w:t>
      </w:r>
      <w:r w:rsidRPr="00E53203">
        <w:rPr>
          <w:rFonts w:ascii="Times New Roman" w:hAnsi="Times New Roman" w:cs="Times New Roman"/>
        </w:rPr>
        <w:t xml:space="preserve"> acknowledged </w:t>
      </w:r>
      <w:r w:rsidR="001B2A53" w:rsidRPr="00E53203">
        <w:rPr>
          <w:rFonts w:ascii="Times New Roman" w:hAnsi="Times New Roman" w:cs="Times New Roman"/>
        </w:rPr>
        <w:t>here (see Supplementary Section S6)</w:t>
      </w:r>
      <w:r w:rsidRPr="00E53203">
        <w:rPr>
          <w:rFonts w:ascii="Times New Roman" w:hAnsi="Times New Roman" w:cs="Times New Roman"/>
        </w:rPr>
        <w:t>. First, while QuBiS-HiQ demonstrates theoretical information advantages in correlator space (up to 358% mutual information gain for specific dinucleotides), th</w:t>
      </w:r>
      <w:r w:rsidR="0019482C" w:rsidRPr="00E53203">
        <w:rPr>
          <w:rFonts w:ascii="Times New Roman" w:hAnsi="Times New Roman" w:cs="Times New Roman"/>
        </w:rPr>
        <w:t>ese do not translate in</w:t>
      </w:r>
      <w:r w:rsidRPr="00E53203">
        <w:rPr>
          <w:rFonts w:ascii="Times New Roman" w:hAnsi="Times New Roman" w:cs="Times New Roman"/>
        </w:rPr>
        <w:t>to end-to-end predictive superiority over classical physics-informed models on the tasks studied here. A 17-dimensional classical feature vector (GC content, boundary ΔG°, and one-hot encoding) achieves R</w:t>
      </w:r>
      <w:r w:rsidRPr="00E53203">
        <w:rPr>
          <w:rFonts w:ascii="Times New Roman" w:hAnsi="Times New Roman" w:cs="Times New Roman"/>
          <w:vertAlign w:val="superscript"/>
        </w:rPr>
        <w:t>2</w:t>
      </w:r>
      <w:r w:rsidRPr="00E53203">
        <w:rPr>
          <w:rFonts w:ascii="Times New Roman" w:hAnsi="Times New Roman" w:cs="Times New Roman"/>
        </w:rPr>
        <w:t xml:space="preserve"> = 0.935, exceeding the quantum circuit alone (R</w:t>
      </w:r>
      <w:r w:rsidRPr="00E53203">
        <w:rPr>
          <w:rFonts w:ascii="Times New Roman" w:hAnsi="Times New Roman" w:cs="Times New Roman"/>
          <w:vertAlign w:val="superscript"/>
        </w:rPr>
        <w:t>2</w:t>
      </w:r>
      <w:r w:rsidRPr="00E53203">
        <w:rPr>
          <w:rFonts w:ascii="Times New Roman" w:hAnsi="Times New Roman" w:cs="Times New Roman"/>
        </w:rPr>
        <w:t xml:space="preserve"> = 0.911). Second, ablation studies indicate that for variable-region melting temperature prediction, the SantaLucia parameter encoding accounts for the majority of predictive signal, with entanglement contributing only marginal gains (ΔR</w:t>
      </w:r>
      <w:r w:rsidRPr="00E53203">
        <w:rPr>
          <w:rFonts w:ascii="Times New Roman" w:hAnsi="Times New Roman" w:cs="Times New Roman"/>
          <w:vertAlign w:val="superscript"/>
        </w:rPr>
        <w:t>2</w:t>
      </w:r>
      <w:r w:rsidRPr="00E53203">
        <w:rPr>
          <w:rFonts w:ascii="Times New Roman" w:hAnsi="Times New Roman" w:cs="Times New Roman"/>
        </w:rPr>
        <w:t xml:space="preserve"> ≈ 0.007). The quantum advantage is primarily evident in the automatic generation of cross-correlators without explicit feature engineering, rather than in fundamental computational supremacy. Third, hardware validation was limited to n = 16 sequences and evaluated feature fidelity (cosine similarity &gt; 0.995) rather than end-to-end prediction accuracy, owing to shot-noise constraints on current noisy intermediate-scale quantum (NISQ) devices. Finally, the 8-mer and 19-mer sequence scales investigated here remain classically </w:t>
      </w:r>
      <w:proofErr w:type="spellStart"/>
      <w:r w:rsidRPr="00E53203">
        <w:rPr>
          <w:rFonts w:ascii="Times New Roman" w:hAnsi="Times New Roman" w:cs="Times New Roman"/>
        </w:rPr>
        <w:t>simulable</w:t>
      </w:r>
      <w:proofErr w:type="spellEnd"/>
      <w:r w:rsidRPr="00E53203">
        <w:rPr>
          <w:rFonts w:ascii="Times New Roman" w:hAnsi="Times New Roman" w:cs="Times New Roman"/>
        </w:rPr>
        <w:t>; quantum computational advantage, if achievable, would require extension beyond the matrix-product-state bond-dimension limit (≈ 16 nucleotides) or to structured RNAs where exact simulation is intractable.</w:t>
      </w:r>
    </w:p>
    <w:p w14:paraId="260F4105" w14:textId="085C1EC5" w:rsidR="00EE7AB8" w:rsidRPr="00E53203" w:rsidRDefault="006D1517">
      <w:pPr>
        <w:spacing w:line="360" w:lineRule="auto"/>
        <w:rPr>
          <w:rFonts w:ascii="Times New Roman" w:eastAsia="Times New Roman" w:hAnsi="Times New Roman" w:cs="Times New Roman"/>
        </w:rPr>
      </w:pPr>
      <w:r w:rsidRPr="00E53203">
        <w:rPr>
          <w:rFonts w:ascii="Times New Roman" w:hAnsi="Times New Roman" w:cs="Times New Roman"/>
        </w:rPr>
        <w:t xml:space="preserve">The broader significance of this work extends beyond DNA thermodynamics. The QuBiS framework, which encodes measured molecular parameters into gate angles, parallels the broader movement towards physics-informed machine learning, in which domain knowledge is embedded directly into the model architecture. The widespread success of physics-informed deep learning in structural biology, from AlphaFold 2 to AlphaFold 3, and from predecessor approaches integrating evolutionary and physical constraints, demonstrates that encoding prior physical knowledge into model design is a powerful strategy. Quantum computational chemistry has established that unitary evolution provides a natural representation </w:t>
      </w:r>
      <w:r w:rsidR="00531CD8">
        <w:rPr>
          <w:rFonts w:ascii="Times New Roman" w:hAnsi="Times New Roman" w:cs="Times New Roman"/>
        </w:rPr>
        <w:t>of</w:t>
      </w:r>
      <w:r w:rsidRPr="00E53203">
        <w:rPr>
          <w:rFonts w:ascii="Times New Roman" w:hAnsi="Times New Roman" w:cs="Times New Roman"/>
        </w:rPr>
        <w:t xml:space="preserve"> molecular Ha</w:t>
      </w:r>
      <w:r w:rsidR="00531CD8">
        <w:rPr>
          <w:rFonts w:ascii="Times New Roman" w:hAnsi="Times New Roman" w:cs="Times New Roman"/>
        </w:rPr>
        <w:t>m</w:t>
      </w:r>
      <w:r w:rsidRPr="00E53203">
        <w:rPr>
          <w:rFonts w:ascii="Times New Roman" w:hAnsi="Times New Roman" w:cs="Times New Roman"/>
        </w:rPr>
        <w:t xml:space="preserve">iltonians, and the present work extends this idea to experimental thermodynamic parameters. Protein contact potentials, RNA base-stacking parameters for DNA/RNA hybrid duplexes, and evolutionary covariation matrices all have experimentally parameterised forms that can be directly translated into gate angles by the same Boltzmann-sigmoid mapping established </w:t>
      </w:r>
      <w:r w:rsidR="0035762B" w:rsidRPr="00E53203">
        <w:rPr>
          <w:rFonts w:ascii="Times New Roman" w:hAnsi="Times New Roman" w:cs="Times New Roman"/>
        </w:rPr>
        <w:t>here as uniqu</w:t>
      </w:r>
      <w:r w:rsidRPr="00E53203">
        <w:rPr>
          <w:rFonts w:ascii="Times New Roman" w:hAnsi="Times New Roman" w:cs="Times New Roman"/>
        </w:rPr>
        <w:t>e. Physics-informed quantum circuits constitute a rigorous and replicable tool for generating physically grounded feature representations of biological sequences, applicable today on classical simulators and positioned for computational advantage on near-term quantum hardware as sequence length and structural complexity increase. The present results position QuBiS-HiQ not as a replacement for classical thermodynamic models, but as a complementary feature extractor. The synergistic gain observed when combining quantum and classical features establishes that quantum circuits can capture thermodynamic information orthogonal to hand-engineered descriptors, even when single-modality quantum performance is sub-classical.</w:t>
      </w:r>
    </w:p>
    <w:p w14:paraId="323E1790"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Methods</w:t>
      </w:r>
    </w:p>
    <w:p w14:paraId="131AB260"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Circuit construction and parameterisation</w:t>
      </w:r>
    </w:p>
    <w:p w14:paraId="0239D629" w14:textId="11F6BF7A"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All quantum circuits were constructed using </w:t>
      </w:r>
      <w:proofErr w:type="spellStart"/>
      <w:r w:rsidRPr="00E53203">
        <w:rPr>
          <w:rFonts w:ascii="Times New Roman" w:eastAsia="Times New Roman" w:hAnsi="Times New Roman" w:cs="Times New Roman"/>
        </w:rPr>
        <w:t>Qiskit</w:t>
      </w:r>
      <w:proofErr w:type="spellEnd"/>
      <w:r w:rsidRPr="00E53203">
        <w:rPr>
          <w:rFonts w:ascii="Times New Roman" w:eastAsia="Times New Roman" w:hAnsi="Times New Roman" w:cs="Times New Roman"/>
        </w:rPr>
        <w:t xml:space="preserve"> 2.3.0</w:t>
      </w:r>
      <w:r w:rsidR="00531CD8">
        <w:rPr>
          <w:rFonts w:ascii="Times New Roman" w:eastAsia="Times New Roman" w:hAnsi="Times New Roman" w:cs="Times New Roman"/>
          <w:vertAlign w:val="superscript"/>
        </w:rPr>
        <w:t xml:space="preserve"> </w:t>
      </w:r>
      <w:r w:rsidRPr="00E53203">
        <w:rPr>
          <w:rFonts w:ascii="Times New Roman" w:eastAsia="Times New Roman" w:hAnsi="Times New Roman" w:cs="Times New Roman"/>
        </w:rPr>
        <w:t>and the QuBiS-HiQ v1.0.0 package (https://github.com/ahmedanees-m/QuBiS-HiQ). The six-layer architecture is described in the Results. The ten SantaLucia NN ΔG° values at T = 37 °</w:t>
      </w:r>
      <w:proofErr w:type="spellStart"/>
      <w:r w:rsidRPr="00E53203">
        <w:rPr>
          <w:rFonts w:ascii="Times New Roman" w:eastAsia="Times New Roman" w:hAnsi="Times New Roman" w:cs="Times New Roman"/>
        </w:rPr>
        <w:t>C are</w:t>
      </w:r>
      <w:proofErr w:type="spellEnd"/>
      <w:r w:rsidRPr="00E53203">
        <w:rPr>
          <w:rFonts w:ascii="Times New Roman" w:eastAsia="Times New Roman" w:hAnsi="Times New Roman" w:cs="Times New Roman"/>
        </w:rPr>
        <w:t xml:space="preserve"> encoded as gate angles </w:t>
      </w:r>
      <w:proofErr w:type="spellStart"/>
      <w:r w:rsidRPr="00E53203">
        <w:rPr>
          <w:rFonts w:ascii="Times New Roman" w:eastAsia="Times New Roman" w:hAnsi="Times New Roman" w:cs="Times New Roman"/>
        </w:rPr>
        <w:t>θ</w:t>
      </w:r>
      <w:r w:rsidRPr="00E53203">
        <w:rPr>
          <w:rFonts w:ascii="Times New Roman" w:eastAsia="Times New Roman" w:hAnsi="Times New Roman" w:cs="Times New Roman"/>
          <w:vertAlign w:val="subscript"/>
        </w:rPr>
        <w:t>s</w:t>
      </w:r>
      <w:proofErr w:type="spellEnd"/>
      <w:r w:rsidRPr="00E53203">
        <w:rPr>
          <w:rFonts w:ascii="Times New Roman" w:eastAsia="Cardo" w:hAnsi="Times New Roman" w:cs="Times New Roman"/>
        </w:rPr>
        <w:t xml:space="preserve"> = πσ(−βΔG°), β = 0.39 mol kcal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yielding θ/π values spanning 0.556 (TA/TA) to 0.791 (GC/GC; Supplementary Table S2). Watson-Crick structure prediction uses </w:t>
      </w:r>
      <w:proofErr w:type="spellStart"/>
      <w:r w:rsidRPr="00E53203">
        <w:rPr>
          <w:rFonts w:ascii="Times New Roman" w:eastAsia="Times New Roman" w:hAnsi="Times New Roman" w:cs="Times New Roman"/>
        </w:rPr>
        <w:t>ViennaRNA</w:t>
      </w:r>
      <w:proofErr w:type="spellEnd"/>
      <w:r w:rsidRPr="00E53203">
        <w:rPr>
          <w:rFonts w:ascii="Times New Roman" w:eastAsia="Times New Roman" w:hAnsi="Times New Roman" w:cs="Times New Roman"/>
        </w:rPr>
        <w:t xml:space="preserve"> 2.7.2 with default parameters (37 °C, 1 M NaCl equivalent). Transpiled circuits use optimisation level 20 (</w:t>
      </w:r>
      <w:proofErr w:type="spellStart"/>
      <w:r w:rsidRPr="00E53203">
        <w:rPr>
          <w:rFonts w:ascii="Times New Roman" w:eastAsia="Times New Roman" w:hAnsi="Times New Roman" w:cs="Times New Roman"/>
        </w:rPr>
        <w:t>Qiskit</w:t>
      </w:r>
      <w:proofErr w:type="spellEnd"/>
      <w:r w:rsidRPr="00E53203">
        <w:rPr>
          <w:rFonts w:ascii="Times New Roman" w:eastAsia="Times New Roman" w:hAnsi="Times New Roman" w:cs="Times New Roman"/>
        </w:rPr>
        <w:t xml:space="preserve"> </w:t>
      </w:r>
      <w:proofErr w:type="spellStart"/>
      <w:r w:rsidRPr="00E53203">
        <w:rPr>
          <w:rFonts w:ascii="Times New Roman" w:eastAsia="Times New Roman" w:hAnsi="Times New Roman" w:cs="Times New Roman"/>
        </w:rPr>
        <w:t>transpiler</w:t>
      </w:r>
      <w:proofErr w:type="spellEnd"/>
      <w:r w:rsidRPr="00E53203">
        <w:rPr>
          <w:rFonts w:ascii="Times New Roman" w:eastAsia="Times New Roman" w:hAnsi="Times New Roman" w:cs="Times New Roman"/>
        </w:rPr>
        <w:t>). Feature vector definitions are provided in Supplementary Tables S2.</w:t>
      </w:r>
    </w:p>
    <w:p w14:paraId="7FD988BB"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Validation against experimental melting temperatures</w:t>
      </w:r>
    </w:p>
    <w:p w14:paraId="575F63B9" w14:textId="6BA80202"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The benchmark dataset is drawn from Oliveira et al. (2020). Buffer conditions (10 mM sodium phosphate, 50 mM NaCl, pH 7.4) are consistent with standard NN parameterisation conditions. All 64 sequences were simulated as 38-qubit MPS circuits (</w:t>
      </w:r>
      <w:proofErr w:type="spellStart"/>
      <w:r w:rsidRPr="00E53203">
        <w:rPr>
          <w:rFonts w:ascii="Times New Roman" w:eastAsia="Times New Roman" w:hAnsi="Times New Roman" w:cs="Times New Roman"/>
        </w:rPr>
        <w:t>Qiskit</w:t>
      </w:r>
      <w:proofErr w:type="spellEnd"/>
      <w:r w:rsidRPr="00E53203">
        <w:rPr>
          <w:rFonts w:ascii="Times New Roman" w:eastAsia="Times New Roman" w:hAnsi="Times New Roman" w:cs="Times New Roman"/>
        </w:rPr>
        <w:t xml:space="preserve"> Aer, method='</w:t>
      </w:r>
      <w:proofErr w:type="spellStart"/>
      <w:r w:rsidRPr="00E53203">
        <w:rPr>
          <w:rFonts w:ascii="Times New Roman" w:eastAsia="Times New Roman" w:hAnsi="Times New Roman" w:cs="Times New Roman"/>
        </w:rPr>
        <w:t>matrix_product_state</w:t>
      </w:r>
      <w:proofErr w:type="spellEnd"/>
      <w:r w:rsidRPr="00E53203">
        <w:rPr>
          <w:rFonts w:ascii="Times New Roman" w:eastAsia="Times New Roman" w:hAnsi="Times New Roman" w:cs="Times New Roman"/>
        </w:rPr>
        <w:t>’, 8,192 shots; maximum bond dimension χ = 21, Watson-Crick layer inactive). Variable-region features (21 dimensions) were extracted from qubits 16-21 plus flanking boundary correlators. LOO-CV Ridge regression (α = 1.0, scikit-learn</w:t>
      </w:r>
      <w:r w:rsidRPr="00E53203">
        <w:rPr>
          <w:rFonts w:ascii="Times New Roman" w:eastAsia="Times New Roman" w:hAnsi="Times New Roman" w:cs="Times New Roman"/>
          <w:vertAlign w:val="superscript"/>
        </w:rPr>
        <w:t>43</w:t>
      </w:r>
      <w:r w:rsidRPr="00E53203">
        <w:rPr>
          <w:rFonts w:ascii="Times New Roman" w:eastAsia="Times New Roman" w:hAnsi="Times New Roman" w:cs="Times New Roman"/>
        </w:rPr>
        <w:t xml:space="preserve"> 1.4) was applied with bootstrapped 95% confidence intervals (1,000 resamples). Classical baselines used GC count (1d) and an 18-dimensional composition vector. The combined model fuses 21-dimensional quantum-variable-region and 17-dimensional classical-variable-region features (38</w:t>
      </w:r>
      <w:r w:rsidR="00531CD8">
        <w:rPr>
          <w:rFonts w:ascii="Times New Roman" w:eastAsia="Times New Roman" w:hAnsi="Times New Roman" w:cs="Times New Roman"/>
        </w:rPr>
        <w:t xml:space="preserve"> dimensions in</w:t>
      </w:r>
      <w:r w:rsidRPr="00E53203">
        <w:rPr>
          <w:rFonts w:ascii="Times New Roman" w:eastAsia="Times New Roman" w:hAnsi="Times New Roman" w:cs="Times New Roman"/>
        </w:rPr>
        <w:t xml:space="preserve"> total). Full regression results are provided in Supplementary Tables S7 and S6b.</w:t>
      </w:r>
    </w:p>
    <w:p w14:paraId="01818F72"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Regression analysis of the thermodynamic landscape</w:t>
      </w:r>
    </w:p>
    <w:p w14:paraId="6268B6B8" w14:textId="4E10FBE4"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rPr>
        <w:t>Feature vectors were computed for all 21</w:t>
      </w:r>
      <w:r w:rsidRPr="00E53203">
        <w:rPr>
          <w:rFonts w:ascii="Times New Roman" w:eastAsia="Times New Roman" w:hAnsi="Times New Roman" w:cs="Times New Roman"/>
          <w:vertAlign w:val="superscript"/>
        </w:rPr>
        <w:t>8</w:t>
      </w:r>
      <w:r w:rsidRPr="00E53203">
        <w:rPr>
          <w:rFonts w:ascii="Times New Roman" w:eastAsia="Times New Roman" w:hAnsi="Times New Roman" w:cs="Times New Roman"/>
        </w:rPr>
        <w:t xml:space="preserve"> = 65,536 DNA 8-mers using the </w:t>
      </w:r>
      <w:proofErr w:type="spellStart"/>
      <w:r w:rsidRPr="00E53203">
        <w:rPr>
          <w:rFonts w:ascii="Times New Roman" w:eastAsia="Times New Roman" w:hAnsi="Times New Roman" w:cs="Times New Roman"/>
        </w:rPr>
        <w:t>AerSimulator</w:t>
      </w:r>
      <w:proofErr w:type="spellEnd"/>
      <w:r w:rsidRPr="00E53203">
        <w:rPr>
          <w:rFonts w:ascii="Times New Roman" w:eastAsia="Times New Roman" w:hAnsi="Times New Roman" w:cs="Times New Roman"/>
        </w:rPr>
        <w:t xml:space="preserve">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backend (8,192 shots). Target ΔG° values were computed from SantaLucia NN parameters</w:t>
      </w:r>
      <w:r w:rsidR="00531CD8">
        <w:rPr>
          <w:rFonts w:ascii="Times New Roman" w:eastAsia="Times New Roman" w:hAnsi="Times New Roman" w:cs="Times New Roman"/>
          <w:vertAlign w:val="superscript"/>
        </w:rPr>
        <w:t xml:space="preserve"> </w:t>
      </w:r>
      <w:r w:rsidRPr="00E53203">
        <w:rPr>
          <w:rFonts w:ascii="Times New Roman" w:eastAsia="Times New Roman" w:hAnsi="Times New Roman" w:cs="Times New Roman"/>
        </w:rPr>
        <w:t>at T = 37 °C. Ridge regression with α selected by 5-fold CV (grid: 0.01–100) was applied to 47-dimensional features. Classical comparisons used SVR-RBF (C = 29, γ = ‘scale’) and Random Forest (100 estimators) on 78-dimensional and 31-dimensional feature vectors (5-fold CV, n = 20,000 randomly sampled sequences; Supplementary Table S21, scikit-learn</w:t>
      </w:r>
      <w:r w:rsidRPr="00E53203">
        <w:rPr>
          <w:rFonts w:ascii="Times New Roman" w:eastAsia="Times New Roman" w:hAnsi="Times New Roman" w:cs="Times New Roman"/>
          <w:vertAlign w:val="superscript"/>
        </w:rPr>
        <w:t>43</w:t>
      </w:r>
      <w:r w:rsidRPr="00E53203">
        <w:rPr>
          <w:rFonts w:ascii="Times New Roman" w:eastAsia="Times New Roman" w:hAnsi="Times New Roman" w:cs="Times New Roman"/>
        </w:rPr>
        <w:t xml:space="preserve">). </w:t>
      </w:r>
    </w:p>
    <w:p w14:paraId="6636946C" w14:textId="77777777" w:rsidR="00137EB6" w:rsidRPr="00E53203" w:rsidRDefault="006D1517">
      <w:pPr>
        <w:spacing w:line="360" w:lineRule="auto"/>
        <w:rPr>
          <w:rFonts w:ascii="Times New Roman" w:hAnsi="Times New Roman" w:cs="Times New Roman"/>
          <w:b/>
          <w:bCs/>
        </w:rPr>
      </w:pPr>
      <w:r w:rsidRPr="00E53203">
        <w:rPr>
          <w:rFonts w:ascii="Times New Roman" w:hAnsi="Times New Roman" w:cs="Times New Roman"/>
          <w:b/>
          <w:bCs/>
        </w:rPr>
        <w:t xml:space="preserve">Circuit ablation experiments </w:t>
      </w:r>
    </w:p>
    <w:p w14:paraId="56E8E7E6"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Five circuit variants were evaluated on 500 sequences drawn by stratified sampling over ΔG° quintiles: (</w:t>
      </w:r>
      <w:proofErr w:type="spellStart"/>
      <w:r w:rsidRPr="00E53203">
        <w:rPr>
          <w:rFonts w:ascii="Times New Roman" w:eastAsia="Times New Roman" w:hAnsi="Times New Roman" w:cs="Times New Roman"/>
        </w:rPr>
        <w:t>i</w:t>
      </w:r>
      <w:proofErr w:type="spellEnd"/>
      <w:r w:rsidRPr="00E53203">
        <w:rPr>
          <w:rFonts w:ascii="Times New Roman" w:eastAsia="Times New Roman" w:hAnsi="Times New Roman" w:cs="Times New Roman"/>
        </w:rPr>
        <w:t xml:space="preserve">) full circuit; (ii) no Watson-Crick CRZ layer; (iii) no stacking </w:t>
      </w:r>
      <w:proofErr w:type="spellStart"/>
      <w:r w:rsidRPr="00E53203">
        <w:rPr>
          <w:rFonts w:ascii="Times New Roman" w:eastAsia="Times New Roman" w:hAnsi="Times New Roman" w:cs="Times New Roman"/>
        </w:rPr>
        <w:t>CNOT+R</w:t>
      </w:r>
      <w:r w:rsidRPr="00E53203">
        <w:rPr>
          <w:rFonts w:ascii="Times New Roman" w:eastAsia="Times New Roman" w:hAnsi="Times New Roman" w:cs="Times New Roman"/>
          <w:vertAlign w:val="subscript"/>
        </w:rPr>
        <w:t>y</w:t>
      </w:r>
      <w:proofErr w:type="spellEnd"/>
      <w:r w:rsidRPr="00E53203">
        <w:rPr>
          <w:rFonts w:ascii="Times New Roman" w:eastAsia="Gungsuh" w:hAnsi="Times New Roman" w:cs="Times New Roman"/>
        </w:rPr>
        <w:t xml:space="preserve"> layer; (iv) classical twin (same angle derivation, no quantum interference); (v) random gate angles (uniform [−π, π], 29 independent replicates). All variants used 5-fold CV Ridge regression (scikit-learn</w:t>
      </w:r>
      <w:r w:rsidRPr="00E53203">
        <w:rPr>
          <w:rFonts w:ascii="Times New Roman" w:eastAsia="Times New Roman" w:hAnsi="Times New Roman" w:cs="Times New Roman"/>
          <w:vertAlign w:val="superscript"/>
        </w:rPr>
        <w:t>43</w:t>
      </w:r>
      <w:r w:rsidRPr="00E53203">
        <w:rPr>
          <w:rFonts w:ascii="Times New Roman" w:eastAsia="Times New Roman" w:hAnsi="Times New Roman" w:cs="Times New Roman"/>
        </w:rPr>
        <w:t>). Extended layer-by-layer ablation on the Oliveira dataset (64 duplexes, LOO-CV) is provided in Supplementary Table S6a.</w:t>
      </w:r>
    </w:p>
    <w:p w14:paraId="40153547"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Structural topology classification</w:t>
      </w:r>
    </w:p>
    <w:p w14:paraId="08A9ACA7"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A total of 176 matched 8-mer sequence pairs with |ΔG°</w:t>
      </w:r>
      <w:r w:rsidRPr="00E53203">
        <w:rPr>
          <w:rFonts w:ascii="Times New Roman" w:eastAsia="Times New Roman" w:hAnsi="Times New Roman" w:cs="Times New Roman"/>
          <w:vertAlign w:val="superscript"/>
        </w:rPr>
        <w:t>1</w:t>
      </w:r>
      <w:r w:rsidRPr="00E53203">
        <w:rPr>
          <w:rFonts w:ascii="Times New Roman" w:eastAsia="Gungsuh" w:hAnsi="Times New Roman" w:cs="Times New Roman"/>
        </w:rPr>
        <w:t xml:space="preserve"> − ΔG°</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&lt; 1.0 kcal mol</w:t>
      </w:r>
      <w:r w:rsidRPr="00E53203">
        <w:rPr>
          <w:rFonts w:ascii="Times New Roman" w:eastAsia="Times New Roman" w:hAnsi="Times New Roman" w:cs="Times New Roman"/>
          <w:vertAlign w:val="superscript"/>
        </w:rPr>
        <w:t>-1</w:t>
      </w:r>
      <w:r w:rsidRPr="00E53203">
        <w:rPr>
          <w:rFonts w:ascii="Times New Roman" w:eastAsia="Times New Roman" w:hAnsi="Times New Roman" w:cs="Times New Roman"/>
        </w:rPr>
        <w:t xml:space="preserve"> but differing ViennaRNA</w:t>
      </w:r>
      <w:r w:rsidRPr="00E53203">
        <w:rPr>
          <w:rFonts w:ascii="Times New Roman" w:eastAsia="Times New Roman" w:hAnsi="Times New Roman" w:cs="Times New Roman"/>
          <w:vertAlign w:val="superscript"/>
        </w:rPr>
        <w:t>28</w:t>
      </w:r>
      <w:r w:rsidRPr="00E53203">
        <w:rPr>
          <w:rFonts w:ascii="Times New Roman" w:eastAsia="Times New Roman" w:hAnsi="Times New Roman" w:cs="Times New Roman"/>
        </w:rPr>
        <w:t xml:space="preserve"> secondary structure predictions were evaluated using SVM-RBF (C = 10), SVM-Linear (C = 1), and Random Forest (100 estimators) with 5-fold stratified CV on 47-dimensional QuBiS-HiQ features and on 78-dimensional and 31-dimensional classical feature vectors (Supplementary Table S21, scikit-learn</w:t>
      </w:r>
      <w:r w:rsidRPr="00E53203">
        <w:rPr>
          <w:rFonts w:ascii="Times New Roman" w:eastAsia="Times New Roman" w:hAnsi="Times New Roman" w:cs="Times New Roman"/>
          <w:vertAlign w:val="superscript"/>
        </w:rPr>
        <w:t>43</w:t>
      </w:r>
      <w:r w:rsidRPr="00E53203">
        <w:rPr>
          <w:rFonts w:ascii="Times New Roman" w:eastAsia="Times New Roman" w:hAnsi="Times New Roman" w:cs="Times New Roman"/>
        </w:rPr>
        <w:t>).</w:t>
      </w:r>
    </w:p>
    <w:p w14:paraId="70513D8F"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Quantum hardware execution and fidelity validation</w:t>
      </w:r>
    </w:p>
    <w:p w14:paraId="77B38E4F"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Circuits were executed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(Heron r2, 156 qubits) and </w:t>
      </w:r>
      <w:proofErr w:type="spellStart"/>
      <w:r w:rsidRPr="00E53203">
        <w:rPr>
          <w:rFonts w:ascii="Times New Roman" w:eastAsia="Times New Roman" w:hAnsi="Times New Roman" w:cs="Times New Roman"/>
        </w:rPr>
        <w:t>ibm_torino</w:t>
      </w:r>
      <w:proofErr w:type="spellEnd"/>
      <w:r w:rsidRPr="00E53203">
        <w:rPr>
          <w:rFonts w:ascii="Times New Roman" w:eastAsia="Times New Roman" w:hAnsi="Times New Roman" w:cs="Times New Roman"/>
        </w:rPr>
        <w:t xml:space="preserve"> (Heron r1, 133 qubits) via the IBM Quantum Platform using </w:t>
      </w:r>
      <w:proofErr w:type="spellStart"/>
      <w:r w:rsidRPr="00E53203">
        <w:rPr>
          <w:rFonts w:ascii="Times New Roman" w:eastAsia="Times New Roman" w:hAnsi="Times New Roman" w:cs="Times New Roman"/>
        </w:rPr>
        <w:t>qiskit</w:t>
      </w:r>
      <w:proofErr w:type="spellEnd"/>
      <w:r w:rsidRPr="00E53203">
        <w:rPr>
          <w:rFonts w:ascii="Times New Roman" w:eastAsia="Times New Roman" w:hAnsi="Times New Roman" w:cs="Times New Roman"/>
        </w:rPr>
        <w:t>-</w:t>
      </w:r>
      <w:proofErr w:type="spellStart"/>
      <w:r w:rsidRPr="00E53203">
        <w:rPr>
          <w:rFonts w:ascii="Times New Roman" w:eastAsia="Times New Roman" w:hAnsi="Times New Roman" w:cs="Times New Roman"/>
        </w:rPr>
        <w:t>ibm</w:t>
      </w:r>
      <w:proofErr w:type="spellEnd"/>
      <w:r w:rsidRPr="00E53203">
        <w:rPr>
          <w:rFonts w:ascii="Times New Roman" w:eastAsia="Times New Roman" w:hAnsi="Times New Roman" w:cs="Times New Roman"/>
        </w:rPr>
        <w:t>-runtime 0.41.1 and SamplerV2 (4,096 shots, optimisation level 3). For 12-mer error mitigation, XY21 dynamical decoupling</w:t>
      </w:r>
      <w:r w:rsidRPr="00E53203">
        <w:rPr>
          <w:rFonts w:ascii="Times New Roman" w:eastAsia="Times New Roman" w:hAnsi="Times New Roman" w:cs="Times New Roman"/>
          <w:vertAlign w:val="superscript"/>
        </w:rPr>
        <w:t>32</w:t>
      </w:r>
      <w:r w:rsidRPr="00E53203">
        <w:rPr>
          <w:rFonts w:ascii="Times New Roman" w:eastAsia="Times New Roman" w:hAnsi="Times New Roman" w:cs="Times New Roman"/>
        </w:rPr>
        <w:t xml:space="preserve"> and Pauli twirling</w:t>
      </w:r>
      <w:r w:rsidRPr="00E53203">
        <w:rPr>
          <w:rFonts w:ascii="Times New Roman" w:eastAsia="Times New Roman" w:hAnsi="Times New Roman" w:cs="Times New Roman"/>
          <w:vertAlign w:val="superscript"/>
        </w:rPr>
        <w:t>33</w:t>
      </w:r>
      <w:r w:rsidRPr="00E53203">
        <w:rPr>
          <w:rFonts w:ascii="Times New Roman" w:eastAsia="Times New Roman" w:hAnsi="Times New Roman" w:cs="Times New Roman"/>
        </w:rPr>
        <w:t xml:space="preserve"> were applied. Fidelity was quantified as cosine similarity between ℓ</w:t>
      </w:r>
      <w:r w:rsidRPr="00E53203">
        <w:rPr>
          <w:rFonts w:ascii="Times New Roman" w:eastAsia="Times New Roman" w:hAnsi="Times New Roman" w:cs="Times New Roman"/>
          <w:vertAlign w:val="superscript"/>
        </w:rPr>
        <w:t>2</w:t>
      </w:r>
      <w:r w:rsidRPr="00E53203">
        <w:rPr>
          <w:rFonts w:ascii="Times New Roman" w:eastAsia="Times New Roman" w:hAnsi="Times New Roman" w:cs="Times New Roman"/>
        </w:rPr>
        <w:t xml:space="preserve">-normalised hardware and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reference feature vectors. All job identifiers are listed in Supplementary Table S28.</w:t>
      </w:r>
    </w:p>
    <w:p w14:paraId="3E67542D"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Statistical analysis</w:t>
      </w:r>
    </w:p>
    <w:p w14:paraId="1D151658"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All uncertainties are reported as mean ± </w:t>
      </w:r>
      <w:proofErr w:type="spellStart"/>
      <w:r w:rsidRPr="00E53203">
        <w:rPr>
          <w:rFonts w:ascii="Times New Roman" w:eastAsia="Times New Roman" w:hAnsi="Times New Roman" w:cs="Times New Roman"/>
        </w:rPr>
        <w:t>s.d.</w:t>
      </w:r>
      <w:proofErr w:type="spellEnd"/>
      <w:r w:rsidRPr="00E53203">
        <w:rPr>
          <w:rFonts w:ascii="Times New Roman" w:eastAsia="Times New Roman" w:hAnsi="Times New Roman" w:cs="Times New Roman"/>
        </w:rPr>
        <w:t xml:space="preserve"> over sequence ensembles or cross-validation folds. Pearson correlation coefficients and two-tailed p-values were computed using SciPy 1.13. LOO-CV was used for the Oliveira T</w:t>
      </w:r>
      <w:r w:rsidRPr="00E53203">
        <w:rPr>
          <w:rFonts w:ascii="Times New Roman" w:eastAsia="Times New Roman" w:hAnsi="Times New Roman" w:cs="Times New Roman"/>
          <w:vertAlign w:val="subscript"/>
        </w:rPr>
        <w:t>m</w:t>
      </w:r>
      <w:r w:rsidRPr="00E53203">
        <w:rPr>
          <w:rFonts w:ascii="Times New Roman" w:eastAsia="Times New Roman" w:hAnsi="Times New Roman" w:cs="Times New Roman"/>
        </w:rPr>
        <w:t xml:space="preserve"> experiments (n = 64); 5-fold stratified CV for all other experiments. Bootstrapped 95% confidence intervals were computed from 1,000 stratified resamples.</w:t>
      </w:r>
    </w:p>
    <w:p w14:paraId="4D06F932"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Data availability</w:t>
      </w:r>
    </w:p>
    <w:p w14:paraId="1F92DB18"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Feature matrices, regression predictions, hardware output files, and the complete Oliveira 2020 T</w:t>
      </w:r>
      <w:r w:rsidRPr="00E53203">
        <w:rPr>
          <w:rFonts w:ascii="Times New Roman" w:eastAsia="Times New Roman" w:hAnsi="Times New Roman" w:cs="Times New Roman"/>
          <w:vertAlign w:val="subscript"/>
        </w:rPr>
        <w:t>m</w:t>
      </w:r>
      <w:r w:rsidRPr="00E53203">
        <w:rPr>
          <w:rFonts w:ascii="Times New Roman" w:eastAsia="Times New Roman" w:hAnsi="Times New Roman" w:cs="Times New Roman"/>
        </w:rPr>
        <w:t xml:space="preserve"> dataset are deposited at </w:t>
      </w:r>
      <w:proofErr w:type="spellStart"/>
      <w:r w:rsidRPr="00E53203">
        <w:rPr>
          <w:rFonts w:ascii="Times New Roman" w:eastAsia="Times New Roman" w:hAnsi="Times New Roman" w:cs="Times New Roman"/>
        </w:rPr>
        <w:t>Zenodo</w:t>
      </w:r>
      <w:proofErr w:type="spellEnd"/>
      <w:r w:rsidRPr="00E53203">
        <w:rPr>
          <w:rFonts w:ascii="Times New Roman" w:eastAsia="Times New Roman" w:hAnsi="Times New Roman" w:cs="Times New Roman"/>
        </w:rPr>
        <w:t xml:space="preserve"> (DOI: 10.5281/</w:t>
      </w:r>
      <w:proofErr w:type="spellStart"/>
      <w:r w:rsidRPr="00E53203">
        <w:rPr>
          <w:rFonts w:ascii="Times New Roman" w:eastAsia="Times New Roman" w:hAnsi="Times New Roman" w:cs="Times New Roman"/>
        </w:rPr>
        <w:t>zenodo.XXXXXXX</w:t>
      </w:r>
      <w:proofErr w:type="spellEnd"/>
      <w:r w:rsidRPr="00E53203">
        <w:rPr>
          <w:rFonts w:ascii="Times New Roman" w:eastAsia="Times New Roman" w:hAnsi="Times New Roman" w:cs="Times New Roman"/>
        </w:rPr>
        <w:t>). IBM Quantum job identifiers are provided in Supplementary Table S28. All data sufficient to reproduce the main figures and tables are included in the repository.</w:t>
      </w:r>
    </w:p>
    <w:p w14:paraId="5FEBD8B8"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Code availability</w:t>
      </w:r>
    </w:p>
    <w:p w14:paraId="75E6031A"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 xml:space="preserve">QuBiS-HiQ v1.0.0, all experiment scripts, and mathematical proof verification code (proofs/proposition1.py–proposition20.py) are available at </w:t>
      </w:r>
      <w:hyperlink r:id="rId9">
        <w:r w:rsidR="00EE7AB8" w:rsidRPr="00E53203">
          <w:rPr>
            <w:rFonts w:ascii="Times New Roman" w:eastAsia="Times New Roman" w:hAnsi="Times New Roman" w:cs="Times New Roman"/>
            <w:color w:val="467886"/>
            <w:u w:val="single"/>
          </w:rPr>
          <w:t>https://github.com/ahmedanees-m/QuBiS-HiQ</w:t>
        </w:r>
      </w:hyperlink>
      <w:r w:rsidRPr="00E53203">
        <w:rPr>
          <w:rFonts w:ascii="Times New Roman" w:eastAsia="Times New Roman" w:hAnsi="Times New Roman" w:cs="Times New Roman"/>
        </w:rPr>
        <w:t xml:space="preserve">. Package installation: pip install </w:t>
      </w:r>
      <w:proofErr w:type="spellStart"/>
      <w:r w:rsidRPr="00E53203">
        <w:rPr>
          <w:rFonts w:ascii="Times New Roman" w:eastAsia="Times New Roman" w:hAnsi="Times New Roman" w:cs="Times New Roman"/>
        </w:rPr>
        <w:t>qubis-hiq</w:t>
      </w:r>
      <w:proofErr w:type="spellEnd"/>
      <w:r w:rsidRPr="00E53203">
        <w:rPr>
          <w:rFonts w:ascii="Times New Roman" w:eastAsia="Times New Roman" w:hAnsi="Times New Roman" w:cs="Times New Roman"/>
        </w:rPr>
        <w:t>. To facilitate replication, the repository’s experiments/ directory is organised using alphanumeric identifiers that map to the analyses presented here: exp1a_parallel.py corresponds to the regression analysis of the thermodynamic landscape; exp1b_parallel.py to the gate parameterisation ablation; exp1c_parallel.py to the structural topology classification; exp1d_hardware.py, exp1d_12mer.py, and exp1d_torino.py to the quantum hardware execution experiments; and exp1e_corrected.py to the validation against experimental melting temperatures..</w:t>
      </w:r>
    </w:p>
    <w:p w14:paraId="1411EABE"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Acknowledgements</w:t>
      </w:r>
    </w:p>
    <w:p w14:paraId="0E673CE4"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We acknowledge the BRAHM: High-Performance Computational facility of the Indian Biological Data Centre, Regional Centre for Biotechnology, Faridabad, INDIA (</w:t>
      </w:r>
      <w:hyperlink r:id="rId10">
        <w:r w:rsidR="00EE7AB8" w:rsidRPr="00E53203">
          <w:rPr>
            <w:rFonts w:ascii="Times New Roman" w:eastAsia="Times New Roman" w:hAnsi="Times New Roman" w:cs="Times New Roman"/>
            <w:color w:val="467886"/>
            <w:u w:val="single"/>
          </w:rPr>
          <w:t>https://ibdc.rcb.res.in/</w:t>
        </w:r>
      </w:hyperlink>
      <w:r w:rsidRPr="00E53203">
        <w:rPr>
          <w:rFonts w:ascii="Times New Roman" w:eastAsia="Times New Roman" w:hAnsi="Times New Roman" w:cs="Times New Roman"/>
        </w:rPr>
        <w:t xml:space="preserve">; DBT Grant no. BT/TCB/IBDC/2019) to carry out the large-scale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and matrix product state quantum simulations. We acknowledge the use of IBM Quantum services for this work. The views expressed are those of the authors and do not reflect the official policy or position of IBM or the IBM Quantum team. The authors are grateful for the public availability of the nearest-neighbour thermodynamic database, and we acknowledge the open-access UV melting dataset provided by Oliveira and colleagues.</w:t>
      </w:r>
    </w:p>
    <w:p w14:paraId="29979D58"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Author contributions</w:t>
      </w:r>
    </w:p>
    <w:p w14:paraId="387BFA62"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A.A.M.A. conceptualised the study, developed the methodology, designed the quantum circuits, performed all computational simulations and hardware experiments, validated the data, and wrote the original draft of the manuscript. R.D. provided technical oversight, reviewed the computational methodology and experimental planning, evaluated the analytical workflows, and reviewed and edited the manuscript. E.J.R.N. supervised the overall research project, directed the study, and critically reviewed and edited the manuscript. All authors reviewed and approved the final manuscript.</w:t>
      </w:r>
    </w:p>
    <w:p w14:paraId="07414B09"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Competing interests</w:t>
      </w:r>
    </w:p>
    <w:p w14:paraId="6EE84C0B"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The author</w:t>
      </w:r>
      <w:r w:rsidR="0037520B" w:rsidRPr="00E53203">
        <w:rPr>
          <w:rFonts w:ascii="Times New Roman" w:eastAsia="Times New Roman" w:hAnsi="Times New Roman" w:cs="Times New Roman"/>
        </w:rPr>
        <w:t>s</w:t>
      </w:r>
      <w:r w:rsidRPr="00E53203">
        <w:rPr>
          <w:rFonts w:ascii="Times New Roman" w:eastAsia="Times New Roman" w:hAnsi="Times New Roman" w:cs="Times New Roman"/>
        </w:rPr>
        <w:t xml:space="preserve"> declare no competing interests.</w:t>
      </w:r>
    </w:p>
    <w:p w14:paraId="60BA2F8A"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Use of artificial intelligence</w:t>
      </w:r>
    </w:p>
    <w:p w14:paraId="61BEB08D" w14:textId="3920CBE8"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rPr>
        <w:t>During the preparation of this work, the authors used Claude, Anthropic, USA</w:t>
      </w:r>
      <w:r w:rsidR="00531CD8">
        <w:rPr>
          <w:rFonts w:ascii="Times New Roman" w:eastAsia="Times New Roman" w:hAnsi="Times New Roman" w:cs="Times New Roman"/>
        </w:rPr>
        <w:t>,</w:t>
      </w:r>
      <w:r w:rsidRPr="00E53203">
        <w:rPr>
          <w:rFonts w:ascii="Times New Roman" w:eastAsia="Times New Roman" w:hAnsi="Times New Roman" w:cs="Times New Roman"/>
        </w:rPr>
        <w:t xml:space="preserve"> to assist in drafting and troubleshooting routine data-processing and simulation scripts. Additionally, large language models were utili</w:t>
      </w:r>
      <w:r w:rsidR="009765A1" w:rsidRPr="00E53203">
        <w:rPr>
          <w:rFonts w:ascii="Times New Roman" w:eastAsia="Times New Roman" w:hAnsi="Times New Roman" w:cs="Times New Roman"/>
        </w:rPr>
        <w:t>s</w:t>
      </w:r>
      <w:r w:rsidRPr="00E53203">
        <w:rPr>
          <w:rFonts w:ascii="Times New Roman" w:eastAsia="Times New Roman" w:hAnsi="Times New Roman" w:cs="Times New Roman"/>
        </w:rPr>
        <w:t>ed to assist in drafting sections of the manuscript and refining the overall language and structural flow. Following the use of these tools, the authors rigorously reviewed, tested, edited, and verified all code and text. The authors take full accountability for the accuracy, integrity, and final content of this published work.</w:t>
      </w:r>
    </w:p>
    <w:p w14:paraId="6B87EEE1" w14:textId="77777777" w:rsidR="00EE7AB8" w:rsidRPr="00E53203" w:rsidRDefault="006D1517">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References</w:t>
      </w:r>
    </w:p>
    <w:p w14:paraId="58E42FE3" w14:textId="77777777" w:rsidR="00D25F2E" w:rsidRPr="00E53203" w:rsidRDefault="00000000">
      <w:pPr>
        <w:rPr>
          <w:rFonts w:ascii="Times New Roman" w:hAnsi="Times New Roman" w:cs="Times New Roman"/>
        </w:rPr>
      </w:pPr>
      <w:r w:rsidRPr="00E53203">
        <w:rPr>
          <w:rFonts w:ascii="Times New Roman" w:hAnsi="Times New Roman" w:cs="Times New Roman"/>
        </w:rPr>
        <w:t>1. SantaLucia, J. Jr. A unified view of polymer, dumbbell, and oligonucleotide DNA nearest-</w:t>
      </w:r>
      <w:proofErr w:type="spellStart"/>
      <w:r w:rsidRPr="00E53203">
        <w:rPr>
          <w:rFonts w:ascii="Times New Roman" w:hAnsi="Times New Roman" w:cs="Times New Roman"/>
        </w:rPr>
        <w:t>neighbor</w:t>
      </w:r>
      <w:proofErr w:type="spellEnd"/>
      <w:r w:rsidRPr="00E53203">
        <w:rPr>
          <w:rFonts w:ascii="Times New Roman" w:hAnsi="Times New Roman" w:cs="Times New Roman"/>
        </w:rPr>
        <w:t xml:space="preserve"> thermodynamics. Proc. Natl Acad. Sci. USA 95, 1460–1465 (1998).</w:t>
      </w:r>
    </w:p>
    <w:p w14:paraId="450E04EF"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2. SantaLucia, J. Jr. &amp; Hicks, D. The thermodynamics of DNA structural motifs. Annu. Rev. </w:t>
      </w:r>
      <w:proofErr w:type="spellStart"/>
      <w:r w:rsidRPr="00E53203">
        <w:rPr>
          <w:rFonts w:ascii="Times New Roman" w:hAnsi="Times New Roman" w:cs="Times New Roman"/>
        </w:rPr>
        <w:t>Biophys</w:t>
      </w:r>
      <w:proofErr w:type="spellEnd"/>
      <w:r w:rsidRPr="00E53203">
        <w:rPr>
          <w:rFonts w:ascii="Times New Roman" w:hAnsi="Times New Roman" w:cs="Times New Roman"/>
        </w:rPr>
        <w:t xml:space="preserve">. </w:t>
      </w:r>
      <w:proofErr w:type="spellStart"/>
      <w:r w:rsidRPr="00E53203">
        <w:rPr>
          <w:rFonts w:ascii="Times New Roman" w:hAnsi="Times New Roman" w:cs="Times New Roman"/>
        </w:rPr>
        <w:t>Biomol</w:t>
      </w:r>
      <w:proofErr w:type="spellEnd"/>
      <w:r w:rsidRPr="00E53203">
        <w:rPr>
          <w:rFonts w:ascii="Times New Roman" w:hAnsi="Times New Roman" w:cs="Times New Roman"/>
        </w:rPr>
        <w:t>. Struct. 33, 415–440 (2004).</w:t>
      </w:r>
    </w:p>
    <w:p w14:paraId="45E02D20" w14:textId="77777777" w:rsidR="00D25F2E" w:rsidRPr="00E53203" w:rsidRDefault="00000000">
      <w:pPr>
        <w:rPr>
          <w:rFonts w:ascii="Times New Roman" w:hAnsi="Times New Roman" w:cs="Times New Roman"/>
        </w:rPr>
      </w:pPr>
      <w:r w:rsidRPr="00E53203">
        <w:rPr>
          <w:rFonts w:ascii="Times New Roman" w:hAnsi="Times New Roman" w:cs="Times New Roman"/>
        </w:rPr>
        <w:t>3. Oliveira, L. M. et al. Melting temperature measurement and mesoscopic evaluation of single, double and triple DNA mismatches. Chem. Sci. 11, 8273–8287 (2020).</w:t>
      </w:r>
    </w:p>
    <w:p w14:paraId="442FF878"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4. Mittal, A., Shen, L. X., Turner, D. H. &amp; Mathews, D. H. NNDB: an expanded database of nearest </w:t>
      </w:r>
      <w:proofErr w:type="spellStart"/>
      <w:r w:rsidRPr="00E53203">
        <w:rPr>
          <w:rFonts w:ascii="Times New Roman" w:hAnsi="Times New Roman" w:cs="Times New Roman"/>
        </w:rPr>
        <w:t>neighbor</w:t>
      </w:r>
      <w:proofErr w:type="spellEnd"/>
      <w:r w:rsidRPr="00E53203">
        <w:rPr>
          <w:rFonts w:ascii="Times New Roman" w:hAnsi="Times New Roman" w:cs="Times New Roman"/>
        </w:rPr>
        <w:t xml:space="preserve"> parameters for predicting nucleic acid secondary structure. J. Mol. Biol. 436, 167943 (2024).</w:t>
      </w:r>
    </w:p>
    <w:p w14:paraId="7F5BF73F" w14:textId="77777777" w:rsidR="00D25F2E" w:rsidRPr="00E53203" w:rsidRDefault="00000000">
      <w:pPr>
        <w:rPr>
          <w:rFonts w:ascii="Times New Roman" w:hAnsi="Times New Roman" w:cs="Times New Roman"/>
        </w:rPr>
      </w:pPr>
      <w:r w:rsidRPr="00E53203">
        <w:rPr>
          <w:rFonts w:ascii="Times New Roman" w:hAnsi="Times New Roman" w:cs="Times New Roman"/>
        </w:rPr>
        <w:t>5. Allawi, H. T. &amp; SantaLucia, J. Jr. Nearest-</w:t>
      </w:r>
      <w:proofErr w:type="spellStart"/>
      <w:r w:rsidRPr="00E53203">
        <w:rPr>
          <w:rFonts w:ascii="Times New Roman" w:hAnsi="Times New Roman" w:cs="Times New Roman"/>
        </w:rPr>
        <w:t>neighbor</w:t>
      </w:r>
      <w:proofErr w:type="spellEnd"/>
      <w:r w:rsidRPr="00E53203">
        <w:rPr>
          <w:rFonts w:ascii="Times New Roman" w:hAnsi="Times New Roman" w:cs="Times New Roman"/>
        </w:rPr>
        <w:t xml:space="preserve"> thermodynamic parameters for internal G·A mismatches in DNA. Biochemistry 37, 2170–2179 (1998).</w:t>
      </w:r>
    </w:p>
    <w:p w14:paraId="06291C0F" w14:textId="77777777" w:rsidR="00D25F2E" w:rsidRPr="00E53203" w:rsidRDefault="00000000">
      <w:pPr>
        <w:rPr>
          <w:rFonts w:ascii="Times New Roman" w:hAnsi="Times New Roman" w:cs="Times New Roman"/>
        </w:rPr>
      </w:pPr>
      <w:r w:rsidRPr="00E53203">
        <w:rPr>
          <w:rFonts w:ascii="Times New Roman" w:hAnsi="Times New Roman" w:cs="Times New Roman"/>
        </w:rPr>
        <w:t>6. Watkins, N. E. Jr. et al. Nearest-</w:t>
      </w:r>
      <w:proofErr w:type="spellStart"/>
      <w:r w:rsidRPr="00E53203">
        <w:rPr>
          <w:rFonts w:ascii="Times New Roman" w:hAnsi="Times New Roman" w:cs="Times New Roman"/>
        </w:rPr>
        <w:t>neighbor</w:t>
      </w:r>
      <w:proofErr w:type="spellEnd"/>
      <w:r w:rsidRPr="00E53203">
        <w:rPr>
          <w:rFonts w:ascii="Times New Roman" w:hAnsi="Times New Roman" w:cs="Times New Roman"/>
        </w:rPr>
        <w:t xml:space="preserve"> thermodynamics of </w:t>
      </w:r>
      <w:proofErr w:type="spellStart"/>
      <w:r w:rsidRPr="00E53203">
        <w:rPr>
          <w:rFonts w:ascii="Times New Roman" w:hAnsi="Times New Roman" w:cs="Times New Roman"/>
        </w:rPr>
        <w:t>deoxyinosine</w:t>
      </w:r>
      <w:proofErr w:type="spellEnd"/>
      <w:r w:rsidRPr="00E53203">
        <w:rPr>
          <w:rFonts w:ascii="Times New Roman" w:hAnsi="Times New Roman" w:cs="Times New Roman"/>
        </w:rPr>
        <w:t xml:space="preserve"> pairs in DNA duplexes. Nucleic Acids Res. 33, 6258–6267 (2005).</w:t>
      </w:r>
    </w:p>
    <w:p w14:paraId="72261BC6"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7. Weber, G. &amp; Blossey, R. Mesoscopic </w:t>
      </w:r>
      <w:proofErr w:type="spellStart"/>
      <w:r w:rsidRPr="00E53203">
        <w:rPr>
          <w:rFonts w:ascii="Times New Roman" w:hAnsi="Times New Roman" w:cs="Times New Roman"/>
        </w:rPr>
        <w:t>modeling</w:t>
      </w:r>
      <w:proofErr w:type="spellEnd"/>
      <w:r w:rsidRPr="00E53203">
        <w:rPr>
          <w:rFonts w:ascii="Times New Roman" w:hAnsi="Times New Roman" w:cs="Times New Roman"/>
        </w:rPr>
        <w:t xml:space="preserve"> of DNA melting: energetic and entropic contributions. Rep. Prog. Phys. 76, 066601 (2013).</w:t>
      </w:r>
    </w:p>
    <w:p w14:paraId="3B048134" w14:textId="77777777" w:rsidR="00D25F2E" w:rsidRPr="00E53203" w:rsidRDefault="00000000">
      <w:pPr>
        <w:rPr>
          <w:rFonts w:ascii="Times New Roman" w:hAnsi="Times New Roman" w:cs="Times New Roman"/>
        </w:rPr>
      </w:pPr>
      <w:r w:rsidRPr="00E53203">
        <w:rPr>
          <w:rFonts w:ascii="Times New Roman" w:hAnsi="Times New Roman" w:cs="Times New Roman"/>
        </w:rPr>
        <w:t>8. Peyrard, M. Nonlinear dynamics and statistical physics of DNA. Nonlinearity 17, R1–R40 (2004).</w:t>
      </w:r>
    </w:p>
    <w:p w14:paraId="36DD6E8D" w14:textId="77777777" w:rsidR="00D25F2E" w:rsidRPr="00E53203" w:rsidRDefault="00000000">
      <w:pPr>
        <w:rPr>
          <w:rFonts w:ascii="Times New Roman" w:hAnsi="Times New Roman" w:cs="Times New Roman"/>
        </w:rPr>
      </w:pPr>
      <w:r w:rsidRPr="00E53203">
        <w:rPr>
          <w:rFonts w:ascii="Times New Roman" w:hAnsi="Times New Roman" w:cs="Times New Roman"/>
        </w:rPr>
        <w:t>9. Schuld, M. Supervised quantum machine learning models are kernel methods. Quantum 4, 303 (2020).</w:t>
      </w:r>
    </w:p>
    <w:p w14:paraId="67E6D5B6" w14:textId="77777777" w:rsidR="00D25F2E" w:rsidRPr="00E53203" w:rsidRDefault="00000000">
      <w:pPr>
        <w:rPr>
          <w:rFonts w:ascii="Times New Roman" w:hAnsi="Times New Roman" w:cs="Times New Roman"/>
        </w:rPr>
      </w:pPr>
      <w:r w:rsidRPr="00E53203">
        <w:rPr>
          <w:rFonts w:ascii="Times New Roman" w:hAnsi="Times New Roman" w:cs="Times New Roman"/>
        </w:rPr>
        <w:t>10. Havlíček, V. et al. Supervised learning with quantum-enhanced feature spaces. Nature 567, 209–212 (2019).</w:t>
      </w:r>
    </w:p>
    <w:p w14:paraId="1DA193B1"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11. Huang, H.-Y., Kueng, R. &amp; </w:t>
      </w:r>
      <w:proofErr w:type="spellStart"/>
      <w:r w:rsidRPr="00E53203">
        <w:rPr>
          <w:rFonts w:ascii="Times New Roman" w:hAnsi="Times New Roman" w:cs="Times New Roman"/>
        </w:rPr>
        <w:t>Preskill</w:t>
      </w:r>
      <w:proofErr w:type="spellEnd"/>
      <w:r w:rsidRPr="00E53203">
        <w:rPr>
          <w:rFonts w:ascii="Times New Roman" w:hAnsi="Times New Roman" w:cs="Times New Roman"/>
        </w:rPr>
        <w:t>, J. Information-theoretic bounds on quantum advantage in machine learning. Phys. Rev. Lett. 126, 190505 (2021).</w:t>
      </w:r>
    </w:p>
    <w:p w14:paraId="5AABA858" w14:textId="77777777" w:rsidR="00D25F2E" w:rsidRPr="00E53203" w:rsidRDefault="00000000">
      <w:pPr>
        <w:rPr>
          <w:rFonts w:ascii="Times New Roman" w:hAnsi="Times New Roman" w:cs="Times New Roman"/>
        </w:rPr>
      </w:pPr>
      <w:r w:rsidRPr="00E53203">
        <w:rPr>
          <w:rFonts w:ascii="Times New Roman" w:hAnsi="Times New Roman" w:cs="Times New Roman"/>
        </w:rPr>
        <w:t>12. Biamonte, J. et al. Quantum machine learning. Nature 549, 195–202 (2017).</w:t>
      </w:r>
    </w:p>
    <w:p w14:paraId="066616E8" w14:textId="77777777" w:rsidR="00D25F2E" w:rsidRPr="00E53203" w:rsidRDefault="00000000">
      <w:pPr>
        <w:rPr>
          <w:rFonts w:ascii="Times New Roman" w:hAnsi="Times New Roman" w:cs="Times New Roman"/>
        </w:rPr>
      </w:pPr>
      <w:r w:rsidRPr="00E53203">
        <w:rPr>
          <w:rFonts w:ascii="Times New Roman" w:hAnsi="Times New Roman" w:cs="Times New Roman"/>
        </w:rPr>
        <w:t>13. Kim, Y. et al. Evidence for the utility of quantum computing before fault tolerance. Nature 618, 500–505 (2023).</w:t>
      </w:r>
    </w:p>
    <w:p w14:paraId="15897B14" w14:textId="77777777" w:rsidR="00D25F2E" w:rsidRPr="00E53203" w:rsidRDefault="00000000">
      <w:pPr>
        <w:rPr>
          <w:rFonts w:ascii="Times New Roman" w:hAnsi="Times New Roman" w:cs="Times New Roman"/>
        </w:rPr>
      </w:pPr>
      <w:r w:rsidRPr="00E53203">
        <w:rPr>
          <w:rFonts w:ascii="Times New Roman" w:hAnsi="Times New Roman" w:cs="Times New Roman"/>
        </w:rPr>
        <w:t>14. Cao, Y. et al. Quantum chemistry in the age of quantum computing. Chem. Rev. 119, 10856–10915 (2019).</w:t>
      </w:r>
    </w:p>
    <w:p w14:paraId="56437BF7"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15. McArdle, S., Endo, S., </w:t>
      </w:r>
      <w:proofErr w:type="spellStart"/>
      <w:r w:rsidRPr="00E53203">
        <w:rPr>
          <w:rFonts w:ascii="Times New Roman" w:hAnsi="Times New Roman" w:cs="Times New Roman"/>
        </w:rPr>
        <w:t>Aspuru</w:t>
      </w:r>
      <w:proofErr w:type="spellEnd"/>
      <w:r w:rsidRPr="00E53203">
        <w:rPr>
          <w:rFonts w:ascii="Times New Roman" w:hAnsi="Times New Roman" w:cs="Times New Roman"/>
        </w:rPr>
        <w:t xml:space="preserve">-Guzik, A., Benjamin, S. C. &amp; Yuan, X. Variational quantum simulation of imaginary time evolution. </w:t>
      </w:r>
      <w:proofErr w:type="spellStart"/>
      <w:r w:rsidRPr="00E53203">
        <w:rPr>
          <w:rFonts w:ascii="Times New Roman" w:hAnsi="Times New Roman" w:cs="Times New Roman"/>
        </w:rPr>
        <w:t>npj</w:t>
      </w:r>
      <w:proofErr w:type="spellEnd"/>
      <w:r w:rsidRPr="00E53203">
        <w:rPr>
          <w:rFonts w:ascii="Times New Roman" w:hAnsi="Times New Roman" w:cs="Times New Roman"/>
        </w:rPr>
        <w:t xml:space="preserve"> Quantum Inf. 5, 75 (2019).</w:t>
      </w:r>
    </w:p>
    <w:p w14:paraId="75F79A6E"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16. Kandala, A. et al. Hardware-efficient variational quantum </w:t>
      </w:r>
      <w:proofErr w:type="spellStart"/>
      <w:r w:rsidRPr="00E53203">
        <w:rPr>
          <w:rFonts w:ascii="Times New Roman" w:hAnsi="Times New Roman" w:cs="Times New Roman"/>
        </w:rPr>
        <w:t>eigensolver</w:t>
      </w:r>
      <w:proofErr w:type="spellEnd"/>
      <w:r w:rsidRPr="00E53203">
        <w:rPr>
          <w:rFonts w:ascii="Times New Roman" w:hAnsi="Times New Roman" w:cs="Times New Roman"/>
        </w:rPr>
        <w:t xml:space="preserve"> for small molecules and quantum magnets. Nature 549, 242–246 (2017).</w:t>
      </w:r>
    </w:p>
    <w:p w14:paraId="36EC56C9"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17. Lorenz, R. et al. </w:t>
      </w:r>
      <w:proofErr w:type="spellStart"/>
      <w:r w:rsidRPr="00E53203">
        <w:rPr>
          <w:rFonts w:ascii="Times New Roman" w:hAnsi="Times New Roman" w:cs="Times New Roman"/>
        </w:rPr>
        <w:t>ViennaRNA</w:t>
      </w:r>
      <w:proofErr w:type="spellEnd"/>
      <w:r w:rsidRPr="00E53203">
        <w:rPr>
          <w:rFonts w:ascii="Times New Roman" w:hAnsi="Times New Roman" w:cs="Times New Roman"/>
        </w:rPr>
        <w:t xml:space="preserve"> Package 2.0. Algorithms Mol. Biol. 6, 26 (2011).</w:t>
      </w:r>
    </w:p>
    <w:p w14:paraId="23CA3B5B" w14:textId="77777777" w:rsidR="00D25F2E" w:rsidRPr="00E53203" w:rsidRDefault="00000000">
      <w:pPr>
        <w:rPr>
          <w:rFonts w:ascii="Times New Roman" w:hAnsi="Times New Roman" w:cs="Times New Roman"/>
        </w:rPr>
      </w:pPr>
      <w:r w:rsidRPr="00E53203">
        <w:rPr>
          <w:rFonts w:ascii="Times New Roman" w:hAnsi="Times New Roman" w:cs="Times New Roman"/>
        </w:rPr>
        <w:t>18. Zuker, M. &amp; Stiegler, P. Optimal computer folding of large RNA sequences using thermodynamics and auxiliary information. Nucleic Acids Res. 9, 133–148 (1981).</w:t>
      </w:r>
    </w:p>
    <w:p w14:paraId="2053DFD6"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19. Xia, T. et al. Thermodynamic parameters for an expanded nearest </w:t>
      </w:r>
      <w:proofErr w:type="spellStart"/>
      <w:r w:rsidRPr="00E53203">
        <w:rPr>
          <w:rFonts w:ascii="Times New Roman" w:hAnsi="Times New Roman" w:cs="Times New Roman"/>
        </w:rPr>
        <w:t>neighbor</w:t>
      </w:r>
      <w:proofErr w:type="spellEnd"/>
      <w:r w:rsidRPr="00E53203">
        <w:rPr>
          <w:rFonts w:ascii="Times New Roman" w:hAnsi="Times New Roman" w:cs="Times New Roman"/>
        </w:rPr>
        <w:t xml:space="preserve"> model for formation of RNA duplexes with Watson–Crick base pairs. Biochemistry 37, 14719–14735 (1998).</w:t>
      </w:r>
    </w:p>
    <w:p w14:paraId="4CBEDD0C"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20. Ji, Y. et al. DNABERT: pre-trained Bidirectional Encoder Representations from Transformers model for DNA-language in genome. Brief. </w:t>
      </w:r>
      <w:proofErr w:type="spellStart"/>
      <w:r w:rsidRPr="00E53203">
        <w:rPr>
          <w:rFonts w:ascii="Times New Roman" w:hAnsi="Times New Roman" w:cs="Times New Roman"/>
        </w:rPr>
        <w:t>Bioinform</w:t>
      </w:r>
      <w:proofErr w:type="spellEnd"/>
      <w:r w:rsidRPr="00E53203">
        <w:rPr>
          <w:rFonts w:ascii="Times New Roman" w:hAnsi="Times New Roman" w:cs="Times New Roman"/>
        </w:rPr>
        <w:t>. 22, bbab083 (2021).</w:t>
      </w:r>
    </w:p>
    <w:p w14:paraId="5132FA10" w14:textId="77777777" w:rsidR="00D25F2E" w:rsidRPr="00E53203" w:rsidRDefault="00000000">
      <w:pPr>
        <w:rPr>
          <w:rFonts w:ascii="Times New Roman" w:hAnsi="Times New Roman" w:cs="Times New Roman"/>
        </w:rPr>
      </w:pPr>
      <w:r w:rsidRPr="00E53203">
        <w:rPr>
          <w:rFonts w:ascii="Times New Roman" w:hAnsi="Times New Roman" w:cs="Times New Roman"/>
        </w:rPr>
        <w:t>21. Avsec, Ž. et al. Effective gene expression prediction from sequence by integrating long-range interactions. Nat. Methods 18, 1196–1203 (2021).</w:t>
      </w:r>
    </w:p>
    <w:p w14:paraId="2BB01673" w14:textId="77777777" w:rsidR="00D25F2E" w:rsidRPr="00E53203" w:rsidRDefault="00000000">
      <w:pPr>
        <w:rPr>
          <w:rFonts w:ascii="Times New Roman" w:hAnsi="Times New Roman" w:cs="Times New Roman"/>
        </w:rPr>
      </w:pPr>
      <w:r w:rsidRPr="00E53203">
        <w:rPr>
          <w:rFonts w:ascii="Times New Roman" w:hAnsi="Times New Roman" w:cs="Times New Roman"/>
        </w:rPr>
        <w:t>22. Jumper, J. et al. Highly accurate protein structure prediction with AlphaFold. Nature 596, 583–589 (2021).</w:t>
      </w:r>
    </w:p>
    <w:p w14:paraId="1D59FD11" w14:textId="77777777" w:rsidR="00D25F2E" w:rsidRPr="00E53203" w:rsidRDefault="00000000">
      <w:pPr>
        <w:rPr>
          <w:rFonts w:ascii="Times New Roman" w:hAnsi="Times New Roman" w:cs="Times New Roman"/>
        </w:rPr>
      </w:pPr>
      <w:r w:rsidRPr="00E53203">
        <w:rPr>
          <w:rFonts w:ascii="Times New Roman" w:hAnsi="Times New Roman" w:cs="Times New Roman"/>
        </w:rPr>
        <w:t>23. Baek, M. et al. Accurate prediction of protein structures and interactions using a three-track neural network. Science 373, 871–876 (2021).</w:t>
      </w:r>
    </w:p>
    <w:p w14:paraId="204E2D00" w14:textId="77777777" w:rsidR="00D25F2E" w:rsidRPr="00E53203" w:rsidRDefault="00000000">
      <w:pPr>
        <w:rPr>
          <w:rFonts w:ascii="Times New Roman" w:hAnsi="Times New Roman" w:cs="Times New Roman"/>
        </w:rPr>
      </w:pPr>
      <w:r w:rsidRPr="00E53203">
        <w:rPr>
          <w:rFonts w:ascii="Times New Roman" w:hAnsi="Times New Roman" w:cs="Times New Roman"/>
        </w:rPr>
        <w:t>24. Aonishi, T. et al. Quantum annealing approach to RNA secondary structure prediction. Phys. Rev. E 101, 012405 (2020).</w:t>
      </w:r>
    </w:p>
    <w:p w14:paraId="722118D6" w14:textId="77777777" w:rsidR="00D25F2E" w:rsidRPr="00E53203" w:rsidRDefault="00000000">
      <w:pPr>
        <w:rPr>
          <w:rFonts w:ascii="Times New Roman" w:hAnsi="Times New Roman" w:cs="Times New Roman"/>
        </w:rPr>
      </w:pPr>
      <w:r w:rsidRPr="00E53203">
        <w:rPr>
          <w:rFonts w:ascii="Times New Roman" w:hAnsi="Times New Roman" w:cs="Times New Roman"/>
        </w:rPr>
        <w:t>25. Kandala, A. et al. Error mitigation extends the computational reach of a noisy quantum processor. Nature 567, 491–495 (2019).</w:t>
      </w:r>
    </w:p>
    <w:p w14:paraId="7AC2C0A6" w14:textId="77777777" w:rsidR="00D25F2E" w:rsidRPr="00E53203" w:rsidRDefault="00000000">
      <w:pPr>
        <w:rPr>
          <w:rFonts w:ascii="Times New Roman" w:hAnsi="Times New Roman" w:cs="Times New Roman"/>
        </w:rPr>
      </w:pPr>
      <w:r w:rsidRPr="00E53203">
        <w:rPr>
          <w:rFonts w:ascii="Times New Roman" w:hAnsi="Times New Roman" w:cs="Times New Roman"/>
        </w:rPr>
        <w:t xml:space="preserve">26. Temme, K., </w:t>
      </w:r>
      <w:proofErr w:type="spellStart"/>
      <w:r w:rsidRPr="00E53203">
        <w:rPr>
          <w:rFonts w:ascii="Times New Roman" w:hAnsi="Times New Roman" w:cs="Times New Roman"/>
        </w:rPr>
        <w:t>Bravyi</w:t>
      </w:r>
      <w:proofErr w:type="spellEnd"/>
      <w:r w:rsidRPr="00E53203">
        <w:rPr>
          <w:rFonts w:ascii="Times New Roman" w:hAnsi="Times New Roman" w:cs="Times New Roman"/>
        </w:rPr>
        <w:t>, S. &amp; Gambetta, J. M. Error mitigation for short-depth quantum circuits. Phys. Rev. Lett. 119, 180509 (2017).</w:t>
      </w:r>
    </w:p>
    <w:p w14:paraId="1C65AAB3" w14:textId="77777777" w:rsidR="00D25F2E" w:rsidRPr="00E53203" w:rsidRDefault="00000000">
      <w:pPr>
        <w:rPr>
          <w:rFonts w:ascii="Times New Roman" w:hAnsi="Times New Roman" w:cs="Times New Roman"/>
        </w:rPr>
      </w:pPr>
      <w:r w:rsidRPr="00E53203">
        <w:rPr>
          <w:rFonts w:ascii="Times New Roman" w:hAnsi="Times New Roman" w:cs="Times New Roman"/>
        </w:rPr>
        <w:t>27. Erhard, A. et al. Entangling logical qubits with lattice surgery. Nature 605, 500–504 (2022).</w:t>
      </w:r>
    </w:p>
    <w:p w14:paraId="03525B64" w14:textId="77777777" w:rsidR="00D25F2E" w:rsidRPr="00E53203" w:rsidRDefault="00000000">
      <w:pPr>
        <w:rPr>
          <w:rFonts w:ascii="Times New Roman" w:hAnsi="Times New Roman" w:cs="Times New Roman"/>
        </w:rPr>
      </w:pPr>
      <w:r w:rsidRPr="00E53203">
        <w:rPr>
          <w:rFonts w:ascii="Times New Roman" w:hAnsi="Times New Roman" w:cs="Times New Roman"/>
        </w:rPr>
        <w:t>28. Breslauer, K. J. et al. Predicting DNA duplex stability from the base sequence. Proc. Natl Acad. Sci. USA 83, 3746–3750 (1986).</w:t>
      </w:r>
    </w:p>
    <w:p w14:paraId="0988ADF3" w14:textId="77777777" w:rsidR="00D25F2E" w:rsidRPr="00E53203" w:rsidRDefault="00000000">
      <w:pPr>
        <w:rPr>
          <w:rFonts w:ascii="Times New Roman" w:hAnsi="Times New Roman" w:cs="Times New Roman"/>
        </w:rPr>
      </w:pPr>
      <w:r w:rsidRPr="00E53203">
        <w:rPr>
          <w:rFonts w:ascii="Times New Roman" w:hAnsi="Times New Roman" w:cs="Times New Roman"/>
        </w:rPr>
        <w:t>29. Freier, S. M. et al. Improved free-energy parameters for predictions of RNA duplex stability. Proc. Natl Acad. Sci. USA 83, 9373–9377 (1986).</w:t>
      </w:r>
    </w:p>
    <w:p w14:paraId="5B85F39B" w14:textId="77777777" w:rsidR="00D25F2E" w:rsidRPr="00E53203" w:rsidRDefault="00000000">
      <w:pPr>
        <w:rPr>
          <w:rFonts w:ascii="Times New Roman" w:hAnsi="Times New Roman" w:cs="Times New Roman"/>
        </w:rPr>
      </w:pPr>
      <w:r w:rsidRPr="00E53203">
        <w:rPr>
          <w:rFonts w:ascii="Times New Roman" w:hAnsi="Times New Roman" w:cs="Times New Roman"/>
        </w:rPr>
        <w:t>30. Mathews, D. H., Sabina, J., Zuker, M. &amp; Turner, D. H. Expanded sequence dependence of thermodynamic parameters improves prediction of RNA secondary structure. J. Mol. Biol. 288, 911–940 (1999).</w:t>
      </w:r>
    </w:p>
    <w:p w14:paraId="3CDF7836" w14:textId="77777777" w:rsidR="00EE7AB8" w:rsidRPr="00E53203" w:rsidRDefault="006D1517">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Figure</w:t>
      </w:r>
      <w:r w:rsidR="002E7DB0" w:rsidRPr="00E53203">
        <w:rPr>
          <w:rFonts w:ascii="Times New Roman" w:eastAsia="Times New Roman" w:hAnsi="Times New Roman" w:cs="Times New Roman"/>
          <w:b/>
          <w:bCs/>
        </w:rPr>
        <w:t>s</w:t>
      </w:r>
    </w:p>
    <w:p w14:paraId="64138449"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1 | QuBiS-HiQ circuit architecture and thermodynamic encoding</w:t>
      </w:r>
    </w:p>
    <w:p w14:paraId="5BC6C819"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73F75047" w14:textId="77777777" w:rsidR="002E7DB0" w:rsidRPr="00E53203" w:rsidRDefault="002E7DB0" w:rsidP="002E7DB0">
      <w:pPr>
        <w:numPr>
          <w:ilvl w:val="0"/>
          <w:numId w:val="1"/>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Full 8-qubit circuit diagram for the representative 4-mer GCTA. Layer 1 (nucleotide encoding): Rᵧ rotations map nucleotide identity to Bloch sphere position via φ(A) = 00, φ(T) = 01, φ(G) = 29, φ(C) = 11. Layer 2 (Watson-Crick entanglement): CRZ(π/2) gates couple qubit pairs predicted as complementary by </w:t>
      </w:r>
      <w:proofErr w:type="spellStart"/>
      <w:r w:rsidRPr="00E53203">
        <w:rPr>
          <w:rFonts w:ascii="Times New Roman" w:eastAsia="Times New Roman" w:hAnsi="Times New Roman" w:cs="Times New Roman"/>
        </w:rPr>
        <w:t>ViennaRNA</w:t>
      </w:r>
      <w:proofErr w:type="spellEnd"/>
      <w:r w:rsidRPr="00E53203">
        <w:rPr>
          <w:rFonts w:ascii="Times New Roman" w:eastAsia="Times New Roman" w:hAnsi="Times New Roman" w:cs="Times New Roman"/>
        </w:rPr>
        <w:t>; inactive for linear duplexes. Layer 3 (nearest-neighbour stacking): CNOT+Rᵧ(θₛ) pairs parameterised by Boltzmann-sigmoid angles θₛ = πσ(−βΔG°), β = 0.39 mol kcal⁻¹. Layers 21</w:t>
      </w:r>
      <w:r w:rsidR="00FD695B" w:rsidRPr="00E53203">
        <w:rPr>
          <w:rFonts w:ascii="Times New Roman" w:eastAsia="Times New Roman" w:hAnsi="Times New Roman" w:cs="Times New Roman"/>
        </w:rPr>
        <w:t>-</w:t>
      </w:r>
      <w:r w:rsidRPr="00E53203">
        <w:rPr>
          <w:rFonts w:ascii="Times New Roman" w:eastAsia="Times New Roman" w:hAnsi="Times New Roman" w:cs="Times New Roman"/>
        </w:rPr>
        <w:t>5 reserved; Layer 6: computational-basis measurement.</w:t>
      </w:r>
    </w:p>
    <w:p w14:paraId="71CFB4E4" w14:textId="77777777" w:rsidR="002E7DB0" w:rsidRPr="00E53203" w:rsidRDefault="002E7DB0" w:rsidP="002E7DB0">
      <w:pPr>
        <w:numPr>
          <w:ilvl w:val="0"/>
          <w:numId w:val="1"/>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Layer-by-layer functional annotation showing information flow from sequence input to feature vector output.</w:t>
      </w:r>
    </w:p>
    <w:p w14:paraId="485B8DD5" w14:textId="77777777" w:rsidR="002E7DB0" w:rsidRPr="00E53203" w:rsidRDefault="002E7DB0" w:rsidP="002E7DB0">
      <w:pPr>
        <w:numPr>
          <w:ilvl w:val="0"/>
          <w:numId w:val="1"/>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Transpiled two-qubit gate count versus sequence length N (36 at N = 8; 52 at N = 12; 68 at N = 16). Linear O(N) scaling enables extension to therapeutic-length sequences (dashed line: 23-nt CRISPR guide RNA = 46 qubits).</w:t>
      </w:r>
    </w:p>
    <w:p w14:paraId="7B5CF9B8" w14:textId="77777777" w:rsidR="002E7DB0" w:rsidRPr="00E53203" w:rsidRDefault="002E7DB0" w:rsidP="002E7DB0">
      <w:pPr>
        <w:numPr>
          <w:ilvl w:val="0"/>
          <w:numId w:val="1"/>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d,</w:t>
      </w:r>
      <w:r w:rsidRPr="00E53203">
        <w:rPr>
          <w:rFonts w:ascii="Times New Roman" w:eastAsia="Times New Roman" w:hAnsi="Times New Roman" w:cs="Times New Roman"/>
        </w:rPr>
        <w:t xml:space="preserve"> Boltzmann-sigmoid gate angle ϑ(ΔG°) = πσ</w:t>
      </w:r>
      <w:r w:rsidR="00FD695B" w:rsidRPr="00E53203">
        <w:rPr>
          <w:rFonts w:ascii="Times New Roman" w:eastAsia="Times New Roman" w:hAnsi="Times New Roman" w:cs="Times New Roman"/>
        </w:rPr>
        <w:t xml:space="preserve"> </w:t>
      </w:r>
      <w:r w:rsidRPr="00E53203">
        <w:rPr>
          <w:rFonts w:ascii="Times New Roman" w:eastAsia="Times New Roman" w:hAnsi="Times New Roman" w:cs="Times New Roman"/>
        </w:rPr>
        <w:t>(−βΔG°) plotted for the ten SantaLucia nearest-neighbour dinucleotide steps at T = 37 °C (filled circles). Alternatives (linear, tanh, arctan) violate at least one physical axiom (range, monotonicity, balance, or dimensional consistency), establishing uniqueness (Proposition 2).</w:t>
      </w:r>
    </w:p>
    <w:p w14:paraId="38E503C7"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2 | Encoding-mutation isomorphism and thermodynamic feature space</w:t>
      </w:r>
    </w:p>
    <w:p w14:paraId="44CEAD8D"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47E4E645" w14:textId="77777777" w:rsidR="002E7DB0" w:rsidRPr="00E53203" w:rsidRDefault="002E7DB0" w:rsidP="002E7DB0">
      <w:pPr>
        <w:numPr>
          <w:ilvl w:val="0"/>
          <w:numId w:val="2"/>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Hamming distance matrix for the four-nucleotide encoding φ. Blue cells (distance 1): biological transitions (A↔G, T↔C) and Watson-Crick complements (A↔T, G↔C). Red cells (distance 2): transversions. This defines a graph isomorphism M </w:t>
      </w:r>
      <w:r w:rsidRPr="00E53203">
        <w:rPr>
          <w:rFonts w:ascii="Cambria Math" w:eastAsia="Times New Roman" w:hAnsi="Cambria Math" w:cs="Cambria Math"/>
        </w:rPr>
        <w:t>≅</w:t>
      </w:r>
      <w:r w:rsidRPr="00E53203">
        <w:rPr>
          <w:rFonts w:ascii="Times New Roman" w:eastAsia="Times New Roman" w:hAnsi="Times New Roman" w:cs="Times New Roman"/>
        </w:rPr>
        <w:t xml:space="preserve"> C⁴ </w:t>
      </w:r>
      <w:r w:rsidRPr="00E53203">
        <w:rPr>
          <w:rFonts w:ascii="Cambria Math" w:eastAsia="Times New Roman" w:hAnsi="Cambria Math" w:cs="Cambria Math"/>
        </w:rPr>
        <w:t>⊂</w:t>
      </w:r>
      <w:r w:rsidRPr="00E53203">
        <w:rPr>
          <w:rFonts w:ascii="Times New Roman" w:eastAsia="Times New Roman" w:hAnsi="Times New Roman" w:cs="Times New Roman"/>
        </w:rPr>
        <w:t xml:space="preserve"> {0,</w:t>
      </w:r>
      <w:proofErr w:type="gramStart"/>
      <w:r w:rsidRPr="00E53203">
        <w:rPr>
          <w:rFonts w:ascii="Times New Roman" w:eastAsia="Times New Roman" w:hAnsi="Times New Roman" w:cs="Times New Roman"/>
        </w:rPr>
        <w:t>1}²</w:t>
      </w:r>
      <w:proofErr w:type="gramEnd"/>
      <w:r w:rsidRPr="00E53203">
        <w:rPr>
          <w:rFonts w:ascii="Times New Roman" w:eastAsia="Times New Roman" w:hAnsi="Times New Roman" w:cs="Times New Roman"/>
        </w:rPr>
        <w:t xml:space="preserve"> between the biological mutation network and the Boolean hypercube (Proposition 1).</w:t>
      </w:r>
    </w:p>
    <w:p w14:paraId="3362BC0F" w14:textId="77777777" w:rsidR="002E7DB0" w:rsidRPr="00E53203" w:rsidRDefault="002E7DB0" w:rsidP="002E7DB0">
      <w:pPr>
        <w:numPr>
          <w:ilvl w:val="0"/>
          <w:numId w:val="2"/>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Bloch-sphere representation of the encoding showing Rᵧ(π/</w:t>
      </w:r>
      <w:proofErr w:type="gramStart"/>
      <w:r w:rsidRPr="00E53203">
        <w:rPr>
          <w:rFonts w:ascii="Times New Roman" w:eastAsia="Times New Roman" w:hAnsi="Times New Roman" w:cs="Times New Roman"/>
        </w:rPr>
        <w:t>3)|</w:t>
      </w:r>
      <w:proofErr w:type="gramEnd"/>
      <w:r w:rsidRPr="00E53203">
        <w:rPr>
          <w:rFonts w:ascii="Times New Roman" w:eastAsia="Times New Roman" w:hAnsi="Times New Roman" w:cs="Times New Roman"/>
        </w:rPr>
        <w:t>0</w:t>
      </w:r>
      <w:r w:rsidRPr="00E53203">
        <w:rPr>
          <w:rFonts w:ascii="Cambria Math" w:eastAsia="Times New Roman" w:hAnsi="Cambria Math" w:cs="Cambria Math"/>
        </w:rPr>
        <w:t>⟩</w:t>
      </w:r>
      <w:r w:rsidRPr="00E53203">
        <w:rPr>
          <w:rFonts w:ascii="Times New Roman" w:eastAsia="Times New Roman" w:hAnsi="Times New Roman" w:cs="Times New Roman"/>
        </w:rPr>
        <w:t xml:space="preserve"> (bit 0) and Rᵧ(2π/</w:t>
      </w:r>
      <w:proofErr w:type="gramStart"/>
      <w:r w:rsidRPr="00E53203">
        <w:rPr>
          <w:rFonts w:ascii="Times New Roman" w:eastAsia="Times New Roman" w:hAnsi="Times New Roman" w:cs="Times New Roman"/>
        </w:rPr>
        <w:t>3)|</w:t>
      </w:r>
      <w:proofErr w:type="gramEnd"/>
      <w:r w:rsidRPr="00E53203">
        <w:rPr>
          <w:rFonts w:ascii="Times New Roman" w:eastAsia="Times New Roman" w:hAnsi="Times New Roman" w:cs="Times New Roman"/>
        </w:rPr>
        <w:t>0</w:t>
      </w:r>
      <w:r w:rsidRPr="00E53203">
        <w:rPr>
          <w:rFonts w:ascii="Cambria Math" w:eastAsia="Times New Roman" w:hAnsi="Cambria Math" w:cs="Cambria Math"/>
        </w:rPr>
        <w:t>⟩</w:t>
      </w:r>
      <w:r w:rsidRPr="00E53203">
        <w:rPr>
          <w:rFonts w:ascii="Times New Roman" w:eastAsia="Times New Roman" w:hAnsi="Times New Roman" w:cs="Times New Roman"/>
        </w:rPr>
        <w:t xml:space="preserve"> (bit 1) positions. Euclidean distances in expectation-value space preserve the biochemical mutation hierarchy (ratio </w:t>
      </w:r>
      <w:proofErr w:type="gramStart"/>
      <w:r w:rsidRPr="00E53203">
        <w:rPr>
          <w:rFonts w:ascii="Times New Roman" w:eastAsia="Times New Roman" w:hAnsi="Times New Roman" w:cs="Times New Roman"/>
        </w:rPr>
        <w:t>1:√</w:t>
      </w:r>
      <w:proofErr w:type="gramEnd"/>
      <w:r w:rsidRPr="00E53203">
        <w:rPr>
          <w:rFonts w:ascii="Times New Roman" w:eastAsia="Times New Roman" w:hAnsi="Times New Roman" w:cs="Times New Roman"/>
        </w:rPr>
        <w:t>2 for Hamming-1 vs Hamming-2 pairs).</w:t>
      </w:r>
    </w:p>
    <w:p w14:paraId="6DD560DD" w14:textId="77777777" w:rsidR="002E7DB0" w:rsidRPr="00E53203" w:rsidRDefault="002E7DB0" w:rsidP="002E7DB0">
      <w:pPr>
        <w:numPr>
          <w:ilvl w:val="0"/>
          <w:numId w:val="2"/>
        </w:num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UMAP dimensionality reduction (</w:t>
      </w:r>
      <w:proofErr w:type="spellStart"/>
      <w:r w:rsidRPr="00E53203">
        <w:rPr>
          <w:rFonts w:ascii="Times New Roman" w:eastAsia="Times New Roman" w:hAnsi="Times New Roman" w:cs="Times New Roman"/>
        </w:rPr>
        <w:t>n_neighbors</w:t>
      </w:r>
      <w:proofErr w:type="spellEnd"/>
      <w:r w:rsidRPr="00E53203">
        <w:rPr>
          <w:rFonts w:ascii="Times New Roman" w:eastAsia="Times New Roman" w:hAnsi="Times New Roman" w:cs="Times New Roman"/>
        </w:rPr>
        <w:t xml:space="preserve"> = 21, </w:t>
      </w:r>
      <w:proofErr w:type="spellStart"/>
      <w:r w:rsidRPr="00E53203">
        <w:rPr>
          <w:rFonts w:ascii="Times New Roman" w:eastAsia="Times New Roman" w:hAnsi="Times New Roman" w:cs="Times New Roman"/>
        </w:rPr>
        <w:t>min_dist</w:t>
      </w:r>
      <w:proofErr w:type="spellEnd"/>
      <w:r w:rsidRPr="00E53203">
        <w:rPr>
          <w:rFonts w:ascii="Times New Roman" w:eastAsia="Times New Roman" w:hAnsi="Times New Roman" w:cs="Times New Roman"/>
        </w:rPr>
        <w:t xml:space="preserve"> = 0.1, metric = cosine) of 47-dimensional QuBiS-HiQ feature vectors for all 65,536 DNA 8-mers, coloured continuously by SantaLucia NN ΔG° (kcal mol⁻¹). Five well-separated clusters with smooth thermodynamic gradients confirm that the circuit organises sequences by physicochemical similarity rather than literal nucleotide content.</w:t>
      </w:r>
    </w:p>
    <w:p w14:paraId="2DF20130"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3 | Classical vs quantum performance and gate parameterisation ablation</w:t>
      </w:r>
    </w:p>
    <w:p w14:paraId="38244E81"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63E469F3" w14:textId="77777777" w:rsidR="002E7DB0" w:rsidRPr="00E53203" w:rsidRDefault="002E7DB0" w:rsidP="002E7DB0">
      <w:pPr>
        <w:numPr>
          <w:ilvl w:val="0"/>
          <w:numId w:val="3"/>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Leave-one-out cross-validated R² for melting temperature prediction (Oliveira 2020 dataset, n = 64). Classical physics-informed features (17d) achieve R² = 0.935 [0.894, 0.962], outperforming quantum variable-region features (21d, R² = 0.911 [0.857, 0.937]) by 2.4 percentage points. The fused quantum-classical model (38d) achieves R² = 0.941 [0.907, 0.965] with non-overlapping confidence intervals, confirming genuine feature complementarity. GC content alone (1d) achieves R² = 0.888, demonstrating the scaffolded design concentrates signal in composition. Error bars: bootstrapped 95% confidence intervals (CIs); </w:t>
      </w:r>
      <w:proofErr w:type="spellStart"/>
      <w:r w:rsidRPr="00E53203">
        <w:rPr>
          <w:rFonts w:ascii="Times New Roman" w:eastAsia="Times New Roman" w:hAnsi="Times New Roman" w:cs="Times New Roman"/>
        </w:rPr>
        <w:t>s.d.</w:t>
      </w:r>
      <w:proofErr w:type="spellEnd"/>
      <w:r w:rsidRPr="00E53203">
        <w:rPr>
          <w:rFonts w:ascii="Times New Roman" w:eastAsia="Times New Roman" w:hAnsi="Times New Roman" w:cs="Times New Roman"/>
        </w:rPr>
        <w:t xml:space="preserve"> = standard deviation.</w:t>
      </w:r>
    </w:p>
    <w:p w14:paraId="4CC18D3B" w14:textId="77777777" w:rsidR="002E7DB0" w:rsidRPr="00E53203" w:rsidRDefault="002E7DB0" w:rsidP="002E7DB0">
      <w:pPr>
        <w:numPr>
          <w:ilvl w:val="0"/>
          <w:numId w:val="3"/>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Five-fold cross-validated R² (mean ± </w:t>
      </w:r>
      <w:proofErr w:type="spellStart"/>
      <w:r w:rsidRPr="00E53203">
        <w:rPr>
          <w:rFonts w:ascii="Times New Roman" w:eastAsia="Times New Roman" w:hAnsi="Times New Roman" w:cs="Times New Roman"/>
        </w:rPr>
        <w:t>s.d.</w:t>
      </w:r>
      <w:proofErr w:type="spellEnd"/>
      <w:r w:rsidRPr="00E53203">
        <w:rPr>
          <w:rFonts w:ascii="Times New Roman" w:eastAsia="Times New Roman" w:hAnsi="Times New Roman" w:cs="Times New Roman"/>
        </w:rPr>
        <w:t>, n = 500 stratified 8-mer sequences) for five circuit variants against ΔG°. Physics-informed variants (full circuit, no-WC, no-stacking, classical twin) cluster tightly at R² = 0.81–0.84. Random gate angles (uniform [−π, π], 29 replicates) collapse to R² = −0.147 ± 0.048, a 0.96-unit drop confirming that thermodynamic information is encoded in gate parameterisation, not circuit topology.</w:t>
      </w:r>
    </w:p>
    <w:p w14:paraId="3853F73C" w14:textId="77777777" w:rsidR="002E7DB0" w:rsidRPr="00E53203" w:rsidRDefault="002E7DB0" w:rsidP="002E7DB0">
      <w:pPr>
        <w:numPr>
          <w:ilvl w:val="0"/>
          <w:numId w:val="3"/>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Variable-region ablation showing encoding-only (no entanglement) achieves R² = 0.909 versus full circuit R² = 0.912 (ΔR² = 0.003, p = 0.47, not significant). The SantaLucia parameter encoding accounts for ~99% of predictive signal; quantum entanglement contributes marginal gains for this specific prediction task.</w:t>
      </w:r>
    </w:p>
    <w:p w14:paraId="08409ABB"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4 | Structural topology classification and hardware fidelity validation</w:t>
      </w:r>
    </w:p>
    <w:p w14:paraId="317CBAEC"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191BB20C" w14:textId="77777777" w:rsidR="002E7DB0" w:rsidRPr="00E53203" w:rsidRDefault="002E7DB0" w:rsidP="002E7DB0">
      <w:pPr>
        <w:numPr>
          <w:ilvl w:val="0"/>
          <w:numId w:val="4"/>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principal component analysis (PCA) of 47-dimensional QuBiS-HiQ feature vectors for 176 matched sequence pairs (88 hairpin-forming, 88 linear) with near-identical ΔG° (|ΔG°¹ − ΔG°²| &lt; 1.0 kcal mol⁻¹). Perfect linear separability (PC1 = 35.8%, PC2 = 11.6%) arises from CRZ gates introducing systematic </w:t>
      </w:r>
      <w:r w:rsidRPr="00E53203">
        <w:rPr>
          <w:rFonts w:ascii="Cambria Math" w:eastAsia="Times New Roman" w:hAnsi="Cambria Math" w:cs="Cambria Math"/>
        </w:rPr>
        <w:t>⟨</w:t>
      </w:r>
      <w:r w:rsidRPr="00E53203">
        <w:rPr>
          <w:rFonts w:ascii="Times New Roman" w:eastAsia="Times New Roman" w:hAnsi="Times New Roman" w:cs="Times New Roman"/>
        </w:rPr>
        <w:t>ZZ</w:t>
      </w:r>
      <w:r w:rsidRPr="00E53203">
        <w:rPr>
          <w:rFonts w:ascii="Cambria Math" w:eastAsia="Times New Roman" w:hAnsi="Cambria Math" w:cs="Cambria Math"/>
        </w:rPr>
        <w:t>⟩</w:t>
      </w:r>
      <w:r w:rsidRPr="00E53203">
        <w:rPr>
          <w:rFonts w:ascii="Times New Roman" w:eastAsia="Times New Roman" w:hAnsi="Times New Roman" w:cs="Times New Roman"/>
        </w:rPr>
        <w:t xml:space="preserve"> correlators between complementary base-pair qubits.</w:t>
      </w:r>
    </w:p>
    <w:p w14:paraId="568A46AE" w14:textId="6DACBAD6" w:rsidR="002E7DB0" w:rsidRPr="00E53203" w:rsidRDefault="002E7DB0" w:rsidP="002E7DB0">
      <w:pPr>
        <w:numPr>
          <w:ilvl w:val="0"/>
          <w:numId w:val="4"/>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Five-fold cross-validated classification accuracy (mean ± </w:t>
      </w:r>
      <w:proofErr w:type="spellStart"/>
      <w:r w:rsidRPr="00E53203">
        <w:rPr>
          <w:rFonts w:ascii="Times New Roman" w:eastAsia="Times New Roman" w:hAnsi="Times New Roman" w:cs="Times New Roman"/>
        </w:rPr>
        <w:t>s.d.</w:t>
      </w:r>
      <w:proofErr w:type="spellEnd"/>
      <w:r w:rsidRPr="00E53203">
        <w:rPr>
          <w:rFonts w:ascii="Times New Roman" w:eastAsia="Times New Roman" w:hAnsi="Times New Roman" w:cs="Times New Roman"/>
        </w:rPr>
        <w:t>) for support vector machine with radial basis function (SVM-RBF), support vector machine with linear kernel (SVM-Linear), and Random Forest on 47-dimensional QuBiS-HiQ features. All classifiers achieve 100.0 ± 0.0% accuracy, demonstrating that the Watson-Crick layer discriminates secondary</w:t>
      </w:r>
      <w:r w:rsidR="00531CD8">
        <w:rPr>
          <w:rFonts w:ascii="Times New Roman" w:eastAsia="Times New Roman" w:hAnsi="Times New Roman" w:cs="Times New Roman"/>
        </w:rPr>
        <w:t xml:space="preserve">-structure topology via quantum-mechanically </w:t>
      </w:r>
      <w:r w:rsidRPr="00E53203">
        <w:rPr>
          <w:rFonts w:ascii="Times New Roman" w:eastAsia="Times New Roman" w:hAnsi="Times New Roman" w:cs="Times New Roman"/>
        </w:rPr>
        <w:t>generated correlators.</w:t>
      </w:r>
    </w:p>
    <w:p w14:paraId="11C676A0" w14:textId="77777777" w:rsidR="002E7DB0" w:rsidRPr="00E53203" w:rsidRDefault="002E7DB0" w:rsidP="002E7DB0">
      <w:pPr>
        <w:numPr>
          <w:ilvl w:val="0"/>
          <w:numId w:val="4"/>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Hardware implementation fidelity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(Heron r2, 156 qubits). Cosine similarity between hardware-executed and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reference feature vectors for 16 8-mer sequences (10 high-GC: ≥62.5%; 10 low-GC: ≤37.5%; 10 mixed). Mean fidelity 0.9970 ± 0.0005; all sequences exceed 0.995 threshold. Validates that theoretical circuit design executes faithfully on NISQ hardware.</w:t>
      </w:r>
    </w:p>
    <w:p w14:paraId="05C1A3CE" w14:textId="2AC2698C" w:rsidR="002E7DB0" w:rsidRPr="00E53203" w:rsidRDefault="002E7DB0" w:rsidP="002E7DB0">
      <w:pPr>
        <w:numPr>
          <w:ilvl w:val="0"/>
          <w:numId w:val="4"/>
        </w:num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d,</w:t>
      </w:r>
      <w:r w:rsidRPr="00E53203">
        <w:rPr>
          <w:rFonts w:ascii="Times New Roman" w:eastAsia="Times New Roman" w:hAnsi="Times New Roman" w:cs="Times New Roman"/>
        </w:rPr>
        <w:t xml:space="preserve"> Cross-platform portability. Per-sequence cosine similarity comparison between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(Heron r2, x-axis) and </w:t>
      </w:r>
      <w:proofErr w:type="spellStart"/>
      <w:r w:rsidRPr="00E53203">
        <w:rPr>
          <w:rFonts w:ascii="Times New Roman" w:eastAsia="Times New Roman" w:hAnsi="Times New Roman" w:cs="Times New Roman"/>
        </w:rPr>
        <w:t>ibm_torino</w:t>
      </w:r>
      <w:proofErr w:type="spellEnd"/>
      <w:r w:rsidRPr="00E53203">
        <w:rPr>
          <w:rFonts w:ascii="Times New Roman" w:eastAsia="Times New Roman" w:hAnsi="Times New Roman" w:cs="Times New Roman"/>
        </w:rPr>
        <w:t xml:space="preserve"> (Heron r1, y-axis). Systematic offset Δ = −0.0022 satisfies |Δ| &lt; 0.01 portability criterion, attributable to r1 processor</w:t>
      </w:r>
      <w:r w:rsidR="00E53203">
        <w:rPr>
          <w:rFonts w:ascii="Times New Roman" w:eastAsia="Times New Roman" w:hAnsi="Times New Roman" w:cs="Times New Roman"/>
        </w:rPr>
        <w:t>’</w:t>
      </w:r>
      <w:r w:rsidRPr="00E53203">
        <w:rPr>
          <w:rFonts w:ascii="Times New Roman" w:eastAsia="Times New Roman" w:hAnsi="Times New Roman" w:cs="Times New Roman"/>
        </w:rPr>
        <w:t>s higher base gate error rate (~3×10⁻³ vs ~2×10⁻³) rather than circuit-specific sensitivity.</w:t>
      </w:r>
    </w:p>
    <w:p w14:paraId="70B5DAD8"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5 | Scalability to therapeutic-length sequences and error mitigation</w:t>
      </w:r>
    </w:p>
    <w:p w14:paraId="0B99757A"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193C771B" w14:textId="77777777" w:rsidR="002E7DB0" w:rsidRPr="00E53203" w:rsidRDefault="002E7DB0" w:rsidP="002E7DB0">
      <w:pPr>
        <w:numPr>
          <w:ilvl w:val="0"/>
          <w:numId w:val="5"/>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12-mer sequence (24-qubit) circuit execution on </w:t>
      </w:r>
      <w:proofErr w:type="spellStart"/>
      <w:r w:rsidRPr="00E53203">
        <w:rPr>
          <w:rFonts w:ascii="Times New Roman" w:eastAsia="Times New Roman" w:hAnsi="Times New Roman" w:cs="Times New Roman"/>
        </w:rPr>
        <w:t>ibm_fez</w:t>
      </w:r>
      <w:proofErr w:type="spellEnd"/>
      <w:r w:rsidRPr="00E53203">
        <w:rPr>
          <w:rFonts w:ascii="Times New Roman" w:eastAsia="Times New Roman" w:hAnsi="Times New Roman" w:cs="Times New Roman"/>
        </w:rPr>
        <w:t xml:space="preserve"> without error mitigation. Baseline cosine similarity 0.9899 ± 0.0021 remains high but shows increased variance compared to 8-mer circuits (Fig. 4c) due to accumulated gate errors and idle-qubit decoherence.</w:t>
      </w:r>
    </w:p>
    <w:p w14:paraId="3FB1F99C" w14:textId="77777777" w:rsidR="002E7DB0" w:rsidRPr="00E53203" w:rsidRDefault="002E7DB0" w:rsidP="002E7DB0">
      <w:pPr>
        <w:numPr>
          <w:ilvl w:val="0"/>
          <w:numId w:val="5"/>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12-mer circuits with XY21 dynamical decoupling and Pauli twirling error mitigation. Mean fidelity recovered to 0.9926 ± 0.0013, representing 27% error reduction compared to baseline.</w:t>
      </w:r>
    </w:p>
    <w:p w14:paraId="29C1B55B" w14:textId="77777777" w:rsidR="002E7DB0" w:rsidRPr="00E53203" w:rsidRDefault="002E7DB0" w:rsidP="002E7DB0">
      <w:pPr>
        <w:numPr>
          <w:ilvl w:val="0"/>
          <w:numId w:val="5"/>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Fidelity versus circuit scale: 8-mer baseline (0.9970), 12-mer baseline (0.9899), and 12-mer with error mitigation (0.9926). Demonstrates extensibility to 24-qubit circuits under standard error suppression protocols.</w:t>
      </w:r>
    </w:p>
    <w:p w14:paraId="07573C2E" w14:textId="77777777" w:rsidR="002E7DB0" w:rsidRPr="00E53203" w:rsidRDefault="002E7DB0" w:rsidP="002E7DB0">
      <w:pPr>
        <w:numPr>
          <w:ilvl w:val="0"/>
          <w:numId w:val="5"/>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d,</w:t>
      </w:r>
      <w:r w:rsidRPr="00E53203">
        <w:rPr>
          <w:rFonts w:ascii="Times New Roman" w:eastAsia="Times New Roman" w:hAnsi="Times New Roman" w:cs="Times New Roman"/>
        </w:rPr>
        <w:t xml:space="preserve"> Projected resource requirements. Memory for exact </w:t>
      </w:r>
      <w:proofErr w:type="spellStart"/>
      <w:r w:rsidRPr="00E53203">
        <w:rPr>
          <w:rFonts w:ascii="Times New Roman" w:eastAsia="Times New Roman" w:hAnsi="Times New Roman" w:cs="Times New Roman"/>
        </w:rPr>
        <w:t>statevector</w:t>
      </w:r>
      <w:proofErr w:type="spellEnd"/>
      <w:r w:rsidRPr="00E53203">
        <w:rPr>
          <w:rFonts w:ascii="Times New Roman" w:eastAsia="Times New Roman" w:hAnsi="Times New Roman" w:cs="Times New Roman"/>
        </w:rPr>
        <w:t xml:space="preserve"> simulation scales exponentially (4 TB at 50 qubits), while QuBiS-HiQ circuit depth scales linearly (O(N) gates). The classical </w:t>
      </w:r>
      <w:proofErr w:type="spellStart"/>
      <w:r w:rsidRPr="00E53203">
        <w:rPr>
          <w:rFonts w:ascii="Times New Roman" w:eastAsia="Times New Roman" w:hAnsi="Times New Roman" w:cs="Times New Roman"/>
        </w:rPr>
        <w:t>simulability</w:t>
      </w:r>
      <w:proofErr w:type="spellEnd"/>
      <w:r w:rsidRPr="00E53203">
        <w:rPr>
          <w:rFonts w:ascii="Times New Roman" w:eastAsia="Times New Roman" w:hAnsi="Times New Roman" w:cs="Times New Roman"/>
        </w:rPr>
        <w:t xml:space="preserve"> boundary (N ≈ 24, ~50 qubits) indicates the regime where quantum hardware execution becomes the only route to exact interferometric feature extraction for structured RNAs with active Watson-Crick entanglement.</w:t>
      </w:r>
    </w:p>
    <w:p w14:paraId="38AC5534"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Figure 6 | Interferometric information advantage: Three-way correlator encoding</w:t>
      </w:r>
    </w:p>
    <w:p w14:paraId="464D70F9" w14:textId="77777777" w:rsidR="002E7DB0" w:rsidRPr="00E53203" w:rsidRDefault="002E7DB0" w:rsidP="002E7DB0">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Panels:</w:t>
      </w:r>
    </w:p>
    <w:p w14:paraId="23F3EC6E" w14:textId="77777777" w:rsidR="002E7DB0" w:rsidRPr="00E53203" w:rsidRDefault="002E7DB0" w:rsidP="002E7DB0">
      <w:pPr>
        <w:numPr>
          <w:ilvl w:val="0"/>
          <w:numId w:val="6"/>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a,</w:t>
      </w:r>
      <w:r w:rsidRPr="00E53203">
        <w:rPr>
          <w:rFonts w:ascii="Times New Roman" w:eastAsia="Times New Roman" w:hAnsi="Times New Roman" w:cs="Times New Roman"/>
        </w:rPr>
        <w:t xml:space="preserve"> Two-qubit gate sequence generating interferometric correlators. After CNOT(</w:t>
      </w:r>
      <w:proofErr w:type="spellStart"/>
      <w:r w:rsidRPr="00E53203">
        <w:rPr>
          <w:rFonts w:ascii="Times New Roman" w:eastAsia="Times New Roman" w:hAnsi="Times New Roman" w:cs="Times New Roman"/>
        </w:rPr>
        <w:t>a→b</w:t>
      </w:r>
      <w:proofErr w:type="spellEnd"/>
      <w:r w:rsidRPr="00E53203">
        <w:rPr>
          <w:rFonts w:ascii="Times New Roman" w:eastAsia="Times New Roman" w:hAnsi="Times New Roman" w:cs="Times New Roman"/>
        </w:rPr>
        <w:t xml:space="preserve">) and Rᵧ(θₛ) on qubit b, the two-qubit correlator becomes </w:t>
      </w:r>
      <w:r w:rsidRPr="00E53203">
        <w:rPr>
          <w:rFonts w:ascii="Cambria Math" w:eastAsia="Times New Roman" w:hAnsi="Cambria Math" w:cs="Cambria Math"/>
        </w:rPr>
        <w:t>⟨</w:t>
      </w:r>
      <w:r w:rsidRPr="00E53203">
        <w:rPr>
          <w:rFonts w:ascii="Times New Roman" w:eastAsia="Times New Roman" w:hAnsi="Times New Roman" w:cs="Times New Roman"/>
        </w:rPr>
        <w:t>ZₐZᵦ</w:t>
      </w:r>
      <w:r w:rsidRPr="00E53203">
        <w:rPr>
          <w:rFonts w:ascii="Cambria Math" w:eastAsia="Times New Roman" w:hAnsi="Cambria Math" w:cs="Cambria Math"/>
        </w:rPr>
        <w:t>⟩</w:t>
      </w:r>
      <w:r w:rsidRPr="00E53203">
        <w:rPr>
          <w:rFonts w:ascii="Times New Roman" w:eastAsia="Times New Roman" w:hAnsi="Times New Roman" w:cs="Times New Roman"/>
        </w:rPr>
        <w:t xml:space="preserve"> = cos </w:t>
      </w:r>
      <w:proofErr w:type="spellStart"/>
      <w:r w:rsidRPr="00E53203">
        <w:rPr>
          <w:rFonts w:ascii="Times New Roman" w:eastAsia="Times New Roman" w:hAnsi="Times New Roman" w:cs="Times New Roman"/>
        </w:rPr>
        <w:t>θᵇcos</w:t>
      </w:r>
      <w:proofErr w:type="spellEnd"/>
      <w:r w:rsidRPr="00E53203">
        <w:rPr>
          <w:rFonts w:ascii="Times New Roman" w:eastAsia="Times New Roman" w:hAnsi="Times New Roman" w:cs="Times New Roman"/>
        </w:rPr>
        <w:t xml:space="preserve"> θₛ − sin </w:t>
      </w:r>
      <w:proofErr w:type="spellStart"/>
      <w:r w:rsidRPr="00E53203">
        <w:rPr>
          <w:rFonts w:ascii="Times New Roman" w:eastAsia="Times New Roman" w:hAnsi="Times New Roman" w:cs="Times New Roman"/>
        </w:rPr>
        <w:t>θᵇsin</w:t>
      </w:r>
      <w:proofErr w:type="spellEnd"/>
      <w:r w:rsidRPr="00E53203">
        <w:rPr>
          <w:rFonts w:ascii="Times New Roman" w:eastAsia="Times New Roman" w:hAnsi="Times New Roman" w:cs="Times New Roman"/>
        </w:rPr>
        <w:t xml:space="preserve"> </w:t>
      </w:r>
      <w:proofErr w:type="spellStart"/>
      <w:r w:rsidRPr="00E53203">
        <w:rPr>
          <w:rFonts w:ascii="Times New Roman" w:eastAsia="Times New Roman" w:hAnsi="Times New Roman" w:cs="Times New Roman"/>
        </w:rPr>
        <w:t>θₛcos</w:t>
      </w:r>
      <w:proofErr w:type="spellEnd"/>
      <w:r w:rsidRPr="00E53203">
        <w:rPr>
          <w:rFonts w:ascii="Times New Roman" w:eastAsia="Times New Roman" w:hAnsi="Times New Roman" w:cs="Times New Roman"/>
        </w:rPr>
        <w:t xml:space="preserve"> θᵃ (Proposition 3).</w:t>
      </w:r>
    </w:p>
    <w:p w14:paraId="5FC207FC" w14:textId="77777777" w:rsidR="002E7DB0" w:rsidRPr="00E53203" w:rsidRDefault="002E7DB0" w:rsidP="002E7DB0">
      <w:pPr>
        <w:numPr>
          <w:ilvl w:val="0"/>
          <w:numId w:val="6"/>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b,</w:t>
      </w:r>
      <w:r w:rsidRPr="00E53203">
        <w:rPr>
          <w:rFonts w:ascii="Times New Roman" w:eastAsia="Times New Roman" w:hAnsi="Times New Roman" w:cs="Times New Roman"/>
        </w:rPr>
        <w:t xml:space="preserve"> </w:t>
      </w:r>
      <w:proofErr w:type="gramStart"/>
      <w:r w:rsidRPr="00E53203">
        <w:rPr>
          <w:rFonts w:ascii="Times New Roman" w:eastAsia="Times New Roman" w:hAnsi="Times New Roman" w:cs="Times New Roman"/>
        </w:rPr>
        <w:t>The</w:t>
      </w:r>
      <w:proofErr w:type="gramEnd"/>
      <w:r w:rsidRPr="00E53203">
        <w:rPr>
          <w:rFonts w:ascii="Times New Roman" w:eastAsia="Times New Roman" w:hAnsi="Times New Roman" w:cs="Times New Roman"/>
        </w:rPr>
        <w:t xml:space="preserve"> cross-term sin </w:t>
      </w:r>
      <w:proofErr w:type="spellStart"/>
      <w:r w:rsidRPr="00E53203">
        <w:rPr>
          <w:rFonts w:ascii="Times New Roman" w:eastAsia="Times New Roman" w:hAnsi="Times New Roman" w:cs="Times New Roman"/>
        </w:rPr>
        <w:t>θᵇsin</w:t>
      </w:r>
      <w:proofErr w:type="spellEnd"/>
      <w:r w:rsidRPr="00E53203">
        <w:rPr>
          <w:rFonts w:ascii="Times New Roman" w:eastAsia="Times New Roman" w:hAnsi="Times New Roman" w:cs="Times New Roman"/>
        </w:rPr>
        <w:t xml:space="preserve"> </w:t>
      </w:r>
      <w:proofErr w:type="spellStart"/>
      <w:r w:rsidRPr="00E53203">
        <w:rPr>
          <w:rFonts w:ascii="Times New Roman" w:eastAsia="Times New Roman" w:hAnsi="Times New Roman" w:cs="Times New Roman"/>
        </w:rPr>
        <w:t>θₛcos</w:t>
      </w:r>
      <w:proofErr w:type="spellEnd"/>
      <w:r w:rsidRPr="00E53203">
        <w:rPr>
          <w:rFonts w:ascii="Times New Roman" w:eastAsia="Times New Roman" w:hAnsi="Times New Roman" w:cs="Times New Roman"/>
        </w:rPr>
        <w:t xml:space="preserve"> θᵃ encodes stacking free energy through a three-way interaction absent in classical product-state marginals </w:t>
      </w:r>
      <w:r w:rsidRPr="00E53203">
        <w:rPr>
          <w:rFonts w:ascii="Cambria Math" w:eastAsia="Times New Roman" w:hAnsi="Cambria Math" w:cs="Cambria Math"/>
        </w:rPr>
        <w:t>⟨</w:t>
      </w:r>
      <w:r w:rsidRPr="00E53203">
        <w:rPr>
          <w:rFonts w:ascii="Times New Roman" w:eastAsia="Times New Roman" w:hAnsi="Times New Roman" w:cs="Times New Roman"/>
        </w:rPr>
        <w:t>Zₐ</w:t>
      </w:r>
      <w:r w:rsidRPr="00E53203">
        <w:rPr>
          <w:rFonts w:ascii="Cambria Math" w:eastAsia="Times New Roman" w:hAnsi="Cambria Math" w:cs="Cambria Math"/>
        </w:rPr>
        <w:t>⟩⟨</w:t>
      </w:r>
      <w:r w:rsidRPr="00E53203">
        <w:rPr>
          <w:rFonts w:ascii="Times New Roman" w:eastAsia="Times New Roman" w:hAnsi="Times New Roman" w:cs="Times New Roman"/>
        </w:rPr>
        <w:t>Zᵦ</w:t>
      </w:r>
      <w:r w:rsidRPr="00E53203">
        <w:rPr>
          <w:rFonts w:ascii="Cambria Math" w:eastAsia="Times New Roman" w:hAnsi="Cambria Math" w:cs="Cambria Math"/>
        </w:rPr>
        <w:t>⟩</w:t>
      </w:r>
      <w:r w:rsidRPr="00E53203">
        <w:rPr>
          <w:rFonts w:ascii="Times New Roman" w:eastAsia="Times New Roman" w:hAnsi="Times New Roman" w:cs="Times New Roman"/>
        </w:rPr>
        <w:t xml:space="preserve"> = cos </w:t>
      </w:r>
      <w:proofErr w:type="spellStart"/>
      <w:r w:rsidRPr="00E53203">
        <w:rPr>
          <w:rFonts w:ascii="Times New Roman" w:eastAsia="Times New Roman" w:hAnsi="Times New Roman" w:cs="Times New Roman"/>
        </w:rPr>
        <w:t>θᵃcos</w:t>
      </w:r>
      <w:proofErr w:type="spellEnd"/>
      <w:r w:rsidRPr="00E53203">
        <w:rPr>
          <w:rFonts w:ascii="Times New Roman" w:eastAsia="Times New Roman" w:hAnsi="Times New Roman" w:cs="Times New Roman"/>
        </w:rPr>
        <w:t xml:space="preserve"> θᵇ. This term is generated quantum-mechanically via entanglement and interference.</w:t>
      </w:r>
    </w:p>
    <w:p w14:paraId="31B92816" w14:textId="77777777" w:rsidR="002E7DB0" w:rsidRPr="00E53203" w:rsidRDefault="002E7DB0" w:rsidP="002E7DB0">
      <w:pPr>
        <w:numPr>
          <w:ilvl w:val="0"/>
          <w:numId w:val="6"/>
        </w:num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w:t>
      </w:r>
      <w:r w:rsidRPr="00E53203">
        <w:rPr>
          <w:rFonts w:ascii="Times New Roman" w:eastAsia="Times New Roman" w:hAnsi="Times New Roman" w:cs="Times New Roman"/>
        </w:rPr>
        <w:t xml:space="preserve"> Mutual information gain (%) of quantum correlators versus classical marginals across all ten dinucleotide stacking steps. Gains range from 100% to 358% (maximum for AA/TT, where θᵃ = θᵇ ≈ π/2 maximises the cross-term).</w:t>
      </w:r>
    </w:p>
    <w:p w14:paraId="2743B028" w14:textId="4E1746E5" w:rsidR="002E7DB0" w:rsidRPr="00E53203" w:rsidRDefault="00531CD8" w:rsidP="002E7DB0">
      <w:pPr>
        <w:numPr>
          <w:ilvl w:val="0"/>
          <w:numId w:val="6"/>
        </w:numPr>
        <w:spacing w:line="360" w:lineRule="auto"/>
        <w:rPr>
          <w:rFonts w:ascii="Times New Roman" w:eastAsia="Times New Roman" w:hAnsi="Times New Roman" w:cs="Times New Roman"/>
        </w:rPr>
      </w:pPr>
      <w:r>
        <w:rPr>
          <w:rFonts w:ascii="Times New Roman" w:eastAsia="Times New Roman" w:hAnsi="Times New Roman" w:cs="Times New Roman"/>
          <w:b/>
          <w:bCs/>
        </w:rPr>
        <w:t xml:space="preserve">d, </w:t>
      </w:r>
      <w:r w:rsidRPr="00531CD8">
        <w:rPr>
          <w:rFonts w:ascii="Times New Roman" w:eastAsia="Times New Roman" w:hAnsi="Times New Roman" w:cs="Times New Roman"/>
        </w:rPr>
        <w:t>C</w:t>
      </w:r>
      <w:r w:rsidR="002E7DB0" w:rsidRPr="00E53203">
        <w:rPr>
          <w:rFonts w:ascii="Times New Roman" w:eastAsia="Times New Roman" w:hAnsi="Times New Roman" w:cs="Times New Roman"/>
        </w:rPr>
        <w:t xml:space="preserve">omparison of </w:t>
      </w:r>
      <w:r w:rsidR="002E7DB0" w:rsidRPr="00E53203">
        <w:rPr>
          <w:rFonts w:ascii="Cambria Math" w:eastAsia="Times New Roman" w:hAnsi="Cambria Math" w:cs="Cambria Math"/>
        </w:rPr>
        <w:t>⟨</w:t>
      </w:r>
      <w:r w:rsidR="002E7DB0" w:rsidRPr="00E53203">
        <w:rPr>
          <w:rFonts w:ascii="Times New Roman" w:eastAsia="Times New Roman" w:hAnsi="Times New Roman" w:cs="Times New Roman"/>
        </w:rPr>
        <w:t>ZₐZᵦ</w:t>
      </w:r>
      <w:r w:rsidR="002E7DB0" w:rsidRPr="00E53203">
        <w:rPr>
          <w:rFonts w:ascii="Cambria Math" w:eastAsia="Times New Roman" w:hAnsi="Cambria Math" w:cs="Cambria Math"/>
        </w:rPr>
        <w:t>⟩</w:t>
      </w:r>
      <w:r w:rsidR="002E7DB0" w:rsidRPr="00E53203">
        <w:rPr>
          <w:rFonts w:ascii="Times New Roman" w:eastAsia="Times New Roman" w:hAnsi="Times New Roman" w:cs="Times New Roman"/>
        </w:rPr>
        <w:t xml:space="preserve"> expectation values: quantum interferometric (y-axis) versus classical product-state (x-axis) for all 64 dinucleotide combinations in the Oliveira dataset. Deviation from the diagonal (dashed) demonstrates the information advantage. While this correlator-level advantage does not translate </w:t>
      </w:r>
      <w:r>
        <w:rPr>
          <w:rFonts w:ascii="Times New Roman" w:eastAsia="Times New Roman" w:hAnsi="Times New Roman" w:cs="Times New Roman"/>
        </w:rPr>
        <w:t xml:space="preserve">into end-to-end predictive superiority (classical R² = 0.935 exceeds quantum R² = 0.911), it enables the automatic generation of physically </w:t>
      </w:r>
      <w:r w:rsidR="002E7DB0" w:rsidRPr="00E53203">
        <w:rPr>
          <w:rFonts w:ascii="Times New Roman" w:eastAsia="Times New Roman" w:hAnsi="Times New Roman" w:cs="Times New Roman"/>
        </w:rPr>
        <w:t>meaningful cross-features without explicit engineering.</w:t>
      </w:r>
    </w:p>
    <w:p w14:paraId="6AC9B20A" w14:textId="77777777" w:rsidR="00EE7AB8" w:rsidRPr="00E53203" w:rsidRDefault="00EE501B">
      <w:pPr>
        <w:spacing w:line="360" w:lineRule="auto"/>
        <w:rPr>
          <w:rFonts w:ascii="Times New Roman" w:hAnsi="Times New Roman" w:cs="Times New Roman"/>
          <w:b/>
          <w:bCs/>
        </w:rPr>
      </w:pPr>
      <w:r w:rsidRPr="00E53203">
        <w:rPr>
          <w:rFonts w:ascii="Times New Roman" w:hAnsi="Times New Roman" w:cs="Times New Roman"/>
          <w:b/>
          <w:bCs/>
        </w:rPr>
        <w:t>Table 1 | Prediction of experimental T</w:t>
      </w:r>
      <w:r w:rsidRPr="00E53203">
        <w:rPr>
          <w:rFonts w:ascii="Times New Roman" w:hAnsi="Times New Roman" w:cs="Times New Roman"/>
          <w:b/>
          <w:bCs/>
          <w:vertAlign w:val="subscript"/>
        </w:rPr>
        <w:t>m</w:t>
      </w:r>
      <w:r w:rsidRPr="00E53203">
        <w:rPr>
          <w:rFonts w:ascii="Times New Roman" w:hAnsi="Times New Roman" w:cs="Times New Roman"/>
          <w:b/>
          <w:bCs/>
        </w:rPr>
        <w:t xml:space="preserve"> for 64 canonical DNA duplexes</w:t>
      </w:r>
      <w:r w:rsidR="00F47CF6" w:rsidRPr="00E53203">
        <w:rPr>
          <w:rFonts w:ascii="Times New Roman" w:hAnsi="Times New Roman" w:cs="Times New Roman"/>
          <w:b/>
          <w:bCs/>
        </w:rPr>
        <w:t>.</w:t>
      </w:r>
    </w:p>
    <w:p w14:paraId="56C01CB9" w14:textId="77777777" w:rsidR="008D5BE3" w:rsidRPr="00E53203" w:rsidRDefault="005B601C">
      <w:pPr>
        <w:spacing w:line="360" w:lineRule="auto"/>
        <w:rPr>
          <w:rFonts w:ascii="Times New Roman" w:eastAsia="Times New Roman" w:hAnsi="Times New Roman" w:cs="Times New Roman"/>
          <w:b/>
          <w:bCs/>
        </w:rPr>
      </w:pPr>
      <w:r w:rsidRPr="00E53203">
        <w:rPr>
          <w:rFonts w:ascii="Times New Roman" w:eastAsia="Times New Roman" w:hAnsi="Times New Roman" w:cs="Times New Roman"/>
        </w:rPr>
        <w:t>Comparison of classical physics-informed, quantum, and combined feature sets for melting temperature prediction. Classical features alone outperform quantum features alone by 2.4 percentage points (R² = 0.935 vs 0.911), demonstrating that the primary predictive signal resides in the SantaLucia parameter encoding. However, quantum features provide complementary orthogonal information, yielding synergistic improvement when fused with classical descriptors (R² = 0.941 vs 0.935 classical alone). d = number of features; CI = confidence interval; MAE = mean absolute error.</w:t>
      </w:r>
    </w:p>
    <w:tbl>
      <w:tblPr>
        <w:tblStyle w:val="ListTable2"/>
        <w:tblW w:w="9026" w:type="dxa"/>
        <w:tblLayout w:type="fixed"/>
        <w:tblLook w:val="0000" w:firstRow="0" w:lastRow="0" w:firstColumn="0" w:lastColumn="0" w:noHBand="0" w:noVBand="0"/>
      </w:tblPr>
      <w:tblGrid>
        <w:gridCol w:w="2757"/>
        <w:gridCol w:w="571"/>
        <w:gridCol w:w="1802"/>
        <w:gridCol w:w="1900"/>
        <w:gridCol w:w="998"/>
        <w:gridCol w:w="998"/>
      </w:tblGrid>
      <w:tr w:rsidR="00463BAF" w:rsidRPr="00E53203" w14:paraId="25E8504A" w14:textId="77777777" w:rsidTr="00791E1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231ABF0C"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Feature set</w:t>
            </w:r>
          </w:p>
        </w:tc>
        <w:tc>
          <w:tcPr>
            <w:tcW w:w="571" w:type="dxa"/>
            <w:shd w:val="clear" w:color="auto" w:fill="auto"/>
          </w:tcPr>
          <w:p w14:paraId="54200108" w14:textId="77777777" w:rsidR="00463BAF" w:rsidRPr="00E53203" w:rsidRDefault="00463BA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b/>
                <w:bCs/>
              </w:rPr>
              <w:t>d</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6AD4694B"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LOO-CV R² (95% bootstrap CI)</w:t>
            </w:r>
          </w:p>
        </w:tc>
        <w:tc>
          <w:tcPr>
            <w:tcW w:w="1900" w:type="dxa"/>
            <w:shd w:val="clear" w:color="auto" w:fill="auto"/>
          </w:tcPr>
          <w:p w14:paraId="71D856D5" w14:textId="77777777" w:rsidR="00463BAF" w:rsidRPr="00E53203" w:rsidRDefault="00463BA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b/>
                <w:bCs/>
              </w:rPr>
              <w:t>Pearson r and p-value</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13881B7F"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MAE (°C)</w:t>
            </w:r>
          </w:p>
        </w:tc>
        <w:tc>
          <w:tcPr>
            <w:tcW w:w="998" w:type="dxa"/>
            <w:shd w:val="clear" w:color="auto" w:fill="auto"/>
          </w:tcPr>
          <w:p w14:paraId="6793A330" w14:textId="77777777" w:rsidR="00463BAF" w:rsidRPr="00E53203" w:rsidRDefault="00791E1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53203">
              <w:rPr>
                <w:rFonts w:ascii="Times New Roman" w:eastAsia="Times New Roman" w:hAnsi="Times New Roman" w:cs="Times New Roman"/>
                <w:b/>
                <w:bCs/>
              </w:rPr>
              <w:t>Notes</w:t>
            </w:r>
          </w:p>
        </w:tc>
      </w:tr>
      <w:tr w:rsidR="00463BAF" w:rsidRPr="00E53203" w14:paraId="7CB6E6DE" w14:textId="77777777" w:rsidTr="00791E1D">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5C5CF748"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Classical composition (rich physics)</w:t>
            </w:r>
          </w:p>
        </w:tc>
        <w:tc>
          <w:tcPr>
            <w:tcW w:w="571" w:type="dxa"/>
          </w:tcPr>
          <w:p w14:paraId="75875B2C" w14:textId="77777777" w:rsidR="00463BAF" w:rsidRPr="00E53203" w:rsidRDefault="00463BA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17</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64C194E7"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0.935</w:t>
            </w:r>
            <w:r w:rsidRPr="00E53203">
              <w:rPr>
                <w:rFonts w:ascii="Times New Roman" w:eastAsia="Times New Roman" w:hAnsi="Times New Roman" w:cs="Times New Roman"/>
              </w:rPr>
              <w:t> [0.894, 0.962]</w:t>
            </w:r>
          </w:p>
        </w:tc>
        <w:tc>
          <w:tcPr>
            <w:tcW w:w="1900" w:type="dxa"/>
          </w:tcPr>
          <w:p w14:paraId="717A4DBD" w14:textId="77777777" w:rsidR="00463BAF" w:rsidRPr="00E53203" w:rsidRDefault="00463BA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r = 0.967, p = 4.5×10</w:t>
            </w:r>
            <w:r w:rsidRPr="00E53203">
              <w:rPr>
                <w:rFonts w:ascii="Times New Roman" w:eastAsia="Times New Roman" w:hAnsi="Times New Roman" w:cs="Times New Roman"/>
                <w:vertAlign w:val="superscript"/>
              </w:rPr>
              <w:t>-</w:t>
            </w:r>
            <w:r w:rsidRPr="00E53203">
              <w:rPr>
                <w:rFonts w:ascii="Times New Roman" w:eastAsia="Times New Roman" w:hAnsi="Times New Roman" w:cs="Times New Roman"/>
              </w:rPr>
              <w:t>³⁸</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7C05341B"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0.43</w:t>
            </w:r>
          </w:p>
        </w:tc>
        <w:tc>
          <w:tcPr>
            <w:tcW w:w="998" w:type="dxa"/>
          </w:tcPr>
          <w:p w14:paraId="6EACF81A" w14:textId="77777777" w:rsidR="00463BAF" w:rsidRPr="00E53203" w:rsidRDefault="00655B8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Best classical baseline</w:t>
            </w:r>
          </w:p>
        </w:tc>
      </w:tr>
      <w:tr w:rsidR="00463BAF" w:rsidRPr="00E53203" w14:paraId="1716E077" w14:textId="77777777" w:rsidTr="00791E1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0FC3C25F" w14:textId="77777777" w:rsidR="00463BAF" w:rsidRPr="00E53203" w:rsidRDefault="00A91C3C">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Quantum (variable-region)</w:t>
            </w:r>
          </w:p>
        </w:tc>
        <w:tc>
          <w:tcPr>
            <w:tcW w:w="571" w:type="dxa"/>
            <w:shd w:val="clear" w:color="auto" w:fill="auto"/>
          </w:tcPr>
          <w:p w14:paraId="64046364" w14:textId="77777777" w:rsidR="00463BAF" w:rsidRPr="00E53203" w:rsidRDefault="00463BA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21</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1765EBF7"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0.9</w:t>
            </w:r>
            <w:r w:rsidR="00BA5FE2" w:rsidRPr="00E53203">
              <w:rPr>
                <w:rFonts w:ascii="Times New Roman" w:eastAsia="Times New Roman" w:hAnsi="Times New Roman" w:cs="Times New Roman"/>
              </w:rPr>
              <w:t>11</w:t>
            </w:r>
            <w:r w:rsidRPr="00E53203">
              <w:rPr>
                <w:rFonts w:ascii="Times New Roman" w:eastAsia="Times New Roman" w:hAnsi="Times New Roman" w:cs="Times New Roman"/>
              </w:rPr>
              <w:t xml:space="preserve"> [0.857, 0.937]</w:t>
            </w:r>
          </w:p>
        </w:tc>
        <w:tc>
          <w:tcPr>
            <w:tcW w:w="1900" w:type="dxa"/>
            <w:shd w:val="clear" w:color="auto" w:fill="auto"/>
          </w:tcPr>
          <w:p w14:paraId="3C1A2724" w14:textId="77777777" w:rsidR="00463BAF" w:rsidRPr="00E53203" w:rsidRDefault="00F7698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r = 0.939, p = 2.7×10</w:t>
            </w:r>
            <w:r w:rsidR="008108F8" w:rsidRPr="00E53203">
              <w:rPr>
                <w:rFonts w:ascii="Times New Roman" w:eastAsia="Times New Roman" w:hAnsi="Times New Roman" w:cs="Times New Roman"/>
                <w:vertAlign w:val="superscript"/>
              </w:rPr>
              <w:t>-</w:t>
            </w:r>
            <w:r w:rsidRPr="00E53203">
              <w:rPr>
                <w:rFonts w:ascii="Times New Roman" w:eastAsia="Times New Roman" w:hAnsi="Times New Roman" w:cs="Times New Roman"/>
              </w:rPr>
              <w:t>³¹</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525C63B3"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0.5</w:t>
            </w:r>
            <w:r w:rsidR="008108F8" w:rsidRPr="00E53203">
              <w:rPr>
                <w:rFonts w:ascii="Times New Roman" w:eastAsia="Times New Roman" w:hAnsi="Times New Roman" w:cs="Times New Roman"/>
              </w:rPr>
              <w:t>3</w:t>
            </w:r>
          </w:p>
        </w:tc>
        <w:tc>
          <w:tcPr>
            <w:tcW w:w="998" w:type="dxa"/>
            <w:shd w:val="clear" w:color="auto" w:fill="auto"/>
          </w:tcPr>
          <w:p w14:paraId="3D6998C7" w14:textId="77777777" w:rsidR="00463BAF" w:rsidRPr="00E53203" w:rsidRDefault="00655B8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This work</w:t>
            </w:r>
          </w:p>
        </w:tc>
      </w:tr>
      <w:tr w:rsidR="00463BAF" w:rsidRPr="00E53203" w14:paraId="743748F6" w14:textId="77777777" w:rsidTr="00791E1D">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63ADE45C" w14:textId="77777777" w:rsidR="00463BAF" w:rsidRPr="00E53203" w:rsidRDefault="00A91C3C">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Combined (quantum + classical)</w:t>
            </w:r>
          </w:p>
        </w:tc>
        <w:tc>
          <w:tcPr>
            <w:tcW w:w="571" w:type="dxa"/>
          </w:tcPr>
          <w:p w14:paraId="211E80EE" w14:textId="77777777" w:rsidR="00463BAF" w:rsidRPr="00E53203" w:rsidRDefault="00A91C3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38</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2A44E655"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w:t>
            </w:r>
            <w:r w:rsidR="00BA5FE2" w:rsidRPr="00E53203">
              <w:rPr>
                <w:rFonts w:ascii="Times New Roman" w:eastAsia="Times New Roman" w:hAnsi="Times New Roman" w:cs="Times New Roman"/>
              </w:rPr>
              <w:t>941</w:t>
            </w:r>
            <w:r w:rsidRPr="00E53203">
              <w:rPr>
                <w:rFonts w:ascii="Times New Roman" w:eastAsia="Times New Roman" w:hAnsi="Times New Roman" w:cs="Times New Roman"/>
              </w:rPr>
              <w:t xml:space="preserve"> [</w:t>
            </w:r>
            <w:r w:rsidR="00917D2E" w:rsidRPr="00E53203">
              <w:rPr>
                <w:rFonts w:ascii="Times New Roman" w:eastAsia="Times New Roman" w:hAnsi="Times New Roman" w:cs="Times New Roman"/>
              </w:rPr>
              <w:t>0.907, 0.965</w:t>
            </w:r>
            <w:r w:rsidRPr="00E53203">
              <w:rPr>
                <w:rFonts w:ascii="Times New Roman" w:eastAsia="Times New Roman" w:hAnsi="Times New Roman" w:cs="Times New Roman"/>
              </w:rPr>
              <w:t>]</w:t>
            </w:r>
          </w:p>
        </w:tc>
        <w:tc>
          <w:tcPr>
            <w:tcW w:w="1900" w:type="dxa"/>
          </w:tcPr>
          <w:p w14:paraId="30450360" w14:textId="77777777" w:rsidR="00463BAF" w:rsidRPr="00E53203" w:rsidRDefault="00435B8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r = 0.970, p = 8.8×10</w:t>
            </w:r>
            <w:r w:rsidR="008108F8" w:rsidRPr="00E53203">
              <w:rPr>
                <w:rFonts w:ascii="Times New Roman" w:eastAsia="Times New Roman" w:hAnsi="Times New Roman" w:cs="Times New Roman"/>
                <w:vertAlign w:val="superscript"/>
              </w:rPr>
              <w:t>-</w:t>
            </w:r>
            <w:r w:rsidRPr="00E53203">
              <w:rPr>
                <w:rFonts w:ascii="Times New Roman" w:eastAsia="Times New Roman" w:hAnsi="Times New Roman" w:cs="Times New Roman"/>
              </w:rPr>
              <w:t>⁴⁰</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629F5210"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w:t>
            </w:r>
            <w:r w:rsidR="008108F8" w:rsidRPr="00E53203">
              <w:rPr>
                <w:rFonts w:ascii="Times New Roman" w:eastAsia="Times New Roman" w:hAnsi="Times New Roman" w:cs="Times New Roman"/>
              </w:rPr>
              <w:t>41</w:t>
            </w:r>
          </w:p>
        </w:tc>
        <w:tc>
          <w:tcPr>
            <w:tcW w:w="998" w:type="dxa"/>
          </w:tcPr>
          <w:p w14:paraId="151C2800" w14:textId="77777777" w:rsidR="00463BAF" w:rsidRPr="00E53203" w:rsidRDefault="00655B8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Best overall; non-overlapping</w:t>
            </w:r>
            <w:r w:rsidR="00C304FE" w:rsidRPr="00E53203">
              <w:rPr>
                <w:rFonts w:ascii="Times New Roman" w:eastAsia="Times New Roman" w:hAnsi="Times New Roman" w:cs="Times New Roman"/>
              </w:rPr>
              <w:t xml:space="preserve"> CIs confirming complementarity</w:t>
            </w:r>
          </w:p>
        </w:tc>
      </w:tr>
      <w:tr w:rsidR="00463BAF" w:rsidRPr="00E53203" w14:paraId="0CA4D063" w14:textId="77777777" w:rsidTr="00791E1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07F6F1B8" w14:textId="77777777" w:rsidR="00463BAF" w:rsidRPr="00E53203" w:rsidRDefault="00463BAF">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GC count only</w:t>
            </w:r>
          </w:p>
        </w:tc>
        <w:tc>
          <w:tcPr>
            <w:tcW w:w="571" w:type="dxa"/>
            <w:shd w:val="clear" w:color="auto" w:fill="auto"/>
          </w:tcPr>
          <w:p w14:paraId="27A3C622" w14:textId="77777777" w:rsidR="00463BAF" w:rsidRPr="00E53203" w:rsidRDefault="00463BA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1</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50F4D939"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0.888 [0.850, 0.921]</w:t>
            </w:r>
          </w:p>
        </w:tc>
        <w:tc>
          <w:tcPr>
            <w:tcW w:w="1900" w:type="dxa"/>
            <w:shd w:val="clear" w:color="auto" w:fill="auto"/>
          </w:tcPr>
          <w:p w14:paraId="5C3E3580" w14:textId="77777777" w:rsidR="00463BAF" w:rsidRPr="00E53203" w:rsidRDefault="00463BAF">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r = 0.938, p = 1.0 × 10</w:t>
            </w:r>
            <w:r w:rsidR="008108F8" w:rsidRPr="00E53203">
              <w:rPr>
                <w:rFonts w:ascii="Times New Roman" w:eastAsia="Times New Roman" w:hAnsi="Times New Roman" w:cs="Times New Roman"/>
                <w:vertAlign w:val="superscript"/>
              </w:rPr>
              <w:t>-</w:t>
            </w:r>
            <w:r w:rsidRPr="00E53203">
              <w:rPr>
                <w:rFonts w:ascii="Times New Roman" w:eastAsia="Times New Roman" w:hAnsi="Times New Roman" w:cs="Times New Roman"/>
              </w:rPr>
              <w:t>³⁰</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59974883"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0.56</w:t>
            </w:r>
          </w:p>
        </w:tc>
        <w:tc>
          <w:tcPr>
            <w:tcW w:w="998" w:type="dxa"/>
            <w:shd w:val="clear" w:color="auto" w:fill="auto"/>
          </w:tcPr>
          <w:p w14:paraId="1BC5C1B4" w14:textId="77777777" w:rsidR="00463BAF" w:rsidRPr="00E53203" w:rsidRDefault="00C304F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Dominant signal in scaffolded design</w:t>
            </w:r>
          </w:p>
        </w:tc>
      </w:tr>
      <w:tr w:rsidR="00463BAF" w:rsidRPr="00E53203" w14:paraId="3D16E2CC" w14:textId="77777777" w:rsidTr="00791E1D">
        <w:tc>
          <w:tcPr>
            <w:cnfStyle w:val="000010000000" w:firstRow="0" w:lastRow="0" w:firstColumn="0" w:lastColumn="0" w:oddVBand="1" w:evenVBand="0" w:oddHBand="0" w:evenHBand="0" w:firstRowFirstColumn="0" w:firstRowLastColumn="0" w:lastRowFirstColumn="0" w:lastRowLastColumn="0"/>
            <w:tcW w:w="2757" w:type="dxa"/>
            <w:shd w:val="clear" w:color="auto" w:fill="auto"/>
          </w:tcPr>
          <w:p w14:paraId="29DB3012" w14:textId="77777777" w:rsidR="00463BAF" w:rsidRPr="00E53203" w:rsidRDefault="00A91C3C">
            <w:pPr>
              <w:spacing w:line="360" w:lineRule="auto"/>
              <w:rPr>
                <w:rFonts w:ascii="Times New Roman" w:eastAsia="Times New Roman" w:hAnsi="Times New Roman" w:cs="Times New Roman"/>
                <w:b/>
                <w:bCs/>
              </w:rPr>
            </w:pPr>
            <w:r w:rsidRPr="00E53203">
              <w:rPr>
                <w:rFonts w:ascii="Times New Roman" w:eastAsia="Times New Roman" w:hAnsi="Times New Roman" w:cs="Times New Roman"/>
                <w:b/>
                <w:bCs/>
              </w:rPr>
              <w:t>Quantum (full 111-d)</w:t>
            </w:r>
          </w:p>
        </w:tc>
        <w:tc>
          <w:tcPr>
            <w:tcW w:w="571" w:type="dxa"/>
          </w:tcPr>
          <w:p w14:paraId="58CFEEAA" w14:textId="77777777" w:rsidR="00463BAF" w:rsidRPr="00E53203" w:rsidRDefault="00463BAF">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1</w:t>
            </w:r>
            <w:r w:rsidR="00A91C3C" w:rsidRPr="00E53203">
              <w:rPr>
                <w:rFonts w:ascii="Times New Roman" w:eastAsia="Times New Roman" w:hAnsi="Times New Roman" w:cs="Times New Roman"/>
              </w:rPr>
              <w:t>11</w:t>
            </w:r>
          </w:p>
        </w:tc>
        <w:tc>
          <w:tcPr>
            <w:cnfStyle w:val="000010000000" w:firstRow="0" w:lastRow="0" w:firstColumn="0" w:lastColumn="0" w:oddVBand="1" w:evenVBand="0" w:oddHBand="0" w:evenHBand="0" w:firstRowFirstColumn="0" w:firstRowLastColumn="0" w:lastRowFirstColumn="0" w:lastRowLastColumn="0"/>
            <w:tcW w:w="1802" w:type="dxa"/>
            <w:shd w:val="clear" w:color="auto" w:fill="auto"/>
          </w:tcPr>
          <w:p w14:paraId="3C03DE94"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w:t>
            </w:r>
            <w:r w:rsidR="00F7698E" w:rsidRPr="00E53203">
              <w:rPr>
                <w:rFonts w:ascii="Times New Roman" w:eastAsia="Times New Roman" w:hAnsi="Times New Roman" w:cs="Times New Roman"/>
              </w:rPr>
              <w:t>731</w:t>
            </w:r>
            <w:r w:rsidRPr="00E53203">
              <w:rPr>
                <w:rFonts w:ascii="Times New Roman" w:eastAsia="Times New Roman" w:hAnsi="Times New Roman" w:cs="Times New Roman"/>
              </w:rPr>
              <w:t xml:space="preserve"> [0.</w:t>
            </w:r>
            <w:r w:rsidR="00F7698E" w:rsidRPr="00E53203">
              <w:rPr>
                <w:rFonts w:ascii="Times New Roman" w:eastAsia="Times New Roman" w:hAnsi="Times New Roman" w:cs="Times New Roman"/>
              </w:rPr>
              <w:t>651</w:t>
            </w:r>
            <w:r w:rsidRPr="00E53203">
              <w:rPr>
                <w:rFonts w:ascii="Times New Roman" w:eastAsia="Times New Roman" w:hAnsi="Times New Roman" w:cs="Times New Roman"/>
              </w:rPr>
              <w:t>, 0.</w:t>
            </w:r>
            <w:r w:rsidR="00F7698E" w:rsidRPr="00E53203">
              <w:rPr>
                <w:rFonts w:ascii="Times New Roman" w:eastAsia="Times New Roman" w:hAnsi="Times New Roman" w:cs="Times New Roman"/>
              </w:rPr>
              <w:t>769</w:t>
            </w:r>
            <w:r w:rsidRPr="00E53203">
              <w:rPr>
                <w:rFonts w:ascii="Times New Roman" w:eastAsia="Times New Roman" w:hAnsi="Times New Roman" w:cs="Times New Roman"/>
              </w:rPr>
              <w:t>]</w:t>
            </w:r>
          </w:p>
        </w:tc>
        <w:tc>
          <w:tcPr>
            <w:tcW w:w="1900" w:type="dxa"/>
          </w:tcPr>
          <w:p w14:paraId="7B7EA00A" w14:textId="77777777" w:rsidR="00463BAF" w:rsidRPr="00E53203" w:rsidRDefault="008108F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r = 0.846, p = 2.4×10</w:t>
            </w:r>
            <w:r w:rsidRPr="00E53203">
              <w:rPr>
                <w:rFonts w:ascii="Times New Roman" w:eastAsia="Times New Roman" w:hAnsi="Times New Roman" w:cs="Times New Roman"/>
                <w:vertAlign w:val="superscript"/>
              </w:rPr>
              <w:t>-</w:t>
            </w:r>
            <w:r w:rsidRPr="00E53203">
              <w:rPr>
                <w:rFonts w:ascii="Times New Roman" w:eastAsia="Times New Roman" w:hAnsi="Times New Roman" w:cs="Times New Roman"/>
              </w:rPr>
              <w:t>¹⁸</w:t>
            </w:r>
          </w:p>
        </w:tc>
        <w:tc>
          <w:tcPr>
            <w:cnfStyle w:val="000010000000" w:firstRow="0" w:lastRow="0" w:firstColumn="0" w:lastColumn="0" w:oddVBand="1" w:evenVBand="0" w:oddHBand="0" w:evenHBand="0" w:firstRowFirstColumn="0" w:firstRowLastColumn="0" w:lastRowFirstColumn="0" w:lastRowLastColumn="0"/>
            <w:tcW w:w="998" w:type="dxa"/>
            <w:shd w:val="clear" w:color="auto" w:fill="auto"/>
          </w:tcPr>
          <w:p w14:paraId="43CE9C63" w14:textId="77777777" w:rsidR="00463BAF" w:rsidRPr="00E53203" w:rsidRDefault="00463BAF">
            <w:pPr>
              <w:spacing w:line="360" w:lineRule="auto"/>
              <w:rPr>
                <w:rFonts w:ascii="Times New Roman" w:eastAsia="Times New Roman" w:hAnsi="Times New Roman" w:cs="Times New Roman"/>
              </w:rPr>
            </w:pPr>
            <w:r w:rsidRPr="00E53203">
              <w:rPr>
                <w:rFonts w:ascii="Times New Roman" w:eastAsia="Times New Roman" w:hAnsi="Times New Roman" w:cs="Times New Roman"/>
              </w:rPr>
              <w:t>0.</w:t>
            </w:r>
            <w:r w:rsidR="008108F8" w:rsidRPr="00E53203">
              <w:rPr>
                <w:rFonts w:ascii="Times New Roman" w:eastAsia="Times New Roman" w:hAnsi="Times New Roman" w:cs="Times New Roman"/>
              </w:rPr>
              <w:t>95</w:t>
            </w:r>
          </w:p>
        </w:tc>
        <w:tc>
          <w:tcPr>
            <w:tcW w:w="998" w:type="dxa"/>
          </w:tcPr>
          <w:p w14:paraId="68526C70" w14:textId="77777777" w:rsidR="00463BAF" w:rsidRPr="00E53203" w:rsidRDefault="00C304F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Overfits</w:t>
            </w:r>
          </w:p>
        </w:tc>
      </w:tr>
    </w:tbl>
    <w:p w14:paraId="32078B58" w14:textId="77777777" w:rsidR="00194F75" w:rsidRPr="00E53203" w:rsidRDefault="00194F75">
      <w:pPr>
        <w:rPr>
          <w:rFonts w:ascii="Times New Roman" w:hAnsi="Times New Roman" w:cs="Times New Roman"/>
        </w:rPr>
      </w:pPr>
    </w:p>
    <w:p w14:paraId="667983A3" w14:textId="77777777" w:rsidR="00EE501B" w:rsidRPr="00E53203" w:rsidRDefault="00EE501B" w:rsidP="00EE501B">
      <w:pPr>
        <w:rPr>
          <w:rFonts w:ascii="Times New Roman" w:hAnsi="Times New Roman" w:cs="Times New Roman"/>
          <w:b/>
          <w:bCs/>
        </w:rPr>
      </w:pPr>
      <w:r w:rsidRPr="00E53203">
        <w:rPr>
          <w:rFonts w:ascii="Times New Roman" w:hAnsi="Times New Roman" w:cs="Times New Roman"/>
          <w:b/>
          <w:bCs/>
        </w:rPr>
        <w:t>Table 2 | Circuit ablation study (ΔG° regression, 8-mers)</w:t>
      </w:r>
    </w:p>
    <w:p w14:paraId="5EBBE7CB" w14:textId="77777777" w:rsidR="00C929A7" w:rsidRPr="00E53203" w:rsidRDefault="00C929A7" w:rsidP="00EE501B">
      <w:pPr>
        <w:rPr>
          <w:rFonts w:ascii="Times New Roman" w:hAnsi="Times New Roman" w:cs="Times New Roman"/>
        </w:rPr>
      </w:pPr>
      <w:r w:rsidRPr="00E53203">
        <w:rPr>
          <w:rFonts w:ascii="Times New Roman" w:hAnsi="Times New Roman" w:cs="Times New Roman"/>
        </w:rPr>
        <w:t>Five-fold cross-validated Ridge regression (n = 500 stratified 8-mer sequences). The 0.96-unit gap between physics-informed and random-angle variants is reproduced across 29 independent replicates (</w:t>
      </w:r>
      <w:proofErr w:type="spellStart"/>
      <w:r w:rsidRPr="00E53203">
        <w:rPr>
          <w:rFonts w:ascii="Times New Roman" w:hAnsi="Times New Roman" w:cs="Times New Roman"/>
        </w:rPr>
        <w:t>s.d.</w:t>
      </w:r>
      <w:proofErr w:type="spellEnd"/>
      <w:r w:rsidRPr="00E53203">
        <w:rPr>
          <w:rFonts w:ascii="Times New Roman" w:hAnsi="Times New Roman" w:cs="Times New Roman"/>
        </w:rPr>
        <w:t xml:space="preserve"> = 0.048), confirming that thermodynamic information is encoded in gate parameterisation rather than circuit topology. All structured variants (R² = 0.81–0.84) are statistically indistinguishable from the classical twin at the 8-mer scale.</w:t>
      </w:r>
    </w:p>
    <w:tbl>
      <w:tblPr>
        <w:tblStyle w:val="ListTable2"/>
        <w:tblW w:w="10799" w:type="dxa"/>
        <w:tblInd w:w="-882" w:type="dxa"/>
        <w:tblLayout w:type="fixed"/>
        <w:tblLook w:val="0000" w:firstRow="0" w:lastRow="0" w:firstColumn="0" w:lastColumn="0" w:noHBand="0" w:noVBand="0"/>
      </w:tblPr>
      <w:tblGrid>
        <w:gridCol w:w="4055"/>
        <w:gridCol w:w="1676"/>
        <w:gridCol w:w="1670"/>
        <w:gridCol w:w="1699"/>
        <w:gridCol w:w="1699"/>
      </w:tblGrid>
      <w:tr w:rsidR="00741EB4" w:rsidRPr="00E53203" w14:paraId="1666ABB2" w14:textId="77777777" w:rsidTr="00531CD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69B83FF1"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Circuit variant</w:t>
            </w:r>
          </w:p>
        </w:tc>
        <w:tc>
          <w:tcPr>
            <w:tcW w:w="1676" w:type="dxa"/>
            <w:shd w:val="clear" w:color="auto" w:fill="auto"/>
          </w:tcPr>
          <w:p w14:paraId="5C7A01A7" w14:textId="77777777" w:rsidR="00741EB4" w:rsidRPr="00E53203" w:rsidRDefault="00741EB4"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b/>
                <w:bCs/>
              </w:rPr>
              <w:t>CV R² (mean)</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4F9E3C3C"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CV R² (</w:t>
            </w:r>
            <w:proofErr w:type="spellStart"/>
            <w:r w:rsidRPr="00E53203">
              <w:rPr>
                <w:rFonts w:ascii="Times New Roman" w:eastAsia="Times New Roman" w:hAnsi="Times New Roman" w:cs="Times New Roman"/>
                <w:b/>
                <w:bCs/>
              </w:rPr>
              <w:t>s.d.</w:t>
            </w:r>
            <w:proofErr w:type="spellEnd"/>
            <w:r w:rsidRPr="00E53203">
              <w:rPr>
                <w:rFonts w:ascii="Times New Roman" w:eastAsia="Times New Roman" w:hAnsi="Times New Roman" w:cs="Times New Roman"/>
                <w:b/>
                <w:bCs/>
              </w:rPr>
              <w:t>)</w:t>
            </w:r>
          </w:p>
        </w:tc>
        <w:tc>
          <w:tcPr>
            <w:tcW w:w="1699" w:type="dxa"/>
            <w:shd w:val="clear" w:color="auto" w:fill="auto"/>
          </w:tcPr>
          <w:p w14:paraId="0479981A" w14:textId="77777777" w:rsidR="00741EB4" w:rsidRPr="00E53203" w:rsidRDefault="004F7F68"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E53203">
              <w:rPr>
                <w:rFonts w:ascii="Times New Roman" w:eastAsia="Times New Roman" w:hAnsi="Times New Roman" w:cs="Times New Roman"/>
                <w:b/>
                <w:bCs/>
              </w:rPr>
              <w:t>ΔR² vs full</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47CCC9CD"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b/>
                <w:bCs/>
              </w:rPr>
              <w:t>Interpretation</w:t>
            </w:r>
          </w:p>
        </w:tc>
      </w:tr>
      <w:tr w:rsidR="00741EB4" w:rsidRPr="00E53203" w14:paraId="5CB14946" w14:textId="77777777" w:rsidTr="00531CD8">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7BD5868E"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Full circuit (all layers)</w:t>
            </w:r>
          </w:p>
        </w:tc>
        <w:tc>
          <w:tcPr>
            <w:tcW w:w="1676" w:type="dxa"/>
          </w:tcPr>
          <w:p w14:paraId="4997ECF2" w14:textId="77777777" w:rsidR="00741EB4" w:rsidRPr="00E53203" w:rsidRDefault="00741EB4"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0.8</w:t>
            </w:r>
            <w:r w:rsidR="004F7F68" w:rsidRPr="00E53203">
              <w:rPr>
                <w:rFonts w:ascii="Times New Roman" w:eastAsia="Times New Roman" w:hAnsi="Times New Roman" w:cs="Times New Roman"/>
              </w:rPr>
              <w:t>13</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6469E763"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0.0</w:t>
            </w:r>
            <w:r w:rsidR="004F7F68" w:rsidRPr="00E53203">
              <w:rPr>
                <w:rFonts w:ascii="Times New Roman" w:eastAsia="Times New Roman" w:hAnsi="Times New Roman" w:cs="Times New Roman"/>
              </w:rPr>
              <w:t>31</w:t>
            </w:r>
          </w:p>
        </w:tc>
        <w:tc>
          <w:tcPr>
            <w:tcW w:w="1699" w:type="dxa"/>
          </w:tcPr>
          <w:p w14:paraId="4DDEBB3F" w14:textId="77777777" w:rsidR="00741EB4" w:rsidRPr="00E53203" w:rsidRDefault="004F7F68"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74C24A82" w14:textId="77777777" w:rsidR="00741EB4" w:rsidRPr="00E53203" w:rsidRDefault="004F7F68"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Reference</w:t>
            </w:r>
          </w:p>
        </w:tc>
      </w:tr>
      <w:tr w:rsidR="00741EB4" w:rsidRPr="00E53203" w14:paraId="43332454" w14:textId="77777777" w:rsidTr="00531CD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1854D993" w14:textId="77777777" w:rsidR="00741EB4" w:rsidRPr="00E53203" w:rsidRDefault="004F7F68"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Classical twin (no interference)</w:t>
            </w:r>
          </w:p>
        </w:tc>
        <w:tc>
          <w:tcPr>
            <w:tcW w:w="1676" w:type="dxa"/>
            <w:shd w:val="clear" w:color="auto" w:fill="auto"/>
          </w:tcPr>
          <w:p w14:paraId="0A2B9966" w14:textId="77777777" w:rsidR="00741EB4" w:rsidRPr="00E53203" w:rsidRDefault="00741EB4"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0.8</w:t>
            </w:r>
            <w:r w:rsidR="004F7F68" w:rsidRPr="00E53203">
              <w:rPr>
                <w:rFonts w:ascii="Times New Roman" w:eastAsia="Times New Roman" w:hAnsi="Times New Roman" w:cs="Times New Roman"/>
              </w:rPr>
              <w:t>34</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45A88BFC"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0.0</w:t>
            </w:r>
            <w:r w:rsidR="004F7F68" w:rsidRPr="00E53203">
              <w:rPr>
                <w:rFonts w:ascii="Times New Roman" w:eastAsia="Times New Roman" w:hAnsi="Times New Roman" w:cs="Times New Roman"/>
              </w:rPr>
              <w:t>23</w:t>
            </w:r>
          </w:p>
        </w:tc>
        <w:tc>
          <w:tcPr>
            <w:tcW w:w="1699" w:type="dxa"/>
            <w:shd w:val="clear" w:color="auto" w:fill="auto"/>
          </w:tcPr>
          <w:p w14:paraId="6E0F29A5" w14:textId="77777777" w:rsidR="00741EB4" w:rsidRPr="00E53203" w:rsidRDefault="00D238BA"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w:t>
            </w:r>
            <w:r w:rsidR="00F32738" w:rsidRPr="00E53203">
              <w:rPr>
                <w:rFonts w:ascii="Times New Roman" w:eastAsia="Times New Roman" w:hAnsi="Times New Roman" w:cs="Times New Roman"/>
              </w:rPr>
              <w:t>021</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56BD9CBF" w14:textId="77777777" w:rsidR="00741EB4" w:rsidRPr="00E53203" w:rsidRDefault="00D238BA"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Equivalent performance; quantum interference not essential at 8-mer scale</w:t>
            </w:r>
          </w:p>
        </w:tc>
      </w:tr>
      <w:tr w:rsidR="00741EB4" w:rsidRPr="00E53203" w14:paraId="1439C936" w14:textId="77777777" w:rsidTr="00531CD8">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1C05754C" w14:textId="77777777" w:rsidR="00741EB4" w:rsidRPr="00E53203" w:rsidRDefault="00352B09"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No Watson-Crick layer</w:t>
            </w:r>
          </w:p>
        </w:tc>
        <w:tc>
          <w:tcPr>
            <w:tcW w:w="1676" w:type="dxa"/>
          </w:tcPr>
          <w:p w14:paraId="1871A2BA" w14:textId="77777777" w:rsidR="00741EB4" w:rsidRPr="00E53203" w:rsidRDefault="00741EB4"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0.8</w:t>
            </w:r>
            <w:r w:rsidR="008A5045" w:rsidRPr="00E53203">
              <w:rPr>
                <w:rFonts w:ascii="Times New Roman" w:eastAsia="Times New Roman" w:hAnsi="Times New Roman" w:cs="Times New Roman"/>
              </w:rPr>
              <w:t>22</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5A7C834C"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0.02</w:t>
            </w:r>
            <w:r w:rsidR="008A5045" w:rsidRPr="00E53203">
              <w:rPr>
                <w:rFonts w:ascii="Times New Roman" w:eastAsia="Times New Roman" w:hAnsi="Times New Roman" w:cs="Times New Roman"/>
              </w:rPr>
              <w:t>2</w:t>
            </w:r>
          </w:p>
        </w:tc>
        <w:tc>
          <w:tcPr>
            <w:tcW w:w="1699" w:type="dxa"/>
          </w:tcPr>
          <w:p w14:paraId="75C5F09E" w14:textId="77777777" w:rsidR="00741EB4" w:rsidRPr="00E53203" w:rsidRDefault="008A5045"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w:t>
            </w:r>
            <w:r w:rsidR="00F32738" w:rsidRPr="00E53203">
              <w:rPr>
                <w:rFonts w:ascii="Times New Roman" w:eastAsia="Times New Roman" w:hAnsi="Times New Roman" w:cs="Times New Roman"/>
              </w:rPr>
              <w:t>009</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45ACE0D3"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Neutral</w:t>
            </w:r>
            <w:r w:rsidR="00D238BA" w:rsidRPr="00E53203">
              <w:rPr>
                <w:rFonts w:ascii="Times New Roman" w:eastAsia="Times New Roman" w:hAnsi="Times New Roman" w:cs="Times New Roman"/>
              </w:rPr>
              <w:t xml:space="preserve"> for </w:t>
            </w:r>
            <w:proofErr w:type="spellStart"/>
            <w:r w:rsidR="00D238BA" w:rsidRPr="00E53203">
              <w:rPr>
                <w:rFonts w:ascii="Times New Roman" w:eastAsia="Times New Roman" w:hAnsi="Times New Roman" w:cs="Times New Roman"/>
              </w:rPr>
              <w:t>linerar</w:t>
            </w:r>
            <w:proofErr w:type="spellEnd"/>
            <w:r w:rsidR="00D238BA" w:rsidRPr="00E53203">
              <w:rPr>
                <w:rFonts w:ascii="Times New Roman" w:eastAsia="Times New Roman" w:hAnsi="Times New Roman" w:cs="Times New Roman"/>
              </w:rPr>
              <w:t xml:space="preserve"> duplexes</w:t>
            </w:r>
          </w:p>
        </w:tc>
      </w:tr>
      <w:tr w:rsidR="00741EB4" w:rsidRPr="00E53203" w14:paraId="724C6D0A" w14:textId="77777777" w:rsidTr="00531CD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07E8C5D5" w14:textId="77777777" w:rsidR="00741EB4" w:rsidRPr="00E53203" w:rsidRDefault="00352B09"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No stacking layer</w:t>
            </w:r>
          </w:p>
        </w:tc>
        <w:tc>
          <w:tcPr>
            <w:tcW w:w="1676" w:type="dxa"/>
            <w:shd w:val="clear" w:color="auto" w:fill="auto"/>
          </w:tcPr>
          <w:p w14:paraId="07FA2C1D" w14:textId="77777777" w:rsidR="00741EB4" w:rsidRPr="00E53203" w:rsidRDefault="00741EB4"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0.8</w:t>
            </w:r>
            <w:r w:rsidR="008A5045" w:rsidRPr="00E53203">
              <w:rPr>
                <w:rFonts w:ascii="Times New Roman" w:eastAsia="Times New Roman" w:hAnsi="Times New Roman" w:cs="Times New Roman"/>
              </w:rPr>
              <w:t>32</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237AFCB3"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0.02</w:t>
            </w:r>
            <w:r w:rsidR="008A5045" w:rsidRPr="00E53203">
              <w:rPr>
                <w:rFonts w:ascii="Times New Roman" w:eastAsia="Times New Roman" w:hAnsi="Times New Roman" w:cs="Times New Roman"/>
              </w:rPr>
              <w:t>5</w:t>
            </w:r>
          </w:p>
        </w:tc>
        <w:tc>
          <w:tcPr>
            <w:tcW w:w="1699" w:type="dxa"/>
            <w:shd w:val="clear" w:color="auto" w:fill="auto"/>
          </w:tcPr>
          <w:p w14:paraId="403D204A" w14:textId="77777777" w:rsidR="00741EB4" w:rsidRPr="00E53203" w:rsidRDefault="008A5045" w:rsidP="003D355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rPr>
            </w:pPr>
            <w:r w:rsidRPr="00E53203">
              <w:rPr>
                <w:rFonts w:ascii="Times New Roman" w:eastAsia="Times New Roman" w:hAnsi="Times New Roman" w:cs="Times New Roman"/>
              </w:rPr>
              <w:t>+0.</w:t>
            </w:r>
            <w:r w:rsidR="00F32738" w:rsidRPr="00E53203">
              <w:rPr>
                <w:rFonts w:ascii="Times New Roman" w:eastAsia="Times New Roman" w:hAnsi="Times New Roman" w:cs="Times New Roman"/>
              </w:rPr>
              <w:t>019</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040C98BE" w14:textId="131F2604"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Neutral</w:t>
            </w:r>
            <w:r w:rsidR="009F2462" w:rsidRPr="00E53203">
              <w:rPr>
                <w:rFonts w:ascii="Times New Roman" w:eastAsia="Times New Roman" w:hAnsi="Times New Roman" w:cs="Times New Roman"/>
              </w:rPr>
              <w:t>;</w:t>
            </w:r>
            <w:r w:rsidR="00531CD8">
              <w:rPr>
                <w:rFonts w:ascii="Times New Roman" w:eastAsia="Times New Roman" w:hAnsi="Times New Roman" w:cs="Times New Roman"/>
              </w:rPr>
              <w:t xml:space="preserve"> </w:t>
            </w:r>
            <w:r w:rsidR="009F2462" w:rsidRPr="00E53203">
              <w:rPr>
                <w:rFonts w:ascii="Times New Roman" w:eastAsia="Times New Roman" w:hAnsi="Times New Roman" w:cs="Times New Roman"/>
              </w:rPr>
              <w:t>encoding dominates</w:t>
            </w:r>
          </w:p>
        </w:tc>
      </w:tr>
      <w:tr w:rsidR="00741EB4" w:rsidRPr="00E53203" w14:paraId="6FFABAA1" w14:textId="77777777" w:rsidTr="00531CD8">
        <w:tc>
          <w:tcPr>
            <w:cnfStyle w:val="000010000000" w:firstRow="0" w:lastRow="0" w:firstColumn="0" w:lastColumn="0" w:oddVBand="1" w:evenVBand="0" w:oddHBand="0" w:evenHBand="0" w:firstRowFirstColumn="0" w:firstRowLastColumn="0" w:lastRowFirstColumn="0" w:lastRowLastColumn="0"/>
            <w:tcW w:w="4055" w:type="dxa"/>
            <w:shd w:val="clear" w:color="auto" w:fill="auto"/>
          </w:tcPr>
          <w:p w14:paraId="7900056D"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Gungsuh" w:hAnsi="Times New Roman" w:cs="Times New Roman"/>
              </w:rPr>
              <w:t>Random gate angles (uniform [−π, π])</w:t>
            </w:r>
          </w:p>
        </w:tc>
        <w:tc>
          <w:tcPr>
            <w:tcW w:w="1676" w:type="dxa"/>
          </w:tcPr>
          <w:p w14:paraId="10DD1CEA" w14:textId="77777777" w:rsidR="00741EB4" w:rsidRPr="00E53203" w:rsidRDefault="00741EB4"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E53203">
              <w:rPr>
                <w:rFonts w:ascii="Times New Roman" w:eastAsia="Gungsuh" w:hAnsi="Times New Roman" w:cs="Times New Roman"/>
              </w:rPr>
              <w:t>−0.147</w:t>
            </w:r>
          </w:p>
        </w:tc>
        <w:tc>
          <w:tcPr>
            <w:cnfStyle w:val="000010000000" w:firstRow="0" w:lastRow="0" w:firstColumn="0" w:lastColumn="0" w:oddVBand="1" w:evenVBand="0" w:oddHBand="0" w:evenHBand="0" w:firstRowFirstColumn="0" w:firstRowLastColumn="0" w:lastRowFirstColumn="0" w:lastRowLastColumn="0"/>
            <w:tcW w:w="1670" w:type="dxa"/>
            <w:shd w:val="clear" w:color="auto" w:fill="auto"/>
          </w:tcPr>
          <w:p w14:paraId="0DAAE94B"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Times New Roman" w:hAnsi="Times New Roman" w:cs="Times New Roman"/>
              </w:rPr>
              <w:t>0.048</w:t>
            </w:r>
          </w:p>
        </w:tc>
        <w:tc>
          <w:tcPr>
            <w:tcW w:w="1699" w:type="dxa"/>
          </w:tcPr>
          <w:p w14:paraId="70C4A322" w14:textId="77777777" w:rsidR="00741EB4" w:rsidRPr="00E53203" w:rsidRDefault="008A5045" w:rsidP="003D355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Cardo" w:hAnsi="Times New Roman" w:cs="Times New Roman"/>
              </w:rPr>
            </w:pPr>
            <w:r w:rsidRPr="00E53203">
              <w:rPr>
                <w:rFonts w:ascii="Times New Roman" w:eastAsia="Times New Roman" w:hAnsi="Times New Roman" w:cs="Times New Roman"/>
              </w:rPr>
              <w:t>+0.</w:t>
            </w:r>
            <w:r w:rsidR="00F32738" w:rsidRPr="00E53203">
              <w:rPr>
                <w:rFonts w:ascii="Times New Roman" w:eastAsia="Times New Roman" w:hAnsi="Times New Roman" w:cs="Times New Roman"/>
              </w:rPr>
              <w:t>960</w:t>
            </w:r>
          </w:p>
        </w:tc>
        <w:tc>
          <w:tcPr>
            <w:cnfStyle w:val="000010000000" w:firstRow="0" w:lastRow="0" w:firstColumn="0" w:lastColumn="0" w:oddVBand="1" w:evenVBand="0" w:oddHBand="0" w:evenHBand="0" w:firstRowFirstColumn="0" w:firstRowLastColumn="0" w:lastRowFirstColumn="0" w:lastRowLastColumn="0"/>
            <w:tcW w:w="1699" w:type="dxa"/>
            <w:shd w:val="clear" w:color="auto" w:fill="auto"/>
          </w:tcPr>
          <w:p w14:paraId="42B334BB" w14:textId="77777777" w:rsidR="00741EB4" w:rsidRPr="00E53203" w:rsidRDefault="00741EB4" w:rsidP="003D355A">
            <w:pPr>
              <w:spacing w:line="360" w:lineRule="auto"/>
              <w:rPr>
                <w:rFonts w:ascii="Times New Roman" w:eastAsia="Times New Roman" w:hAnsi="Times New Roman" w:cs="Times New Roman"/>
              </w:rPr>
            </w:pPr>
            <w:r w:rsidRPr="00E53203">
              <w:rPr>
                <w:rFonts w:ascii="Times New Roman" w:eastAsia="Cardo" w:hAnsi="Times New Roman" w:cs="Times New Roman"/>
              </w:rPr>
              <w:t>Collapse</w:t>
            </w:r>
            <w:r w:rsidR="009F2462" w:rsidRPr="00E53203">
              <w:rPr>
                <w:rFonts w:ascii="Times New Roman" w:eastAsia="Cardo" w:hAnsi="Times New Roman" w:cs="Times New Roman"/>
              </w:rPr>
              <w:t>; Physics-informed angles essential</w:t>
            </w:r>
          </w:p>
        </w:tc>
      </w:tr>
    </w:tbl>
    <w:p w14:paraId="00D6A462" w14:textId="77777777" w:rsidR="00EE501B" w:rsidRPr="00E53203" w:rsidRDefault="00EE501B">
      <w:pPr>
        <w:rPr>
          <w:rFonts w:ascii="Times New Roman" w:hAnsi="Times New Roman" w:cs="Times New Roman"/>
        </w:rPr>
      </w:pPr>
    </w:p>
    <w:p w14:paraId="456CFAAD" w14:textId="77777777" w:rsidR="00703875" w:rsidRPr="00E53203" w:rsidRDefault="00703875" w:rsidP="00703875">
      <w:pPr>
        <w:rPr>
          <w:rFonts w:ascii="Times New Roman" w:hAnsi="Times New Roman" w:cs="Times New Roman"/>
          <w:b/>
          <w:bCs/>
        </w:rPr>
      </w:pPr>
      <w:r w:rsidRPr="00E53203">
        <w:rPr>
          <w:rFonts w:ascii="Times New Roman" w:hAnsi="Times New Roman" w:cs="Times New Roman"/>
          <w:b/>
          <w:bCs/>
        </w:rPr>
        <w:t>Table 3 | Hardware validation on IBM Heron processors</w:t>
      </w:r>
    </w:p>
    <w:p w14:paraId="00D985BC" w14:textId="77777777" w:rsidR="008165AA" w:rsidRPr="00E53203" w:rsidRDefault="008165AA" w:rsidP="00703875">
      <w:pPr>
        <w:rPr>
          <w:rFonts w:ascii="Times New Roman" w:hAnsi="Times New Roman" w:cs="Times New Roman"/>
        </w:rPr>
      </w:pPr>
      <w:r w:rsidRPr="00E53203">
        <w:rPr>
          <w:rFonts w:ascii="Times New Roman" w:hAnsi="Times New Roman" w:cs="Times New Roman"/>
        </w:rPr>
        <w:t xml:space="preserve">Hardware validation measured as cosine similarity between ℓ²-normalised hardware-executed and </w:t>
      </w:r>
      <w:proofErr w:type="spellStart"/>
      <w:r w:rsidRPr="00E53203">
        <w:rPr>
          <w:rFonts w:ascii="Times New Roman" w:hAnsi="Times New Roman" w:cs="Times New Roman"/>
        </w:rPr>
        <w:t>statevector</w:t>
      </w:r>
      <w:proofErr w:type="spellEnd"/>
      <w:r w:rsidRPr="00E53203">
        <w:rPr>
          <w:rFonts w:ascii="Times New Roman" w:hAnsi="Times New Roman" w:cs="Times New Roman"/>
        </w:rPr>
        <w:t xml:space="preserve"> reference feature vectors. All 16 sequences exceeded the 0.995 threshold on </w:t>
      </w:r>
      <w:proofErr w:type="spellStart"/>
      <w:r w:rsidRPr="00E53203">
        <w:rPr>
          <w:rFonts w:ascii="Times New Roman" w:hAnsi="Times New Roman" w:cs="Times New Roman"/>
        </w:rPr>
        <w:t>ibm_fez</w:t>
      </w:r>
      <w:proofErr w:type="spellEnd"/>
      <w:r w:rsidRPr="00E53203">
        <w:rPr>
          <w:rFonts w:ascii="Times New Roman" w:hAnsi="Times New Roman" w:cs="Times New Roman"/>
        </w:rPr>
        <w:t>. Error mitigation recovers fidelity for 24-qubit circuits. Note: Hardware validation assessed circuit implementation fidelity, not prediction accuracy (R² values from simulation).</w:t>
      </w:r>
    </w:p>
    <w:tbl>
      <w:tblPr>
        <w:tblStyle w:val="ListTable6Colorful"/>
        <w:tblW w:w="0" w:type="auto"/>
        <w:tblLook w:val="04A0" w:firstRow="1" w:lastRow="0" w:firstColumn="1" w:lastColumn="0" w:noHBand="0" w:noVBand="1"/>
      </w:tblPr>
      <w:tblGrid>
        <w:gridCol w:w="2254"/>
        <w:gridCol w:w="2254"/>
        <w:gridCol w:w="2254"/>
        <w:gridCol w:w="2254"/>
      </w:tblGrid>
      <w:tr w:rsidR="007008F1" w:rsidRPr="00E53203" w14:paraId="72D8A648" w14:textId="77777777" w:rsidTr="00700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3EC35CB" w14:textId="77777777" w:rsidR="007008F1" w:rsidRPr="00E53203" w:rsidRDefault="007008F1">
            <w:pPr>
              <w:rPr>
                <w:rFonts w:ascii="Times New Roman" w:hAnsi="Times New Roman" w:cs="Times New Roman"/>
              </w:rPr>
            </w:pPr>
            <w:r w:rsidRPr="00E53203">
              <w:rPr>
                <w:rFonts w:ascii="Times New Roman" w:hAnsi="Times New Roman" w:cs="Times New Roman"/>
              </w:rPr>
              <w:t>Metric</w:t>
            </w:r>
          </w:p>
        </w:tc>
        <w:tc>
          <w:tcPr>
            <w:tcW w:w="2254" w:type="dxa"/>
          </w:tcPr>
          <w:p w14:paraId="07D884F1" w14:textId="77777777" w:rsidR="007008F1" w:rsidRPr="00E53203" w:rsidRDefault="007008F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E53203">
              <w:rPr>
                <w:rFonts w:ascii="Times New Roman" w:hAnsi="Times New Roman" w:cs="Times New Roman"/>
              </w:rPr>
              <w:t>Ibm_fez</w:t>
            </w:r>
            <w:proofErr w:type="spellEnd"/>
            <w:r w:rsidRPr="00E53203">
              <w:rPr>
                <w:rFonts w:ascii="Times New Roman" w:hAnsi="Times New Roman" w:cs="Times New Roman"/>
              </w:rPr>
              <w:t xml:space="preserve"> (Heron r2)</w:t>
            </w:r>
          </w:p>
        </w:tc>
        <w:tc>
          <w:tcPr>
            <w:tcW w:w="2254" w:type="dxa"/>
          </w:tcPr>
          <w:p w14:paraId="1870C883" w14:textId="77777777" w:rsidR="007008F1" w:rsidRPr="00E53203" w:rsidRDefault="00E441A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E53203">
              <w:rPr>
                <w:rFonts w:ascii="Times New Roman" w:hAnsi="Times New Roman" w:cs="Times New Roman"/>
              </w:rPr>
              <w:t>ibm_torino</w:t>
            </w:r>
            <w:proofErr w:type="spellEnd"/>
            <w:r w:rsidRPr="00E53203">
              <w:rPr>
                <w:rFonts w:ascii="Times New Roman" w:hAnsi="Times New Roman" w:cs="Times New Roman"/>
              </w:rPr>
              <w:t xml:space="preserve"> (Heron r1)</w:t>
            </w:r>
          </w:p>
        </w:tc>
        <w:tc>
          <w:tcPr>
            <w:tcW w:w="2254" w:type="dxa"/>
          </w:tcPr>
          <w:p w14:paraId="39C91934" w14:textId="77777777" w:rsidR="007008F1" w:rsidRPr="00E53203" w:rsidRDefault="00E441A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Interpretation</w:t>
            </w:r>
          </w:p>
        </w:tc>
      </w:tr>
      <w:tr w:rsidR="007008F1" w:rsidRPr="00E53203" w14:paraId="17CF470F" w14:textId="77777777" w:rsidTr="007008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auto"/>
          </w:tcPr>
          <w:p w14:paraId="7C701E20" w14:textId="77777777" w:rsidR="007008F1" w:rsidRPr="00E53203" w:rsidRDefault="00474FB8">
            <w:pPr>
              <w:rPr>
                <w:rFonts w:ascii="Times New Roman" w:hAnsi="Times New Roman" w:cs="Times New Roman"/>
                <w:b w:val="0"/>
                <w:bCs w:val="0"/>
              </w:rPr>
            </w:pPr>
            <w:r w:rsidRPr="00E53203">
              <w:rPr>
                <w:rFonts w:ascii="Times New Roman" w:hAnsi="Times New Roman" w:cs="Times New Roman"/>
                <w:b w:val="0"/>
                <w:bCs w:val="0"/>
              </w:rPr>
              <w:t>Cosine similarity</w:t>
            </w:r>
          </w:p>
        </w:tc>
        <w:tc>
          <w:tcPr>
            <w:tcW w:w="2254" w:type="dxa"/>
            <w:shd w:val="clear" w:color="auto" w:fill="auto"/>
          </w:tcPr>
          <w:p w14:paraId="7440A922" w14:textId="77777777" w:rsidR="007008F1" w:rsidRPr="00E53203" w:rsidRDefault="00474FB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0.9970 ± 0.0005 (n=30)</w:t>
            </w:r>
          </w:p>
        </w:tc>
        <w:tc>
          <w:tcPr>
            <w:tcW w:w="2254" w:type="dxa"/>
            <w:shd w:val="clear" w:color="auto" w:fill="auto"/>
          </w:tcPr>
          <w:p w14:paraId="6FA572C3" w14:textId="77777777" w:rsidR="007008F1" w:rsidRPr="00E53203" w:rsidRDefault="00474FB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0.9948 ± 0.0015 (n=30)</w:t>
            </w:r>
          </w:p>
        </w:tc>
        <w:tc>
          <w:tcPr>
            <w:tcW w:w="2254" w:type="dxa"/>
            <w:shd w:val="clear" w:color="auto" w:fill="auto"/>
          </w:tcPr>
          <w:p w14:paraId="393094F5" w14:textId="77777777" w:rsidR="007008F1" w:rsidRPr="00E53203" w:rsidRDefault="00E441A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&gt;99.5% fidelity on both platforms</w:t>
            </w:r>
          </w:p>
        </w:tc>
      </w:tr>
      <w:tr w:rsidR="007008F1" w:rsidRPr="00E53203" w14:paraId="23EC0A44" w14:textId="77777777" w:rsidTr="007008F1">
        <w:tc>
          <w:tcPr>
            <w:cnfStyle w:val="001000000000" w:firstRow="0" w:lastRow="0" w:firstColumn="1" w:lastColumn="0" w:oddVBand="0" w:evenVBand="0" w:oddHBand="0" w:evenHBand="0" w:firstRowFirstColumn="0" w:firstRowLastColumn="0" w:lastRowFirstColumn="0" w:lastRowLastColumn="0"/>
            <w:tcW w:w="2254" w:type="dxa"/>
          </w:tcPr>
          <w:p w14:paraId="05E5CBF1" w14:textId="77777777" w:rsidR="007008F1" w:rsidRPr="00E53203" w:rsidRDefault="00E842F1">
            <w:pPr>
              <w:rPr>
                <w:rFonts w:ascii="Times New Roman" w:hAnsi="Times New Roman" w:cs="Times New Roman"/>
                <w:b w:val="0"/>
                <w:bCs w:val="0"/>
              </w:rPr>
            </w:pPr>
            <w:r w:rsidRPr="00E53203">
              <w:rPr>
                <w:rFonts w:ascii="Times New Roman" w:hAnsi="Times New Roman" w:cs="Times New Roman"/>
                <w:b w:val="0"/>
                <w:bCs w:val="0"/>
              </w:rPr>
              <w:t>Cross-platform offset (Δ)</w:t>
            </w:r>
          </w:p>
        </w:tc>
        <w:tc>
          <w:tcPr>
            <w:tcW w:w="2254" w:type="dxa"/>
          </w:tcPr>
          <w:p w14:paraId="5BCD8696" w14:textId="77777777" w:rsidR="007008F1" w:rsidRPr="00E53203" w:rsidRDefault="00474F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w:t>
            </w:r>
          </w:p>
        </w:tc>
        <w:tc>
          <w:tcPr>
            <w:tcW w:w="2254" w:type="dxa"/>
          </w:tcPr>
          <w:p w14:paraId="76B0FE82" w14:textId="77777777" w:rsidR="007008F1" w:rsidRPr="00E53203" w:rsidRDefault="00330F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−0.0022</w:t>
            </w:r>
          </w:p>
        </w:tc>
        <w:tc>
          <w:tcPr>
            <w:tcW w:w="2254" w:type="dxa"/>
          </w:tcPr>
          <w:p w14:paraId="7F20AF25" w14:textId="77777777" w:rsidR="007008F1" w:rsidRPr="00E53203" w:rsidRDefault="001575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|Δ| &lt; 0.01 portability criterion satisfied</w:t>
            </w:r>
          </w:p>
        </w:tc>
      </w:tr>
      <w:tr w:rsidR="007008F1" w:rsidRPr="00E53203" w14:paraId="58954093" w14:textId="77777777" w:rsidTr="007008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auto"/>
          </w:tcPr>
          <w:p w14:paraId="315294DE" w14:textId="77777777" w:rsidR="007008F1" w:rsidRPr="00E53203" w:rsidRDefault="00E842F1">
            <w:pPr>
              <w:rPr>
                <w:rFonts w:ascii="Times New Roman" w:hAnsi="Times New Roman" w:cs="Times New Roman"/>
                <w:b w:val="0"/>
                <w:bCs w:val="0"/>
              </w:rPr>
            </w:pPr>
            <w:r w:rsidRPr="00E53203">
              <w:rPr>
                <w:rFonts w:ascii="Times New Roman" w:hAnsi="Times New Roman" w:cs="Times New Roman"/>
                <w:b w:val="0"/>
                <w:bCs w:val="0"/>
              </w:rPr>
              <w:t>12-mer baseline (24 qubits</w:t>
            </w:r>
          </w:p>
        </w:tc>
        <w:tc>
          <w:tcPr>
            <w:tcW w:w="2254" w:type="dxa"/>
            <w:shd w:val="clear" w:color="auto" w:fill="auto"/>
          </w:tcPr>
          <w:p w14:paraId="4825CB09" w14:textId="77777777" w:rsidR="007008F1" w:rsidRPr="00E53203" w:rsidRDefault="00474FB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0.9899 ± 0.0021</w:t>
            </w:r>
          </w:p>
        </w:tc>
        <w:tc>
          <w:tcPr>
            <w:tcW w:w="2254" w:type="dxa"/>
            <w:shd w:val="clear" w:color="auto" w:fill="auto"/>
          </w:tcPr>
          <w:p w14:paraId="6CEAEF8F" w14:textId="77777777" w:rsidR="007008F1" w:rsidRPr="00E53203" w:rsidRDefault="00330F1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w:t>
            </w:r>
          </w:p>
        </w:tc>
        <w:tc>
          <w:tcPr>
            <w:tcW w:w="2254" w:type="dxa"/>
            <w:shd w:val="clear" w:color="auto" w:fill="auto"/>
          </w:tcPr>
          <w:p w14:paraId="0BF5323F" w14:textId="77777777" w:rsidR="007008F1" w:rsidRPr="00E53203" w:rsidRDefault="001575B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High fidelity at scale</w:t>
            </w:r>
          </w:p>
        </w:tc>
      </w:tr>
      <w:tr w:rsidR="007008F1" w:rsidRPr="00E53203" w14:paraId="4A1E2035" w14:textId="77777777" w:rsidTr="007008F1">
        <w:tc>
          <w:tcPr>
            <w:cnfStyle w:val="001000000000" w:firstRow="0" w:lastRow="0" w:firstColumn="1" w:lastColumn="0" w:oddVBand="0" w:evenVBand="0" w:oddHBand="0" w:evenHBand="0" w:firstRowFirstColumn="0" w:firstRowLastColumn="0" w:lastRowFirstColumn="0" w:lastRowLastColumn="0"/>
            <w:tcW w:w="2254" w:type="dxa"/>
          </w:tcPr>
          <w:p w14:paraId="70DB2F40" w14:textId="77777777" w:rsidR="007008F1" w:rsidRPr="00E53203" w:rsidRDefault="00E842F1">
            <w:pPr>
              <w:rPr>
                <w:rFonts w:ascii="Times New Roman" w:hAnsi="Times New Roman" w:cs="Times New Roman"/>
                <w:b w:val="0"/>
                <w:bCs w:val="0"/>
              </w:rPr>
            </w:pPr>
            <w:r w:rsidRPr="00E53203">
              <w:rPr>
                <w:rFonts w:ascii="Times New Roman" w:hAnsi="Times New Roman" w:cs="Times New Roman"/>
                <w:b w:val="0"/>
                <w:bCs w:val="0"/>
              </w:rPr>
              <w:t>12-mer + error mitigation</w:t>
            </w:r>
          </w:p>
        </w:tc>
        <w:tc>
          <w:tcPr>
            <w:tcW w:w="2254" w:type="dxa"/>
          </w:tcPr>
          <w:p w14:paraId="23B0A103" w14:textId="77777777" w:rsidR="007008F1" w:rsidRPr="00E53203" w:rsidRDefault="00474F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0.9926 ± 0.0013</w:t>
            </w:r>
          </w:p>
        </w:tc>
        <w:tc>
          <w:tcPr>
            <w:tcW w:w="2254" w:type="dxa"/>
          </w:tcPr>
          <w:p w14:paraId="4A1DC62F" w14:textId="77777777" w:rsidR="007008F1" w:rsidRPr="00E53203" w:rsidRDefault="00330F1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w:t>
            </w:r>
          </w:p>
        </w:tc>
        <w:tc>
          <w:tcPr>
            <w:tcW w:w="2254" w:type="dxa"/>
          </w:tcPr>
          <w:p w14:paraId="7348C799" w14:textId="77777777" w:rsidR="007008F1" w:rsidRPr="00E53203" w:rsidRDefault="001575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53203">
              <w:rPr>
                <w:rFonts w:ascii="Times New Roman" w:hAnsi="Times New Roman" w:cs="Times New Roman"/>
              </w:rPr>
              <w:t>27% error reduction with XY4 + Pauli twirling</w:t>
            </w:r>
          </w:p>
        </w:tc>
      </w:tr>
    </w:tbl>
    <w:p w14:paraId="00C67330" w14:textId="77777777" w:rsidR="00775B29" w:rsidRPr="00E53203" w:rsidRDefault="00775B29">
      <w:pPr>
        <w:rPr>
          <w:rFonts w:ascii="Times New Roman" w:hAnsi="Times New Roman" w:cs="Times New Roman"/>
        </w:rPr>
      </w:pPr>
    </w:p>
    <w:sectPr w:rsidR="00775B29" w:rsidRPr="00E53203">
      <w:footerReference w:type="default" r:id="rId11"/>
      <w:pgSz w:w="11906" w:h="16838"/>
      <w:pgMar w:top="1440" w:right="1440" w:bottom="1440" w:left="1440" w:header="709" w:footer="709" w:gutter="0"/>
      <w:lnNumType w:countBy="1" w:restart="continuou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99582" w14:textId="77777777" w:rsidR="006D2F95" w:rsidRDefault="006D2F95">
      <w:pPr>
        <w:spacing w:after="0" w:line="240" w:lineRule="auto"/>
      </w:pPr>
      <w:r>
        <w:separator/>
      </w:r>
    </w:p>
  </w:endnote>
  <w:endnote w:type="continuationSeparator" w:id="0">
    <w:p w14:paraId="720B3E1F" w14:textId="77777777" w:rsidR="006D2F95" w:rsidRDefault="006D2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8EB2B007-5767-4C15-8865-2E77B840BE82}"/>
    <w:embedBold r:id="rId2" w:fontKey="{65DE6C61-A45F-432C-AF2F-046813A56642}"/>
    <w:embedItalic r:id="rId3" w:fontKey="{8826B415-988F-4161-9331-6C651E9573B6}"/>
  </w:font>
  <w:font w:name="Play">
    <w:charset w:val="00"/>
    <w:family w:val="auto"/>
    <w:pitch w:val="default"/>
    <w:embedRegular r:id="rId4" w:fontKey="{D5088348-D864-463B-B6B5-1A74EF4251FE}"/>
  </w:font>
  <w:font w:name="Cambria Math">
    <w:panose1 w:val="02040503050406030204"/>
    <w:charset w:val="00"/>
    <w:family w:val="roman"/>
    <w:pitch w:val="variable"/>
    <w:sig w:usb0="E00006FF" w:usb1="420024FF" w:usb2="02000000" w:usb3="00000000" w:csb0="0000019F" w:csb1="00000000"/>
    <w:embedRegular r:id="rId5" w:fontKey="{17FFF2FA-8264-4713-B887-6E8AB8C99F06}"/>
  </w:font>
  <w:font w:name="Gungsuh">
    <w:charset w:val="81"/>
    <w:family w:val="roman"/>
    <w:pitch w:val="variable"/>
    <w:sig w:usb0="B00002AF" w:usb1="69D77CFB" w:usb2="00000030" w:usb3="00000000" w:csb0="0008009F" w:csb1="00000000"/>
  </w:font>
  <w:font w:name="Cardo">
    <w:charset w:val="00"/>
    <w:family w:val="auto"/>
    <w:pitch w:val="default"/>
    <w:embedRegular r:id="rId6" w:fontKey="{98FDDB01-5E63-44EC-8697-2CC5A4575AB8}"/>
  </w:font>
  <w:font w:name="Calibri">
    <w:panose1 w:val="020F0502020204030204"/>
    <w:charset w:val="00"/>
    <w:family w:val="swiss"/>
    <w:pitch w:val="variable"/>
    <w:sig w:usb0="E4002EFF" w:usb1="C000247B" w:usb2="00000009" w:usb3="00000000" w:csb0="000001FF" w:csb1="00000000"/>
    <w:embedRegular r:id="rId7" w:fontKey="{89276ECF-BB79-4E25-A1D6-66F133D0BB6C}"/>
  </w:font>
  <w:font w:name="Latha">
    <w:panose1 w:val="02000400000000000000"/>
    <w:charset w:val="00"/>
    <w:family w:val="swiss"/>
    <w:pitch w:val="variable"/>
    <w:sig w:usb0="00100003" w:usb1="00000000" w:usb2="00000000" w:usb3="00000000" w:csb0="00000001" w:csb1="00000000"/>
    <w:embedRegular r:id="rId8" w:fontKey="{DD0E22E6-DA21-4A2F-81EC-F3F4BDABAC75}"/>
  </w:font>
  <w:font w:name="Cambria">
    <w:panose1 w:val="02040503050406030204"/>
    <w:charset w:val="00"/>
    <w:family w:val="roman"/>
    <w:pitch w:val="variable"/>
    <w:sig w:usb0="E00006FF" w:usb1="420024FF" w:usb2="02000000" w:usb3="00000000" w:csb0="0000019F" w:csb1="00000000"/>
    <w:embedRegular r:id="rId9" w:fontKey="{D2C4C35D-0EA7-42CF-8171-737BB6165F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E594" w14:textId="77777777" w:rsidR="00EE7AB8" w:rsidRDefault="006D1517">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A30B42">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33183B27" w14:textId="77777777" w:rsidR="00EE7AB8" w:rsidRDefault="00EE7AB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9BE97" w14:textId="77777777" w:rsidR="006D2F95" w:rsidRDefault="006D2F95">
      <w:pPr>
        <w:spacing w:after="0" w:line="240" w:lineRule="auto"/>
      </w:pPr>
      <w:r>
        <w:separator/>
      </w:r>
    </w:p>
  </w:footnote>
  <w:footnote w:type="continuationSeparator" w:id="0">
    <w:p w14:paraId="3B15B8D9" w14:textId="77777777" w:rsidR="006D2F95" w:rsidRDefault="006D2F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0E35"/>
    <w:multiLevelType w:val="multilevel"/>
    <w:tmpl w:val="813A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DD29C2"/>
    <w:multiLevelType w:val="multilevel"/>
    <w:tmpl w:val="7E90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620FF5"/>
    <w:multiLevelType w:val="multilevel"/>
    <w:tmpl w:val="BE6C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12092A"/>
    <w:multiLevelType w:val="multilevel"/>
    <w:tmpl w:val="8C3C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3903D87"/>
    <w:multiLevelType w:val="multilevel"/>
    <w:tmpl w:val="32B8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895317"/>
    <w:multiLevelType w:val="multilevel"/>
    <w:tmpl w:val="D14E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9958131">
    <w:abstractNumId w:val="5"/>
  </w:num>
  <w:num w:numId="2" w16cid:durableId="1806510189">
    <w:abstractNumId w:val="4"/>
  </w:num>
  <w:num w:numId="3" w16cid:durableId="405037594">
    <w:abstractNumId w:val="0"/>
  </w:num>
  <w:num w:numId="4" w16cid:durableId="1443960537">
    <w:abstractNumId w:val="2"/>
  </w:num>
  <w:num w:numId="5" w16cid:durableId="1284922876">
    <w:abstractNumId w:val="1"/>
  </w:num>
  <w:num w:numId="6" w16cid:durableId="68162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CzsDQwNbO0MLW0sLBU0lEKTi0uzszPAymwrAUAg9qBoSwAAAA="/>
  </w:docVars>
  <w:rsids>
    <w:rsidRoot w:val="00EE7AB8"/>
    <w:rsid w:val="000E1B4E"/>
    <w:rsid w:val="00137EB6"/>
    <w:rsid w:val="001575B2"/>
    <w:rsid w:val="00161801"/>
    <w:rsid w:val="0019482C"/>
    <w:rsid w:val="00194F75"/>
    <w:rsid w:val="001B2A53"/>
    <w:rsid w:val="001B3431"/>
    <w:rsid w:val="001C46A1"/>
    <w:rsid w:val="001F4E46"/>
    <w:rsid w:val="00281606"/>
    <w:rsid w:val="0028377C"/>
    <w:rsid w:val="002E7DB0"/>
    <w:rsid w:val="00330F18"/>
    <w:rsid w:val="00352B09"/>
    <w:rsid w:val="0035762B"/>
    <w:rsid w:val="003725A6"/>
    <w:rsid w:val="0037520B"/>
    <w:rsid w:val="0039214E"/>
    <w:rsid w:val="00435B83"/>
    <w:rsid w:val="00440AB7"/>
    <w:rsid w:val="00463BAF"/>
    <w:rsid w:val="004666D7"/>
    <w:rsid w:val="00474FB8"/>
    <w:rsid w:val="004A7917"/>
    <w:rsid w:val="004C5740"/>
    <w:rsid w:val="004C7519"/>
    <w:rsid w:val="004F24D7"/>
    <w:rsid w:val="004F7F68"/>
    <w:rsid w:val="00515EF7"/>
    <w:rsid w:val="00531CD8"/>
    <w:rsid w:val="005B601C"/>
    <w:rsid w:val="00655B85"/>
    <w:rsid w:val="006D1517"/>
    <w:rsid w:val="006D2F95"/>
    <w:rsid w:val="006F25BA"/>
    <w:rsid w:val="007008F1"/>
    <w:rsid w:val="00703875"/>
    <w:rsid w:val="00737739"/>
    <w:rsid w:val="00741EB4"/>
    <w:rsid w:val="00750612"/>
    <w:rsid w:val="00775B29"/>
    <w:rsid w:val="00791E1D"/>
    <w:rsid w:val="007B0472"/>
    <w:rsid w:val="007D0AED"/>
    <w:rsid w:val="007F7D5C"/>
    <w:rsid w:val="008108F8"/>
    <w:rsid w:val="008165AA"/>
    <w:rsid w:val="0089359F"/>
    <w:rsid w:val="008A5045"/>
    <w:rsid w:val="008D5BE3"/>
    <w:rsid w:val="008F7389"/>
    <w:rsid w:val="00900F5D"/>
    <w:rsid w:val="00917D2E"/>
    <w:rsid w:val="0093306E"/>
    <w:rsid w:val="009765A1"/>
    <w:rsid w:val="00991422"/>
    <w:rsid w:val="009D61DF"/>
    <w:rsid w:val="009D74D8"/>
    <w:rsid w:val="009F2462"/>
    <w:rsid w:val="00A30B42"/>
    <w:rsid w:val="00A91C3C"/>
    <w:rsid w:val="00AB4164"/>
    <w:rsid w:val="00AB56F2"/>
    <w:rsid w:val="00B80E72"/>
    <w:rsid w:val="00BA5FE2"/>
    <w:rsid w:val="00BC78E1"/>
    <w:rsid w:val="00BD25BD"/>
    <w:rsid w:val="00BF5CAC"/>
    <w:rsid w:val="00C304FE"/>
    <w:rsid w:val="00C53FA7"/>
    <w:rsid w:val="00C7056B"/>
    <w:rsid w:val="00C74E68"/>
    <w:rsid w:val="00C929A7"/>
    <w:rsid w:val="00D238BA"/>
    <w:rsid w:val="00D25F2E"/>
    <w:rsid w:val="00D81F8B"/>
    <w:rsid w:val="00D906F2"/>
    <w:rsid w:val="00DC3250"/>
    <w:rsid w:val="00DD1BA1"/>
    <w:rsid w:val="00DD67BC"/>
    <w:rsid w:val="00E441A4"/>
    <w:rsid w:val="00E53203"/>
    <w:rsid w:val="00E826CF"/>
    <w:rsid w:val="00E842F1"/>
    <w:rsid w:val="00EA50CD"/>
    <w:rsid w:val="00EC24CD"/>
    <w:rsid w:val="00ED5C2C"/>
    <w:rsid w:val="00EE501B"/>
    <w:rsid w:val="00EE7AB8"/>
    <w:rsid w:val="00F32738"/>
    <w:rsid w:val="00F47CF6"/>
    <w:rsid w:val="00F7698E"/>
    <w:rsid w:val="00FA0729"/>
    <w:rsid w:val="00FB0E73"/>
    <w:rsid w:val="00FD695B"/>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7CC9"/>
  <w15:docId w15:val="{CC019941-0BC5-47DF-B221-80E34244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IN" w:eastAsia="en-IN"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character" w:styleId="LineNumber">
    <w:name w:val="line number"/>
    <w:basedOn w:val="DefaultParagraphFont"/>
    <w:uiPriority w:val="99"/>
    <w:semiHidden/>
    <w:unhideWhenUsed/>
    <w:rsid w:val="00A30B42"/>
  </w:style>
  <w:style w:type="table" w:styleId="ListTable2-Accent1">
    <w:name w:val="List Table 2 Accent 1"/>
    <w:basedOn w:val="TableNormal"/>
    <w:uiPriority w:val="47"/>
    <w:rsid w:val="00A30B42"/>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
    <w:name w:val="List Table 2"/>
    <w:basedOn w:val="TableNormal"/>
    <w:uiPriority w:val="47"/>
    <w:rsid w:val="00A30B4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700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7008F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1B3431"/>
    <w:rPr>
      <w:color w:val="0000FF" w:themeColor="hyperlink"/>
      <w:u w:val="single"/>
    </w:rPr>
  </w:style>
  <w:style w:type="character" w:styleId="UnresolvedMention">
    <w:name w:val="Unresolved Mention"/>
    <w:basedOn w:val="DefaultParagraphFont"/>
    <w:uiPriority w:val="99"/>
    <w:semiHidden/>
    <w:unhideWhenUsed/>
    <w:rsid w:val="001B3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verette.nelson@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bdc.rcb.res.in/" TargetMode="External"/><Relationship Id="rId4" Type="http://schemas.openxmlformats.org/officeDocument/2006/relationships/settings" Target="settings.xml"/><Relationship Id="rId9" Type="http://schemas.openxmlformats.org/officeDocument/2006/relationships/hyperlink" Target="https://github.com/ahmedanees-m/QuBiS-HiQ"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wEe3CZauOIcWopSSFrWL9lCoGQ==">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20</Pages>
  <Words>7896</Words>
  <Characters>45010</Characters>
  <Application>Microsoft Office Word</Application>
  <DocSecurity>0</DocSecurity>
  <Lines>375</Lines>
  <Paragraphs>105</Paragraphs>
  <ScaleCrop>false</ScaleCrop>
  <Company/>
  <LinksUpToDate>false</LinksUpToDate>
  <CharactersWithSpaces>52801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Anees Ahmed</cp:lastModifiedBy>
  <cp:revision>77</cp:revision>
  <dcterms:created xsi:type="dcterms:W3CDTF">2026-04-15T01:10:00Z</dcterms:created>
  <dcterms:modified xsi:type="dcterms:W3CDTF">2026-04-16T20:21:00Z</dcterms:modified>
</cp:coreProperties>
</file>