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82F4F" w14:textId="77777777" w:rsidR="009616FF" w:rsidRDefault="00F87934">
      <w:pPr>
        <w:spacing w:line="240" w:lineRule="auto"/>
        <w:ind w:firstLine="0"/>
        <w:rPr>
          <w:rFonts w:ascii="Times New Roman" w:eastAsia="Times New Roman" w:hAnsi="Times New Roman" w:cs="Times New Roman"/>
          <w:color w:val="000000"/>
        </w:rPr>
      </w:pPr>
      <w:r>
        <w:rPr>
          <w:rFonts w:ascii="Times New Roman" w:eastAsia="Times New Roman" w:hAnsi="Times New Roman" w:cs="Times New Roman"/>
          <w:color w:val="000000"/>
        </w:rPr>
        <w:t>Jack Reynolds</w:t>
      </w:r>
    </w:p>
    <w:p w14:paraId="150BAEB6" w14:textId="77777777" w:rsidR="009616FF" w:rsidRDefault="00F87934">
      <w:pPr>
        <w:spacing w:line="240" w:lineRule="auto"/>
        <w:ind w:firstLine="0"/>
        <w:rPr>
          <w:rFonts w:ascii="Times New Roman" w:eastAsia="Times New Roman" w:hAnsi="Times New Roman" w:cs="Times New Roman"/>
          <w:color w:val="000000"/>
        </w:rPr>
      </w:pPr>
      <w:r>
        <w:rPr>
          <w:rFonts w:ascii="Times New Roman" w:eastAsia="Times New Roman" w:hAnsi="Times New Roman" w:cs="Times New Roman"/>
          <w:color w:val="000000"/>
        </w:rPr>
        <w:t>Reckon House Publishing</w:t>
      </w:r>
    </w:p>
    <w:p w14:paraId="7C3A3AC1" w14:textId="77777777" w:rsidR="009616FF" w:rsidRDefault="00F87934">
      <w:pPr>
        <w:spacing w:line="240" w:lineRule="auto"/>
        <w:ind w:firstLine="0"/>
        <w:rPr>
          <w:rFonts w:ascii="Times New Roman" w:eastAsia="Times New Roman" w:hAnsi="Times New Roman" w:cs="Times New Roman"/>
          <w:color w:val="000000"/>
        </w:rPr>
      </w:pPr>
      <w:r>
        <w:rPr>
          <w:rFonts w:ascii="Times New Roman" w:eastAsia="Times New Roman" w:hAnsi="Times New Roman" w:cs="Times New Roman"/>
          <w:color w:val="000000"/>
        </w:rPr>
        <w:t>jack@reckonhouse.pub</w:t>
      </w:r>
    </w:p>
    <w:p w14:paraId="60ECF89F" w14:textId="77777777" w:rsidR="009616FF" w:rsidRDefault="00F87934">
      <w:pPr>
        <w:spacing w:line="240" w:lineRule="auto"/>
        <w:ind w:firstLine="0"/>
        <w:rPr>
          <w:rFonts w:ascii="Times New Roman" w:eastAsia="Times New Roman" w:hAnsi="Times New Roman" w:cs="Times New Roman"/>
          <w:color w:val="000000"/>
        </w:rPr>
      </w:pPr>
      <w:r>
        <w:rPr>
          <w:rFonts w:ascii="Times New Roman" w:eastAsia="Times New Roman" w:hAnsi="Times New Roman" w:cs="Times New Roman"/>
          <w:color w:val="000000"/>
        </w:rPr>
        <w:t>817-627-4548</w:t>
      </w:r>
    </w:p>
    <w:p w14:paraId="7E0AC4FF" w14:textId="77777777" w:rsidR="009616FF" w:rsidRDefault="009616FF">
      <w:pPr>
        <w:pStyle w:val="Title"/>
        <w:spacing w:after="0"/>
      </w:pPr>
    </w:p>
    <w:p w14:paraId="7E3477A6" w14:textId="77777777" w:rsidR="009616FF" w:rsidRDefault="009616FF">
      <w:pPr>
        <w:pStyle w:val="Title"/>
        <w:spacing w:after="0"/>
      </w:pPr>
    </w:p>
    <w:p w14:paraId="3DDF15D0" w14:textId="77777777" w:rsidR="009616FF" w:rsidRDefault="009616FF">
      <w:pPr>
        <w:pStyle w:val="Title"/>
      </w:pPr>
    </w:p>
    <w:p w14:paraId="3254A5CE" w14:textId="77777777" w:rsidR="009616FF" w:rsidRDefault="009616FF"/>
    <w:p w14:paraId="7469901F" w14:textId="77777777" w:rsidR="009616FF" w:rsidRDefault="009616FF"/>
    <w:p w14:paraId="10CAEF9F" w14:textId="77777777" w:rsidR="009616FF" w:rsidRDefault="009616FF"/>
    <w:p w14:paraId="54577210" w14:textId="77777777" w:rsidR="009616FF" w:rsidRDefault="009616FF">
      <w:pPr>
        <w:pStyle w:val="Title"/>
        <w:spacing w:after="0"/>
      </w:pPr>
    </w:p>
    <w:p w14:paraId="39BFBEB5" w14:textId="77777777" w:rsidR="009616FF" w:rsidRDefault="00F87934">
      <w:pPr>
        <w:pStyle w:val="Title"/>
        <w:spacing w:after="0"/>
        <w:ind w:firstLine="0"/>
      </w:pPr>
      <w:r>
        <w:t>THE IGNORANCE TAX</w:t>
      </w:r>
    </w:p>
    <w:p w14:paraId="0C03F901" w14:textId="77777777" w:rsidR="009616FF" w:rsidRDefault="00F87934">
      <w:pPr>
        <w:pStyle w:val="Subtitle"/>
        <w:spacing w:after="0"/>
        <w:ind w:firstLine="0"/>
      </w:pPr>
      <w:r>
        <w:t>Why Good Intentions Cost More Than Good Outcomes</w:t>
      </w:r>
    </w:p>
    <w:p w14:paraId="0F744746" w14:textId="77777777" w:rsidR="009616FF" w:rsidRDefault="00F87934">
      <w:pPr>
        <w:ind w:firstLine="0"/>
        <w:jc w:val="center"/>
      </w:pPr>
      <w:r>
        <w:t>by</w:t>
      </w:r>
    </w:p>
    <w:p w14:paraId="7ADF0CD6" w14:textId="77777777" w:rsidR="009616FF" w:rsidRDefault="00F87934">
      <w:pPr>
        <w:ind w:firstLine="0"/>
        <w:jc w:val="center"/>
      </w:pPr>
      <w:r>
        <w:t>Jack Reynolds</w:t>
      </w:r>
    </w:p>
    <w:p w14:paraId="59FC67B9" w14:textId="77777777" w:rsidR="009616FF" w:rsidRDefault="009616FF">
      <w:pPr>
        <w:ind w:firstLine="0"/>
      </w:pPr>
    </w:p>
    <w:p w14:paraId="43241952" w14:textId="77777777" w:rsidR="009616FF" w:rsidRDefault="009616FF">
      <w:pPr>
        <w:ind w:firstLine="0"/>
      </w:pPr>
    </w:p>
    <w:p w14:paraId="5AEC34F5" w14:textId="77777777" w:rsidR="009616FF" w:rsidRDefault="009616FF">
      <w:pPr>
        <w:ind w:firstLine="0"/>
      </w:pPr>
    </w:p>
    <w:p w14:paraId="32B87080" w14:textId="77777777" w:rsidR="009616FF" w:rsidRDefault="009616FF">
      <w:pPr>
        <w:ind w:firstLine="0"/>
      </w:pPr>
    </w:p>
    <w:p w14:paraId="68C09BA4" w14:textId="77777777" w:rsidR="009616FF" w:rsidRDefault="009616FF">
      <w:pPr>
        <w:ind w:firstLine="0"/>
      </w:pPr>
    </w:p>
    <w:p w14:paraId="401FC4CF" w14:textId="77777777" w:rsidR="009616FF" w:rsidRDefault="009616FF">
      <w:pPr>
        <w:ind w:firstLine="0"/>
      </w:pPr>
    </w:p>
    <w:p w14:paraId="1DCE1810" w14:textId="77777777" w:rsidR="009616FF" w:rsidRDefault="009616FF">
      <w:pPr>
        <w:ind w:firstLine="0"/>
      </w:pPr>
    </w:p>
    <w:p w14:paraId="067DCFA5" w14:textId="77777777" w:rsidR="009616FF" w:rsidRDefault="009616FF">
      <w:pPr>
        <w:ind w:firstLine="0"/>
      </w:pPr>
    </w:p>
    <w:p w14:paraId="23939867" w14:textId="77777777" w:rsidR="009616FF" w:rsidRDefault="009616FF">
      <w:pPr>
        <w:ind w:firstLine="0"/>
      </w:pPr>
    </w:p>
    <w:p w14:paraId="704A6861" w14:textId="49D651B2" w:rsidR="009616FF" w:rsidRDefault="00F87934">
      <w:pPr>
        <w:ind w:firstLine="0"/>
        <w:sectPr w:rsidR="009616FF">
          <w:footerReference w:type="even" r:id="rId9"/>
          <w:footerReference w:type="default" r:id="rId10"/>
          <w:footerReference w:type="first" r:id="rId11"/>
          <w:endnotePr>
            <w:numFmt w:val="decimal"/>
          </w:endnotePr>
          <w:pgSz w:w="12240" w:h="15840"/>
          <w:pgMar w:top="1440" w:right="1440" w:bottom="1440" w:left="1440" w:header="0" w:footer="720" w:gutter="0"/>
          <w:pgNumType w:start="1"/>
          <w:cols w:space="720"/>
          <w:formProt w:val="0"/>
          <w:docGrid w:linePitch="100"/>
        </w:sectPr>
      </w:pPr>
      <w:r>
        <w:t xml:space="preserve">Words: </w:t>
      </w:r>
      <w:fldSimple w:instr=" NUMWORDS \* ARABIC ">
        <w:r w:rsidR="00FF32C8">
          <w:rPr>
            <w:noProof/>
          </w:rPr>
          <w:t>82532</w:t>
        </w:r>
      </w:fldSimple>
    </w:p>
    <w:p w14:paraId="71933D95" w14:textId="206189A8" w:rsidR="009616FF" w:rsidRDefault="00F87934">
      <w:pPr>
        <w:pStyle w:val="Heading2"/>
      </w:pPr>
      <w:bookmarkStart w:id="0" w:name="_Toc227410636"/>
      <w:r>
        <w:lastRenderedPageBreak/>
        <w:t>Author</w:t>
      </w:r>
      <w:r w:rsidR="00463E2E">
        <w:t>'</w:t>
      </w:r>
      <w:r>
        <w:t>s Note</w:t>
      </w:r>
      <w:bookmarkEnd w:id="0"/>
    </w:p>
    <w:p w14:paraId="38AE7025" w14:textId="77777777" w:rsidR="009616FF" w:rsidRDefault="00F87934">
      <w:r>
        <w:t>This book grew out of work I was doing on my memoir.</w:t>
      </w:r>
    </w:p>
    <w:p w14:paraId="17110E64" w14:textId="77777777" w:rsidR="009616FF" w:rsidRDefault="00F87934">
      <w:r>
        <w:t>When I reached the parts dealing with my years of learning and teaching in and out of classrooms, I slowed down more than I expected. Not because the memories were painful, but because reflecting on that period forced me to think about what had actually changed in how I saw the world. Becoming fluent in economic thinking didn't just change how I talked about policy or institutions; it changed how I understood my own decisions. Looking back, I could see how much damage had been done by habits of thinking that assumed consequences wouldn't arrive, that costs could be wished away. Economics didn't solve my problems, and this isn't a story about transformation or triumph. But it did help me stop deceiving myself about how the world actually works. I believe that matters.</w:t>
      </w:r>
    </w:p>
    <w:p w14:paraId="0461C8BB" w14:textId="77777777" w:rsidR="009616FF" w:rsidRDefault="00F87934">
      <w:r>
        <w:t>That realization needed its own space. Not a personal story, and not an aside in a memoir, but an idea worth examining on its own terms.</w:t>
      </w:r>
    </w:p>
    <w:p w14:paraId="77398500" w14:textId="77777777" w:rsidR="00744F33" w:rsidRPr="00744F33" w:rsidRDefault="00F87934" w:rsidP="00744F33">
      <w:r>
        <w:t xml:space="preserve">This book is the result. The patterns described here are human patterns. I have watched brilliant, accomplished, well-meaning people exhibit them repeatedly. I have exhibited them myself. </w:t>
      </w:r>
      <w:r w:rsidR="00744F33" w:rsidRPr="00744F33">
        <w:t>I did not come to these ideas from the top of the system. I came to them from the underside of it, where policy abstractions turn into rent notices, bad schools, family instability, and avoidable mistakes that real people pay for. I've lived long enough on the underside of policy to see what abstractions look like when they land. The goal is not to assign blame but to describe mechanisms, to make visible what usually remains invisible so that it becomes possible to reason differently.</w:t>
      </w:r>
    </w:p>
    <w:p w14:paraId="36460D19" w14:textId="4C85C540" w:rsidR="009616FF" w:rsidRDefault="00F87934" w:rsidP="003622A9">
      <w:pPr>
        <w:keepNext/>
      </w:pPr>
      <w:r>
        <w:t xml:space="preserve">Lastly, </w:t>
      </w:r>
      <w:r w:rsidR="003622A9">
        <w:t>a</w:t>
      </w:r>
      <w:r w:rsidR="003622A9" w:rsidRPr="003622A9">
        <w:t xml:space="preserve"> book about hidden costs should not hide its own. I chose to self-publish. That decision let me follow the argument where it led without smoothing the edges to fit a market category. The tradeoff seemed worth accepting to say the thing clearly</w:t>
      </w:r>
      <w:r>
        <w:t>.</w:t>
      </w:r>
    </w:p>
    <w:p w14:paraId="387159A4" w14:textId="77777777" w:rsidR="009616FF" w:rsidRDefault="00F87934">
      <w:pPr>
        <w:keepNext/>
        <w:spacing w:line="240" w:lineRule="auto"/>
        <w:ind w:firstLine="0"/>
        <w:rPr>
          <w:i/>
          <w:iCs/>
        </w:rPr>
      </w:pPr>
      <w:r>
        <w:rPr>
          <w:i/>
          <w:iCs/>
        </w:rPr>
        <w:t>Jack Reynolds</w:t>
      </w:r>
    </w:p>
    <w:p w14:paraId="6F88BA8C" w14:textId="1E9170FD" w:rsidR="009616FF" w:rsidRDefault="004B4795">
      <w:pPr>
        <w:keepNext/>
        <w:ind w:firstLine="0"/>
        <w:rPr>
          <w:i/>
          <w:iCs/>
        </w:rPr>
        <w:sectPr w:rsidR="009616FF">
          <w:footerReference w:type="default" r:id="rId12"/>
          <w:footerReference w:type="first" r:id="rId13"/>
          <w:endnotePr>
            <w:numFmt w:val="decimal"/>
          </w:endnotePr>
          <w:pgSz w:w="12240" w:h="15840"/>
          <w:pgMar w:top="1440" w:right="1440" w:bottom="1440" w:left="1440" w:header="0" w:footer="720" w:gutter="0"/>
          <w:cols w:space="720"/>
          <w:formProt w:val="0"/>
          <w:titlePg/>
          <w:docGrid w:linePitch="100"/>
        </w:sectPr>
      </w:pPr>
      <w:r>
        <w:rPr>
          <w:i/>
          <w:iCs/>
        </w:rPr>
        <w:t>April 9, 2026</w:t>
      </w:r>
    </w:p>
    <w:p w14:paraId="6B69821F" w14:textId="77777777" w:rsidR="009616FF" w:rsidRDefault="00F87934">
      <w:pPr>
        <w:pStyle w:val="Heading2"/>
      </w:pPr>
      <w:bookmarkStart w:id="1" w:name="_Toc227410637"/>
      <w:r>
        <w:t>Table of Contents</w:t>
      </w:r>
      <w:bookmarkEnd w:id="1"/>
    </w:p>
    <w:sdt>
      <w:sdtPr>
        <w:id w:val="995232246"/>
        <w:docPartObj>
          <w:docPartGallery w:val="Table of Contents"/>
          <w:docPartUnique/>
        </w:docPartObj>
      </w:sdtPr>
      <w:sdtContent>
        <w:p w14:paraId="31FE0901" w14:textId="5B2DAE39" w:rsidR="00FF32C8" w:rsidRDefault="00F87934">
          <w:pPr>
            <w:pStyle w:val="TOC2"/>
            <w:tabs>
              <w:tab w:val="right" w:leader="dot" w:pos="9350"/>
            </w:tabs>
            <w:rPr>
              <w:rFonts w:eastAsiaTheme="minorEastAsia" w:cstheme="minorBidi"/>
              <w:smallCaps w:val="0"/>
              <w:noProof/>
              <w:kern w:val="2"/>
              <w:sz w:val="24"/>
              <w:szCs w:val="24"/>
              <w14:ligatures w14:val="standardContextual"/>
            </w:rPr>
          </w:pPr>
          <w:r>
            <w:fldChar w:fldCharType="begin"/>
          </w:r>
          <w:r>
            <w:rPr>
              <w:rStyle w:val="IndexLink"/>
              <w:webHidden/>
            </w:rPr>
            <w:instrText xml:space="preserve"> TOC \z \o "1-9" \u \t "Heading 1,1,Heading 2,2,Heading 3,3" \h</w:instrText>
          </w:r>
          <w:r>
            <w:rPr>
              <w:rStyle w:val="IndexLink"/>
            </w:rPr>
            <w:fldChar w:fldCharType="separate"/>
          </w:r>
          <w:hyperlink w:anchor="_Toc227410636" w:history="1">
            <w:r w:rsidR="00FF32C8" w:rsidRPr="001A2BDC">
              <w:rPr>
                <w:rStyle w:val="Hyperlink"/>
                <w:noProof/>
              </w:rPr>
              <w:t>Author's Note</w:t>
            </w:r>
            <w:r w:rsidR="00FF32C8">
              <w:rPr>
                <w:noProof/>
                <w:webHidden/>
              </w:rPr>
              <w:tab/>
            </w:r>
            <w:r w:rsidR="00FF32C8">
              <w:rPr>
                <w:noProof/>
                <w:webHidden/>
              </w:rPr>
              <w:fldChar w:fldCharType="begin"/>
            </w:r>
            <w:r w:rsidR="00FF32C8">
              <w:rPr>
                <w:noProof/>
                <w:webHidden/>
              </w:rPr>
              <w:instrText xml:space="preserve"> PAGEREF _Toc227410636 \h </w:instrText>
            </w:r>
            <w:r w:rsidR="00FF32C8">
              <w:rPr>
                <w:noProof/>
                <w:webHidden/>
              </w:rPr>
            </w:r>
            <w:r w:rsidR="00FF32C8">
              <w:rPr>
                <w:noProof/>
                <w:webHidden/>
              </w:rPr>
              <w:fldChar w:fldCharType="separate"/>
            </w:r>
            <w:r w:rsidR="00FF32C8">
              <w:rPr>
                <w:noProof/>
                <w:webHidden/>
              </w:rPr>
              <w:t>2</w:t>
            </w:r>
            <w:r w:rsidR="00FF32C8">
              <w:rPr>
                <w:noProof/>
                <w:webHidden/>
              </w:rPr>
              <w:fldChar w:fldCharType="end"/>
            </w:r>
          </w:hyperlink>
        </w:p>
        <w:p w14:paraId="79AC39F6" w14:textId="418E58F8"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637" w:history="1">
            <w:r w:rsidRPr="001A2BDC">
              <w:rPr>
                <w:rStyle w:val="Hyperlink"/>
                <w:noProof/>
              </w:rPr>
              <w:t>Table of Contents</w:t>
            </w:r>
            <w:r>
              <w:rPr>
                <w:noProof/>
                <w:webHidden/>
              </w:rPr>
              <w:tab/>
            </w:r>
            <w:r>
              <w:rPr>
                <w:noProof/>
                <w:webHidden/>
              </w:rPr>
              <w:fldChar w:fldCharType="begin"/>
            </w:r>
            <w:r>
              <w:rPr>
                <w:noProof/>
                <w:webHidden/>
              </w:rPr>
              <w:instrText xml:space="preserve"> PAGEREF _Toc227410637 \h </w:instrText>
            </w:r>
            <w:r>
              <w:rPr>
                <w:noProof/>
                <w:webHidden/>
              </w:rPr>
            </w:r>
            <w:r>
              <w:rPr>
                <w:noProof/>
                <w:webHidden/>
              </w:rPr>
              <w:fldChar w:fldCharType="separate"/>
            </w:r>
            <w:r>
              <w:rPr>
                <w:noProof/>
                <w:webHidden/>
              </w:rPr>
              <w:t>5</w:t>
            </w:r>
            <w:r>
              <w:rPr>
                <w:noProof/>
                <w:webHidden/>
              </w:rPr>
              <w:fldChar w:fldCharType="end"/>
            </w:r>
          </w:hyperlink>
        </w:p>
        <w:p w14:paraId="5F3880F6" w14:textId="22A8300F" w:rsidR="00FF32C8" w:rsidRDefault="00FF32C8">
          <w:pPr>
            <w:pStyle w:val="TOC1"/>
            <w:tabs>
              <w:tab w:val="right" w:leader="dot" w:pos="9350"/>
            </w:tabs>
            <w:rPr>
              <w:rFonts w:eastAsiaTheme="minorEastAsia" w:cstheme="minorBidi"/>
              <w:b w:val="0"/>
              <w:bCs w:val="0"/>
              <w:caps w:val="0"/>
              <w:noProof/>
              <w:kern w:val="2"/>
              <w:sz w:val="24"/>
              <w:szCs w:val="24"/>
              <w14:ligatures w14:val="standardContextual"/>
            </w:rPr>
          </w:pPr>
          <w:hyperlink w:anchor="_Toc227410638" w:history="1">
            <w:r w:rsidRPr="001A2BDC">
              <w:rPr>
                <w:rStyle w:val="Hyperlink"/>
                <w:noProof/>
              </w:rPr>
              <w:t>INTRODUCTION</w:t>
            </w:r>
            <w:r>
              <w:rPr>
                <w:noProof/>
                <w:webHidden/>
              </w:rPr>
              <w:tab/>
            </w:r>
            <w:r>
              <w:rPr>
                <w:noProof/>
                <w:webHidden/>
              </w:rPr>
              <w:fldChar w:fldCharType="begin"/>
            </w:r>
            <w:r>
              <w:rPr>
                <w:noProof/>
                <w:webHidden/>
              </w:rPr>
              <w:instrText xml:space="preserve"> PAGEREF _Toc227410638 \h </w:instrText>
            </w:r>
            <w:r>
              <w:rPr>
                <w:noProof/>
                <w:webHidden/>
              </w:rPr>
            </w:r>
            <w:r>
              <w:rPr>
                <w:noProof/>
                <w:webHidden/>
              </w:rPr>
              <w:fldChar w:fldCharType="separate"/>
            </w:r>
            <w:r>
              <w:rPr>
                <w:noProof/>
                <w:webHidden/>
              </w:rPr>
              <w:t>11</w:t>
            </w:r>
            <w:r>
              <w:rPr>
                <w:noProof/>
                <w:webHidden/>
              </w:rPr>
              <w:fldChar w:fldCharType="end"/>
            </w:r>
          </w:hyperlink>
        </w:p>
        <w:p w14:paraId="15B83B1B" w14:textId="5B9D1206"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39" w:history="1">
            <w:r w:rsidRPr="001A2BDC">
              <w:rPr>
                <w:rStyle w:val="Hyperlink"/>
                <w:noProof/>
              </w:rPr>
              <w:t>The Ignorance Tax</w:t>
            </w:r>
            <w:r>
              <w:rPr>
                <w:noProof/>
                <w:webHidden/>
              </w:rPr>
              <w:tab/>
            </w:r>
            <w:r>
              <w:rPr>
                <w:noProof/>
                <w:webHidden/>
              </w:rPr>
              <w:fldChar w:fldCharType="begin"/>
            </w:r>
            <w:r>
              <w:rPr>
                <w:noProof/>
                <w:webHidden/>
              </w:rPr>
              <w:instrText xml:space="preserve"> PAGEREF _Toc227410639 \h </w:instrText>
            </w:r>
            <w:r>
              <w:rPr>
                <w:noProof/>
                <w:webHidden/>
              </w:rPr>
            </w:r>
            <w:r>
              <w:rPr>
                <w:noProof/>
                <w:webHidden/>
              </w:rPr>
              <w:fldChar w:fldCharType="separate"/>
            </w:r>
            <w:r>
              <w:rPr>
                <w:noProof/>
                <w:webHidden/>
              </w:rPr>
              <w:t>11</w:t>
            </w:r>
            <w:r>
              <w:rPr>
                <w:noProof/>
                <w:webHidden/>
              </w:rPr>
              <w:fldChar w:fldCharType="end"/>
            </w:r>
          </w:hyperlink>
        </w:p>
        <w:p w14:paraId="57C03733" w14:textId="4DC760DD"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40" w:history="1">
            <w:r w:rsidRPr="001A2BDC">
              <w:rPr>
                <w:rStyle w:val="Hyperlink"/>
                <w:noProof/>
              </w:rPr>
              <w:t>Why This Keeps Happening</w:t>
            </w:r>
            <w:r>
              <w:rPr>
                <w:noProof/>
                <w:webHidden/>
              </w:rPr>
              <w:tab/>
            </w:r>
            <w:r>
              <w:rPr>
                <w:noProof/>
                <w:webHidden/>
              </w:rPr>
              <w:fldChar w:fldCharType="begin"/>
            </w:r>
            <w:r>
              <w:rPr>
                <w:noProof/>
                <w:webHidden/>
              </w:rPr>
              <w:instrText xml:space="preserve"> PAGEREF _Toc227410640 \h </w:instrText>
            </w:r>
            <w:r>
              <w:rPr>
                <w:noProof/>
                <w:webHidden/>
              </w:rPr>
            </w:r>
            <w:r>
              <w:rPr>
                <w:noProof/>
                <w:webHidden/>
              </w:rPr>
              <w:fldChar w:fldCharType="separate"/>
            </w:r>
            <w:r>
              <w:rPr>
                <w:noProof/>
                <w:webHidden/>
              </w:rPr>
              <w:t>13</w:t>
            </w:r>
            <w:r>
              <w:rPr>
                <w:noProof/>
                <w:webHidden/>
              </w:rPr>
              <w:fldChar w:fldCharType="end"/>
            </w:r>
          </w:hyperlink>
        </w:p>
        <w:p w14:paraId="041288CE" w14:textId="33FBB2E6"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41" w:history="1">
            <w:r w:rsidRPr="001A2BDC">
              <w:rPr>
                <w:rStyle w:val="Hyperlink"/>
                <w:noProof/>
              </w:rPr>
              <w:t>What This Book Covers</w:t>
            </w:r>
            <w:r>
              <w:rPr>
                <w:noProof/>
                <w:webHidden/>
              </w:rPr>
              <w:tab/>
            </w:r>
            <w:r>
              <w:rPr>
                <w:noProof/>
                <w:webHidden/>
              </w:rPr>
              <w:fldChar w:fldCharType="begin"/>
            </w:r>
            <w:r>
              <w:rPr>
                <w:noProof/>
                <w:webHidden/>
              </w:rPr>
              <w:instrText xml:space="preserve"> PAGEREF _Toc227410641 \h </w:instrText>
            </w:r>
            <w:r>
              <w:rPr>
                <w:noProof/>
                <w:webHidden/>
              </w:rPr>
            </w:r>
            <w:r>
              <w:rPr>
                <w:noProof/>
                <w:webHidden/>
              </w:rPr>
              <w:fldChar w:fldCharType="separate"/>
            </w:r>
            <w:r>
              <w:rPr>
                <w:noProof/>
                <w:webHidden/>
              </w:rPr>
              <w:t>15</w:t>
            </w:r>
            <w:r>
              <w:rPr>
                <w:noProof/>
                <w:webHidden/>
              </w:rPr>
              <w:fldChar w:fldCharType="end"/>
            </w:r>
          </w:hyperlink>
        </w:p>
        <w:p w14:paraId="5617022E" w14:textId="6EFCCA29"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42" w:history="1">
            <w:r w:rsidRPr="001A2BDC">
              <w:rPr>
                <w:rStyle w:val="Hyperlink"/>
                <w:noProof/>
              </w:rPr>
              <w:t>What This Book Is Not</w:t>
            </w:r>
            <w:r>
              <w:rPr>
                <w:noProof/>
                <w:webHidden/>
              </w:rPr>
              <w:tab/>
            </w:r>
            <w:r>
              <w:rPr>
                <w:noProof/>
                <w:webHidden/>
              </w:rPr>
              <w:fldChar w:fldCharType="begin"/>
            </w:r>
            <w:r>
              <w:rPr>
                <w:noProof/>
                <w:webHidden/>
              </w:rPr>
              <w:instrText xml:space="preserve"> PAGEREF _Toc227410642 \h </w:instrText>
            </w:r>
            <w:r>
              <w:rPr>
                <w:noProof/>
                <w:webHidden/>
              </w:rPr>
            </w:r>
            <w:r>
              <w:rPr>
                <w:noProof/>
                <w:webHidden/>
              </w:rPr>
              <w:fldChar w:fldCharType="separate"/>
            </w:r>
            <w:r>
              <w:rPr>
                <w:noProof/>
                <w:webHidden/>
              </w:rPr>
              <w:t>16</w:t>
            </w:r>
            <w:r>
              <w:rPr>
                <w:noProof/>
                <w:webHidden/>
              </w:rPr>
              <w:fldChar w:fldCharType="end"/>
            </w:r>
          </w:hyperlink>
        </w:p>
        <w:p w14:paraId="4BBB7328" w14:textId="3F9C0FD1"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43" w:history="1">
            <w:r w:rsidRPr="001A2BDC">
              <w:rPr>
                <w:rStyle w:val="Hyperlink"/>
                <w:noProof/>
              </w:rPr>
              <w:t>A Note on the Examples in This Book</w:t>
            </w:r>
            <w:r>
              <w:rPr>
                <w:noProof/>
                <w:webHidden/>
              </w:rPr>
              <w:tab/>
            </w:r>
            <w:r>
              <w:rPr>
                <w:noProof/>
                <w:webHidden/>
              </w:rPr>
              <w:fldChar w:fldCharType="begin"/>
            </w:r>
            <w:r>
              <w:rPr>
                <w:noProof/>
                <w:webHidden/>
              </w:rPr>
              <w:instrText xml:space="preserve"> PAGEREF _Toc227410643 \h </w:instrText>
            </w:r>
            <w:r>
              <w:rPr>
                <w:noProof/>
                <w:webHidden/>
              </w:rPr>
            </w:r>
            <w:r>
              <w:rPr>
                <w:noProof/>
                <w:webHidden/>
              </w:rPr>
              <w:fldChar w:fldCharType="separate"/>
            </w:r>
            <w:r>
              <w:rPr>
                <w:noProof/>
                <w:webHidden/>
              </w:rPr>
              <w:t>18</w:t>
            </w:r>
            <w:r>
              <w:rPr>
                <w:noProof/>
                <w:webHidden/>
              </w:rPr>
              <w:fldChar w:fldCharType="end"/>
            </w:r>
          </w:hyperlink>
        </w:p>
        <w:p w14:paraId="713D9434" w14:textId="643DBF56"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44" w:history="1">
            <w:r w:rsidRPr="001A2BDC">
              <w:rPr>
                <w:rStyle w:val="Hyperlink"/>
                <w:noProof/>
              </w:rPr>
              <w:t>How to Read This Book</w:t>
            </w:r>
            <w:r>
              <w:rPr>
                <w:noProof/>
                <w:webHidden/>
              </w:rPr>
              <w:tab/>
            </w:r>
            <w:r>
              <w:rPr>
                <w:noProof/>
                <w:webHidden/>
              </w:rPr>
              <w:fldChar w:fldCharType="begin"/>
            </w:r>
            <w:r>
              <w:rPr>
                <w:noProof/>
                <w:webHidden/>
              </w:rPr>
              <w:instrText xml:space="preserve"> PAGEREF _Toc227410644 \h </w:instrText>
            </w:r>
            <w:r>
              <w:rPr>
                <w:noProof/>
                <w:webHidden/>
              </w:rPr>
            </w:r>
            <w:r>
              <w:rPr>
                <w:noProof/>
                <w:webHidden/>
              </w:rPr>
              <w:fldChar w:fldCharType="separate"/>
            </w:r>
            <w:r>
              <w:rPr>
                <w:noProof/>
                <w:webHidden/>
              </w:rPr>
              <w:t>19</w:t>
            </w:r>
            <w:r>
              <w:rPr>
                <w:noProof/>
                <w:webHidden/>
              </w:rPr>
              <w:fldChar w:fldCharType="end"/>
            </w:r>
          </w:hyperlink>
        </w:p>
        <w:p w14:paraId="626B8474" w14:textId="13797A56" w:rsidR="00FF32C8" w:rsidRDefault="00FF32C8">
          <w:pPr>
            <w:pStyle w:val="TOC1"/>
            <w:tabs>
              <w:tab w:val="right" w:leader="dot" w:pos="9350"/>
            </w:tabs>
            <w:rPr>
              <w:rFonts w:eastAsiaTheme="minorEastAsia" w:cstheme="minorBidi"/>
              <w:b w:val="0"/>
              <w:bCs w:val="0"/>
              <w:caps w:val="0"/>
              <w:noProof/>
              <w:kern w:val="2"/>
              <w:sz w:val="24"/>
              <w:szCs w:val="24"/>
              <w14:ligatures w14:val="standardContextual"/>
            </w:rPr>
          </w:pPr>
          <w:hyperlink w:anchor="_Toc227410645" w:history="1">
            <w:r w:rsidRPr="001A2BDC">
              <w:rPr>
                <w:rStyle w:val="Hyperlink"/>
                <w:noProof/>
              </w:rPr>
              <w:t>PART I: The Illusion &amp; Its Mechanics</w:t>
            </w:r>
            <w:r>
              <w:rPr>
                <w:noProof/>
                <w:webHidden/>
              </w:rPr>
              <w:tab/>
            </w:r>
            <w:r>
              <w:rPr>
                <w:noProof/>
                <w:webHidden/>
              </w:rPr>
              <w:fldChar w:fldCharType="begin"/>
            </w:r>
            <w:r>
              <w:rPr>
                <w:noProof/>
                <w:webHidden/>
              </w:rPr>
              <w:instrText xml:space="preserve"> PAGEREF _Toc227410645 \h </w:instrText>
            </w:r>
            <w:r>
              <w:rPr>
                <w:noProof/>
                <w:webHidden/>
              </w:rPr>
            </w:r>
            <w:r>
              <w:rPr>
                <w:noProof/>
                <w:webHidden/>
              </w:rPr>
              <w:fldChar w:fldCharType="separate"/>
            </w:r>
            <w:r>
              <w:rPr>
                <w:noProof/>
                <w:webHidden/>
              </w:rPr>
              <w:t>21</w:t>
            </w:r>
            <w:r>
              <w:rPr>
                <w:noProof/>
                <w:webHidden/>
              </w:rPr>
              <w:fldChar w:fldCharType="end"/>
            </w:r>
          </w:hyperlink>
        </w:p>
        <w:p w14:paraId="51C52FD4" w14:textId="3EBD716E"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646" w:history="1">
            <w:r w:rsidRPr="001A2BDC">
              <w:rPr>
                <w:rStyle w:val="Hyperlink"/>
                <w:noProof/>
              </w:rPr>
              <w:t>The Myth of the Free Lunch</w:t>
            </w:r>
            <w:r>
              <w:rPr>
                <w:noProof/>
                <w:webHidden/>
              </w:rPr>
              <w:tab/>
            </w:r>
            <w:r>
              <w:rPr>
                <w:noProof/>
                <w:webHidden/>
              </w:rPr>
              <w:fldChar w:fldCharType="begin"/>
            </w:r>
            <w:r>
              <w:rPr>
                <w:noProof/>
                <w:webHidden/>
              </w:rPr>
              <w:instrText xml:space="preserve"> PAGEREF _Toc227410646 \h </w:instrText>
            </w:r>
            <w:r>
              <w:rPr>
                <w:noProof/>
                <w:webHidden/>
              </w:rPr>
            </w:r>
            <w:r>
              <w:rPr>
                <w:noProof/>
                <w:webHidden/>
              </w:rPr>
              <w:fldChar w:fldCharType="separate"/>
            </w:r>
            <w:r>
              <w:rPr>
                <w:noProof/>
                <w:webHidden/>
              </w:rPr>
              <w:t>22</w:t>
            </w:r>
            <w:r>
              <w:rPr>
                <w:noProof/>
                <w:webHidden/>
              </w:rPr>
              <w:fldChar w:fldCharType="end"/>
            </w:r>
          </w:hyperlink>
        </w:p>
        <w:p w14:paraId="14C8C21E" w14:textId="3E039F7D"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47" w:history="1">
            <w:r w:rsidRPr="001A2BDC">
              <w:rPr>
                <w:rStyle w:val="Hyperlink"/>
                <w:noProof/>
              </w:rPr>
              <w:t>Why No One Believes in Free Lunches Until They Do</w:t>
            </w:r>
            <w:r>
              <w:rPr>
                <w:noProof/>
                <w:webHidden/>
              </w:rPr>
              <w:tab/>
            </w:r>
            <w:r>
              <w:rPr>
                <w:noProof/>
                <w:webHidden/>
              </w:rPr>
              <w:fldChar w:fldCharType="begin"/>
            </w:r>
            <w:r>
              <w:rPr>
                <w:noProof/>
                <w:webHidden/>
              </w:rPr>
              <w:instrText xml:space="preserve"> PAGEREF _Toc227410647 \h </w:instrText>
            </w:r>
            <w:r>
              <w:rPr>
                <w:noProof/>
                <w:webHidden/>
              </w:rPr>
            </w:r>
            <w:r>
              <w:rPr>
                <w:noProof/>
                <w:webHidden/>
              </w:rPr>
              <w:fldChar w:fldCharType="separate"/>
            </w:r>
            <w:r>
              <w:rPr>
                <w:noProof/>
                <w:webHidden/>
              </w:rPr>
              <w:t>25</w:t>
            </w:r>
            <w:r>
              <w:rPr>
                <w:noProof/>
                <w:webHidden/>
              </w:rPr>
              <w:fldChar w:fldCharType="end"/>
            </w:r>
          </w:hyperlink>
        </w:p>
        <w:p w14:paraId="74CBB42A" w14:textId="249A98E8"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48" w:history="1">
            <w:r w:rsidRPr="001A2BDC">
              <w:rPr>
                <w:rStyle w:val="Hyperlink"/>
                <w:noProof/>
              </w:rPr>
              <w:t>The Appeal of Something for Nothing</w:t>
            </w:r>
            <w:r>
              <w:rPr>
                <w:noProof/>
                <w:webHidden/>
              </w:rPr>
              <w:tab/>
            </w:r>
            <w:r>
              <w:rPr>
                <w:noProof/>
                <w:webHidden/>
              </w:rPr>
              <w:fldChar w:fldCharType="begin"/>
            </w:r>
            <w:r>
              <w:rPr>
                <w:noProof/>
                <w:webHidden/>
              </w:rPr>
              <w:instrText xml:space="preserve"> PAGEREF _Toc227410648 \h </w:instrText>
            </w:r>
            <w:r>
              <w:rPr>
                <w:noProof/>
                <w:webHidden/>
              </w:rPr>
            </w:r>
            <w:r>
              <w:rPr>
                <w:noProof/>
                <w:webHidden/>
              </w:rPr>
              <w:fldChar w:fldCharType="separate"/>
            </w:r>
            <w:r>
              <w:rPr>
                <w:noProof/>
                <w:webHidden/>
              </w:rPr>
              <w:t>27</w:t>
            </w:r>
            <w:r>
              <w:rPr>
                <w:noProof/>
                <w:webHidden/>
              </w:rPr>
              <w:fldChar w:fldCharType="end"/>
            </w:r>
          </w:hyperlink>
        </w:p>
        <w:p w14:paraId="45CBA319" w14:textId="508E616C"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49" w:history="1">
            <w:r w:rsidRPr="001A2BDC">
              <w:rPr>
                <w:rStyle w:val="Hyperlink"/>
                <w:noProof/>
              </w:rPr>
              <w:t>Costs That Don't Look Like Costs</w:t>
            </w:r>
            <w:r>
              <w:rPr>
                <w:noProof/>
                <w:webHidden/>
              </w:rPr>
              <w:tab/>
            </w:r>
            <w:r>
              <w:rPr>
                <w:noProof/>
                <w:webHidden/>
              </w:rPr>
              <w:fldChar w:fldCharType="begin"/>
            </w:r>
            <w:r>
              <w:rPr>
                <w:noProof/>
                <w:webHidden/>
              </w:rPr>
              <w:instrText xml:space="preserve"> PAGEREF _Toc227410649 \h </w:instrText>
            </w:r>
            <w:r>
              <w:rPr>
                <w:noProof/>
                <w:webHidden/>
              </w:rPr>
            </w:r>
            <w:r>
              <w:rPr>
                <w:noProof/>
                <w:webHidden/>
              </w:rPr>
              <w:fldChar w:fldCharType="separate"/>
            </w:r>
            <w:r>
              <w:rPr>
                <w:noProof/>
                <w:webHidden/>
              </w:rPr>
              <w:t>29</w:t>
            </w:r>
            <w:r>
              <w:rPr>
                <w:noProof/>
                <w:webHidden/>
              </w:rPr>
              <w:fldChar w:fldCharType="end"/>
            </w:r>
          </w:hyperlink>
        </w:p>
        <w:p w14:paraId="303CC907" w14:textId="0002DC75"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50" w:history="1">
            <w:r w:rsidRPr="001A2BDC">
              <w:rPr>
                <w:rStyle w:val="Hyperlink"/>
                <w:noProof/>
              </w:rPr>
              <w:t>When Limits Become Offensive</w:t>
            </w:r>
            <w:r>
              <w:rPr>
                <w:noProof/>
                <w:webHidden/>
              </w:rPr>
              <w:tab/>
            </w:r>
            <w:r>
              <w:rPr>
                <w:noProof/>
                <w:webHidden/>
              </w:rPr>
              <w:fldChar w:fldCharType="begin"/>
            </w:r>
            <w:r>
              <w:rPr>
                <w:noProof/>
                <w:webHidden/>
              </w:rPr>
              <w:instrText xml:space="preserve"> PAGEREF _Toc227410650 \h </w:instrText>
            </w:r>
            <w:r>
              <w:rPr>
                <w:noProof/>
                <w:webHidden/>
              </w:rPr>
            </w:r>
            <w:r>
              <w:rPr>
                <w:noProof/>
                <w:webHidden/>
              </w:rPr>
              <w:fldChar w:fldCharType="separate"/>
            </w:r>
            <w:r>
              <w:rPr>
                <w:noProof/>
                <w:webHidden/>
              </w:rPr>
              <w:t>33</w:t>
            </w:r>
            <w:r>
              <w:rPr>
                <w:noProof/>
                <w:webHidden/>
              </w:rPr>
              <w:fldChar w:fldCharType="end"/>
            </w:r>
          </w:hyperlink>
        </w:p>
        <w:p w14:paraId="26F8EE4E" w14:textId="35D11763"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51" w:history="1">
            <w:r w:rsidRPr="001A2BDC">
              <w:rPr>
                <w:rStyle w:val="Hyperlink"/>
                <w:noProof/>
              </w:rPr>
              <w:t>Language That Erases Tradeoffs</w:t>
            </w:r>
            <w:r>
              <w:rPr>
                <w:noProof/>
                <w:webHidden/>
              </w:rPr>
              <w:tab/>
            </w:r>
            <w:r>
              <w:rPr>
                <w:noProof/>
                <w:webHidden/>
              </w:rPr>
              <w:fldChar w:fldCharType="begin"/>
            </w:r>
            <w:r>
              <w:rPr>
                <w:noProof/>
                <w:webHidden/>
              </w:rPr>
              <w:instrText xml:space="preserve"> PAGEREF _Toc227410651 \h </w:instrText>
            </w:r>
            <w:r>
              <w:rPr>
                <w:noProof/>
                <w:webHidden/>
              </w:rPr>
            </w:r>
            <w:r>
              <w:rPr>
                <w:noProof/>
                <w:webHidden/>
              </w:rPr>
              <w:fldChar w:fldCharType="separate"/>
            </w:r>
            <w:r>
              <w:rPr>
                <w:noProof/>
                <w:webHidden/>
              </w:rPr>
              <w:t>34</w:t>
            </w:r>
            <w:r>
              <w:rPr>
                <w:noProof/>
                <w:webHidden/>
              </w:rPr>
              <w:fldChar w:fldCharType="end"/>
            </w:r>
          </w:hyperlink>
        </w:p>
        <w:p w14:paraId="36DAFB3B" w14:textId="59ACCB4C"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52" w:history="1">
            <w:r w:rsidRPr="001A2BDC">
              <w:rPr>
                <w:rStyle w:val="Hyperlink"/>
                <w:noProof/>
              </w:rPr>
              <w:t>Why Reality Feels Unfair</w:t>
            </w:r>
            <w:r>
              <w:rPr>
                <w:noProof/>
                <w:webHidden/>
              </w:rPr>
              <w:tab/>
            </w:r>
            <w:r>
              <w:rPr>
                <w:noProof/>
                <w:webHidden/>
              </w:rPr>
              <w:fldChar w:fldCharType="begin"/>
            </w:r>
            <w:r>
              <w:rPr>
                <w:noProof/>
                <w:webHidden/>
              </w:rPr>
              <w:instrText xml:space="preserve"> PAGEREF _Toc227410652 \h </w:instrText>
            </w:r>
            <w:r>
              <w:rPr>
                <w:noProof/>
                <w:webHidden/>
              </w:rPr>
            </w:r>
            <w:r>
              <w:rPr>
                <w:noProof/>
                <w:webHidden/>
              </w:rPr>
              <w:fldChar w:fldCharType="separate"/>
            </w:r>
            <w:r>
              <w:rPr>
                <w:noProof/>
                <w:webHidden/>
              </w:rPr>
              <w:t>36</w:t>
            </w:r>
            <w:r>
              <w:rPr>
                <w:noProof/>
                <w:webHidden/>
              </w:rPr>
              <w:fldChar w:fldCharType="end"/>
            </w:r>
          </w:hyperlink>
        </w:p>
        <w:p w14:paraId="09E4D88F" w14:textId="7DBADFF8"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653" w:history="1">
            <w:r w:rsidRPr="001A2BDC">
              <w:rPr>
                <w:rStyle w:val="Hyperlink"/>
                <w:noProof/>
              </w:rPr>
              <w:t>No One Would Do That</w:t>
            </w:r>
            <w:r>
              <w:rPr>
                <w:noProof/>
                <w:webHidden/>
              </w:rPr>
              <w:tab/>
            </w:r>
            <w:r>
              <w:rPr>
                <w:noProof/>
                <w:webHidden/>
              </w:rPr>
              <w:fldChar w:fldCharType="begin"/>
            </w:r>
            <w:r>
              <w:rPr>
                <w:noProof/>
                <w:webHidden/>
              </w:rPr>
              <w:instrText xml:space="preserve"> PAGEREF _Toc227410653 \h </w:instrText>
            </w:r>
            <w:r>
              <w:rPr>
                <w:noProof/>
                <w:webHidden/>
              </w:rPr>
            </w:r>
            <w:r>
              <w:rPr>
                <w:noProof/>
                <w:webHidden/>
              </w:rPr>
              <w:fldChar w:fldCharType="separate"/>
            </w:r>
            <w:r>
              <w:rPr>
                <w:noProof/>
                <w:webHidden/>
              </w:rPr>
              <w:t>40</w:t>
            </w:r>
            <w:r>
              <w:rPr>
                <w:noProof/>
                <w:webHidden/>
              </w:rPr>
              <w:fldChar w:fldCharType="end"/>
            </w:r>
          </w:hyperlink>
        </w:p>
        <w:p w14:paraId="2B549C6C" w14:textId="7CE9B9F0"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54" w:history="1">
            <w:r w:rsidRPr="001A2BDC">
              <w:rPr>
                <w:rStyle w:val="Hyperlink"/>
                <w:noProof/>
              </w:rPr>
              <w:t>The Refusal to Expect Behavior</w:t>
            </w:r>
            <w:r>
              <w:rPr>
                <w:noProof/>
                <w:webHidden/>
              </w:rPr>
              <w:tab/>
            </w:r>
            <w:r>
              <w:rPr>
                <w:noProof/>
                <w:webHidden/>
              </w:rPr>
              <w:fldChar w:fldCharType="begin"/>
            </w:r>
            <w:r>
              <w:rPr>
                <w:noProof/>
                <w:webHidden/>
              </w:rPr>
              <w:instrText xml:space="preserve"> PAGEREF _Toc227410654 \h </w:instrText>
            </w:r>
            <w:r>
              <w:rPr>
                <w:noProof/>
                <w:webHidden/>
              </w:rPr>
            </w:r>
            <w:r>
              <w:rPr>
                <w:noProof/>
                <w:webHidden/>
              </w:rPr>
              <w:fldChar w:fldCharType="separate"/>
            </w:r>
            <w:r>
              <w:rPr>
                <w:noProof/>
                <w:webHidden/>
              </w:rPr>
              <w:t>41</w:t>
            </w:r>
            <w:r>
              <w:rPr>
                <w:noProof/>
                <w:webHidden/>
              </w:rPr>
              <w:fldChar w:fldCharType="end"/>
            </w:r>
          </w:hyperlink>
        </w:p>
        <w:p w14:paraId="6801B718" w14:textId="68256FF8"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55" w:history="1">
            <w:r w:rsidRPr="001A2BDC">
              <w:rPr>
                <w:rStyle w:val="Hyperlink"/>
                <w:noProof/>
              </w:rPr>
              <w:t>Moral Assumptions as Design</w:t>
            </w:r>
            <w:r>
              <w:rPr>
                <w:noProof/>
                <w:webHidden/>
              </w:rPr>
              <w:tab/>
            </w:r>
            <w:r>
              <w:rPr>
                <w:noProof/>
                <w:webHidden/>
              </w:rPr>
              <w:fldChar w:fldCharType="begin"/>
            </w:r>
            <w:r>
              <w:rPr>
                <w:noProof/>
                <w:webHidden/>
              </w:rPr>
              <w:instrText xml:space="preserve"> PAGEREF _Toc227410655 \h </w:instrText>
            </w:r>
            <w:r>
              <w:rPr>
                <w:noProof/>
                <w:webHidden/>
              </w:rPr>
            </w:r>
            <w:r>
              <w:rPr>
                <w:noProof/>
                <w:webHidden/>
              </w:rPr>
              <w:fldChar w:fldCharType="separate"/>
            </w:r>
            <w:r>
              <w:rPr>
                <w:noProof/>
                <w:webHidden/>
              </w:rPr>
              <w:t>44</w:t>
            </w:r>
            <w:r>
              <w:rPr>
                <w:noProof/>
                <w:webHidden/>
              </w:rPr>
              <w:fldChar w:fldCharType="end"/>
            </w:r>
          </w:hyperlink>
        </w:p>
        <w:p w14:paraId="24DA0816" w14:textId="2335F436"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56" w:history="1">
            <w:r w:rsidRPr="001A2BDC">
              <w:rPr>
                <w:rStyle w:val="Hyperlink"/>
                <w:noProof/>
              </w:rPr>
              <w:t>When Predictions Come True</w:t>
            </w:r>
            <w:r>
              <w:rPr>
                <w:noProof/>
                <w:webHidden/>
              </w:rPr>
              <w:tab/>
            </w:r>
            <w:r>
              <w:rPr>
                <w:noProof/>
                <w:webHidden/>
              </w:rPr>
              <w:fldChar w:fldCharType="begin"/>
            </w:r>
            <w:r>
              <w:rPr>
                <w:noProof/>
                <w:webHidden/>
              </w:rPr>
              <w:instrText xml:space="preserve"> PAGEREF _Toc227410656 \h </w:instrText>
            </w:r>
            <w:r>
              <w:rPr>
                <w:noProof/>
                <w:webHidden/>
              </w:rPr>
            </w:r>
            <w:r>
              <w:rPr>
                <w:noProof/>
                <w:webHidden/>
              </w:rPr>
              <w:fldChar w:fldCharType="separate"/>
            </w:r>
            <w:r>
              <w:rPr>
                <w:noProof/>
                <w:webHidden/>
              </w:rPr>
              <w:t>46</w:t>
            </w:r>
            <w:r>
              <w:rPr>
                <w:noProof/>
                <w:webHidden/>
              </w:rPr>
              <w:fldChar w:fldCharType="end"/>
            </w:r>
          </w:hyperlink>
        </w:p>
        <w:p w14:paraId="5B74EAD7" w14:textId="12C44968"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57" w:history="1">
            <w:r w:rsidRPr="001A2BDC">
              <w:rPr>
                <w:rStyle w:val="Hyperlink"/>
                <w:noProof/>
              </w:rPr>
              <w:t>Learning Without Blame</w:t>
            </w:r>
            <w:r>
              <w:rPr>
                <w:noProof/>
                <w:webHidden/>
              </w:rPr>
              <w:tab/>
            </w:r>
            <w:r>
              <w:rPr>
                <w:noProof/>
                <w:webHidden/>
              </w:rPr>
              <w:fldChar w:fldCharType="begin"/>
            </w:r>
            <w:r>
              <w:rPr>
                <w:noProof/>
                <w:webHidden/>
              </w:rPr>
              <w:instrText xml:space="preserve"> PAGEREF _Toc227410657 \h </w:instrText>
            </w:r>
            <w:r>
              <w:rPr>
                <w:noProof/>
                <w:webHidden/>
              </w:rPr>
            </w:r>
            <w:r>
              <w:rPr>
                <w:noProof/>
                <w:webHidden/>
              </w:rPr>
              <w:fldChar w:fldCharType="separate"/>
            </w:r>
            <w:r>
              <w:rPr>
                <w:noProof/>
                <w:webHidden/>
              </w:rPr>
              <w:t>48</w:t>
            </w:r>
            <w:r>
              <w:rPr>
                <w:noProof/>
                <w:webHidden/>
              </w:rPr>
              <w:fldChar w:fldCharType="end"/>
            </w:r>
          </w:hyperlink>
        </w:p>
        <w:p w14:paraId="2F621272" w14:textId="43161895"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658" w:history="1">
            <w:r w:rsidRPr="001A2BDC">
              <w:rPr>
                <w:rStyle w:val="Hyperlink"/>
                <w:noProof/>
              </w:rPr>
              <w:t>Good Intentions Are Not a System</w:t>
            </w:r>
            <w:r>
              <w:rPr>
                <w:noProof/>
                <w:webHidden/>
              </w:rPr>
              <w:tab/>
            </w:r>
            <w:r>
              <w:rPr>
                <w:noProof/>
                <w:webHidden/>
              </w:rPr>
              <w:fldChar w:fldCharType="begin"/>
            </w:r>
            <w:r>
              <w:rPr>
                <w:noProof/>
                <w:webHidden/>
              </w:rPr>
              <w:instrText xml:space="preserve"> PAGEREF _Toc227410658 \h </w:instrText>
            </w:r>
            <w:r>
              <w:rPr>
                <w:noProof/>
                <w:webHidden/>
              </w:rPr>
            </w:r>
            <w:r>
              <w:rPr>
                <w:noProof/>
                <w:webHidden/>
              </w:rPr>
              <w:fldChar w:fldCharType="separate"/>
            </w:r>
            <w:r>
              <w:rPr>
                <w:noProof/>
                <w:webHidden/>
              </w:rPr>
              <w:t>52</w:t>
            </w:r>
            <w:r>
              <w:rPr>
                <w:noProof/>
                <w:webHidden/>
              </w:rPr>
              <w:fldChar w:fldCharType="end"/>
            </w:r>
          </w:hyperlink>
        </w:p>
        <w:p w14:paraId="606A7F2C" w14:textId="122B7E9E"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59" w:history="1">
            <w:r w:rsidRPr="001A2BDC">
              <w:rPr>
                <w:rStyle w:val="Hyperlink"/>
                <w:noProof/>
              </w:rPr>
              <w:t>Why Goodwill Works Only Up Close</w:t>
            </w:r>
            <w:r>
              <w:rPr>
                <w:noProof/>
                <w:webHidden/>
              </w:rPr>
              <w:tab/>
            </w:r>
            <w:r>
              <w:rPr>
                <w:noProof/>
                <w:webHidden/>
              </w:rPr>
              <w:fldChar w:fldCharType="begin"/>
            </w:r>
            <w:r>
              <w:rPr>
                <w:noProof/>
                <w:webHidden/>
              </w:rPr>
              <w:instrText xml:space="preserve"> PAGEREF _Toc227410659 \h </w:instrText>
            </w:r>
            <w:r>
              <w:rPr>
                <w:noProof/>
                <w:webHidden/>
              </w:rPr>
            </w:r>
            <w:r>
              <w:rPr>
                <w:noProof/>
                <w:webHidden/>
              </w:rPr>
              <w:fldChar w:fldCharType="separate"/>
            </w:r>
            <w:r>
              <w:rPr>
                <w:noProof/>
                <w:webHidden/>
              </w:rPr>
              <w:t>53</w:t>
            </w:r>
            <w:r>
              <w:rPr>
                <w:noProof/>
                <w:webHidden/>
              </w:rPr>
              <w:fldChar w:fldCharType="end"/>
            </w:r>
          </w:hyperlink>
        </w:p>
        <w:p w14:paraId="709D9A11" w14:textId="3EBD3D76"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60" w:history="1">
            <w:r w:rsidRPr="001A2BDC">
              <w:rPr>
                <w:rStyle w:val="Hyperlink"/>
                <w:noProof/>
              </w:rPr>
              <w:t>Coordination Without Mechanism</w:t>
            </w:r>
            <w:r>
              <w:rPr>
                <w:noProof/>
                <w:webHidden/>
              </w:rPr>
              <w:tab/>
            </w:r>
            <w:r>
              <w:rPr>
                <w:noProof/>
                <w:webHidden/>
              </w:rPr>
              <w:fldChar w:fldCharType="begin"/>
            </w:r>
            <w:r>
              <w:rPr>
                <w:noProof/>
                <w:webHidden/>
              </w:rPr>
              <w:instrText xml:space="preserve"> PAGEREF _Toc227410660 \h </w:instrText>
            </w:r>
            <w:r>
              <w:rPr>
                <w:noProof/>
                <w:webHidden/>
              </w:rPr>
            </w:r>
            <w:r>
              <w:rPr>
                <w:noProof/>
                <w:webHidden/>
              </w:rPr>
              <w:fldChar w:fldCharType="separate"/>
            </w:r>
            <w:r>
              <w:rPr>
                <w:noProof/>
                <w:webHidden/>
              </w:rPr>
              <w:t>55</w:t>
            </w:r>
            <w:r>
              <w:rPr>
                <w:noProof/>
                <w:webHidden/>
              </w:rPr>
              <w:fldChar w:fldCharType="end"/>
            </w:r>
          </w:hyperlink>
        </w:p>
        <w:p w14:paraId="692C6B45" w14:textId="7AC7EA82"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61" w:history="1">
            <w:r w:rsidRPr="001A2BDC">
              <w:rPr>
                <w:rStyle w:val="Hyperlink"/>
                <w:noProof/>
              </w:rPr>
              <w:t>Intentions Without Enforcement</w:t>
            </w:r>
            <w:r>
              <w:rPr>
                <w:noProof/>
                <w:webHidden/>
              </w:rPr>
              <w:tab/>
            </w:r>
            <w:r>
              <w:rPr>
                <w:noProof/>
                <w:webHidden/>
              </w:rPr>
              <w:fldChar w:fldCharType="begin"/>
            </w:r>
            <w:r>
              <w:rPr>
                <w:noProof/>
                <w:webHidden/>
              </w:rPr>
              <w:instrText xml:space="preserve"> PAGEREF _Toc227410661 \h </w:instrText>
            </w:r>
            <w:r>
              <w:rPr>
                <w:noProof/>
                <w:webHidden/>
              </w:rPr>
            </w:r>
            <w:r>
              <w:rPr>
                <w:noProof/>
                <w:webHidden/>
              </w:rPr>
              <w:fldChar w:fldCharType="separate"/>
            </w:r>
            <w:r>
              <w:rPr>
                <w:noProof/>
                <w:webHidden/>
              </w:rPr>
              <w:t>58</w:t>
            </w:r>
            <w:r>
              <w:rPr>
                <w:noProof/>
                <w:webHidden/>
              </w:rPr>
              <w:fldChar w:fldCharType="end"/>
            </w:r>
          </w:hyperlink>
        </w:p>
        <w:p w14:paraId="681C21E3" w14:textId="59B45B6F"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62" w:history="1">
            <w:r w:rsidRPr="001A2BDC">
              <w:rPr>
                <w:rStyle w:val="Hyperlink"/>
                <w:noProof/>
              </w:rPr>
              <w:t>Responsibility Dissolves</w:t>
            </w:r>
            <w:r>
              <w:rPr>
                <w:noProof/>
                <w:webHidden/>
              </w:rPr>
              <w:tab/>
            </w:r>
            <w:r>
              <w:rPr>
                <w:noProof/>
                <w:webHidden/>
              </w:rPr>
              <w:fldChar w:fldCharType="begin"/>
            </w:r>
            <w:r>
              <w:rPr>
                <w:noProof/>
                <w:webHidden/>
              </w:rPr>
              <w:instrText xml:space="preserve"> PAGEREF _Toc227410662 \h </w:instrText>
            </w:r>
            <w:r>
              <w:rPr>
                <w:noProof/>
                <w:webHidden/>
              </w:rPr>
            </w:r>
            <w:r>
              <w:rPr>
                <w:noProof/>
                <w:webHidden/>
              </w:rPr>
              <w:fldChar w:fldCharType="separate"/>
            </w:r>
            <w:r>
              <w:rPr>
                <w:noProof/>
                <w:webHidden/>
              </w:rPr>
              <w:t>61</w:t>
            </w:r>
            <w:r>
              <w:rPr>
                <w:noProof/>
                <w:webHidden/>
              </w:rPr>
              <w:fldChar w:fldCharType="end"/>
            </w:r>
          </w:hyperlink>
        </w:p>
        <w:p w14:paraId="1A4CE9EB" w14:textId="53E10F0D"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63" w:history="1">
            <w:r w:rsidRPr="001A2BDC">
              <w:rPr>
                <w:rStyle w:val="Hyperlink"/>
                <w:noProof/>
              </w:rPr>
              <w:t>What Would Have to Be True</w:t>
            </w:r>
            <w:r>
              <w:rPr>
                <w:noProof/>
                <w:webHidden/>
              </w:rPr>
              <w:tab/>
            </w:r>
            <w:r>
              <w:rPr>
                <w:noProof/>
                <w:webHidden/>
              </w:rPr>
              <w:fldChar w:fldCharType="begin"/>
            </w:r>
            <w:r>
              <w:rPr>
                <w:noProof/>
                <w:webHidden/>
              </w:rPr>
              <w:instrText xml:space="preserve"> PAGEREF _Toc227410663 \h </w:instrText>
            </w:r>
            <w:r>
              <w:rPr>
                <w:noProof/>
                <w:webHidden/>
              </w:rPr>
            </w:r>
            <w:r>
              <w:rPr>
                <w:noProof/>
                <w:webHidden/>
              </w:rPr>
              <w:fldChar w:fldCharType="separate"/>
            </w:r>
            <w:r>
              <w:rPr>
                <w:noProof/>
                <w:webHidden/>
              </w:rPr>
              <w:t>64</w:t>
            </w:r>
            <w:r>
              <w:rPr>
                <w:noProof/>
                <w:webHidden/>
              </w:rPr>
              <w:fldChar w:fldCharType="end"/>
            </w:r>
          </w:hyperlink>
        </w:p>
        <w:p w14:paraId="13B697CB" w14:textId="5AAE59A6"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664" w:history="1">
            <w:r w:rsidRPr="001A2BDC">
              <w:rPr>
                <w:rStyle w:val="Hyperlink"/>
                <w:noProof/>
              </w:rPr>
              <w:t>The Fantasy of Consequence-Free Policy</w:t>
            </w:r>
            <w:r>
              <w:rPr>
                <w:noProof/>
                <w:webHidden/>
              </w:rPr>
              <w:tab/>
            </w:r>
            <w:r>
              <w:rPr>
                <w:noProof/>
                <w:webHidden/>
              </w:rPr>
              <w:fldChar w:fldCharType="begin"/>
            </w:r>
            <w:r>
              <w:rPr>
                <w:noProof/>
                <w:webHidden/>
              </w:rPr>
              <w:instrText xml:space="preserve"> PAGEREF _Toc227410664 \h </w:instrText>
            </w:r>
            <w:r>
              <w:rPr>
                <w:noProof/>
                <w:webHidden/>
              </w:rPr>
            </w:r>
            <w:r>
              <w:rPr>
                <w:noProof/>
                <w:webHidden/>
              </w:rPr>
              <w:fldChar w:fldCharType="separate"/>
            </w:r>
            <w:r>
              <w:rPr>
                <w:noProof/>
                <w:webHidden/>
              </w:rPr>
              <w:t>66</w:t>
            </w:r>
            <w:r>
              <w:rPr>
                <w:noProof/>
                <w:webHidden/>
              </w:rPr>
              <w:fldChar w:fldCharType="end"/>
            </w:r>
          </w:hyperlink>
        </w:p>
        <w:p w14:paraId="5EE9FBCB" w14:textId="66D8A3A0"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65" w:history="1">
            <w:r w:rsidRPr="001A2BDC">
              <w:rPr>
                <w:rStyle w:val="Hyperlink"/>
                <w:noProof/>
              </w:rPr>
              <w:t>Judging Policies at Launch</w:t>
            </w:r>
            <w:r>
              <w:rPr>
                <w:noProof/>
                <w:webHidden/>
              </w:rPr>
              <w:tab/>
            </w:r>
            <w:r>
              <w:rPr>
                <w:noProof/>
                <w:webHidden/>
              </w:rPr>
              <w:fldChar w:fldCharType="begin"/>
            </w:r>
            <w:r>
              <w:rPr>
                <w:noProof/>
                <w:webHidden/>
              </w:rPr>
              <w:instrText xml:space="preserve"> PAGEREF _Toc227410665 \h </w:instrText>
            </w:r>
            <w:r>
              <w:rPr>
                <w:noProof/>
                <w:webHidden/>
              </w:rPr>
            </w:r>
            <w:r>
              <w:rPr>
                <w:noProof/>
                <w:webHidden/>
              </w:rPr>
              <w:fldChar w:fldCharType="separate"/>
            </w:r>
            <w:r>
              <w:rPr>
                <w:noProof/>
                <w:webHidden/>
              </w:rPr>
              <w:t>68</w:t>
            </w:r>
            <w:r>
              <w:rPr>
                <w:noProof/>
                <w:webHidden/>
              </w:rPr>
              <w:fldChar w:fldCharType="end"/>
            </w:r>
          </w:hyperlink>
        </w:p>
        <w:p w14:paraId="516D8BAA" w14:textId="3C8CF4D1"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66" w:history="1">
            <w:r w:rsidRPr="001A2BDC">
              <w:rPr>
                <w:rStyle w:val="Hyperlink"/>
                <w:noProof/>
              </w:rPr>
              <w:t>Why Adaptation Looks Like Sabotage</w:t>
            </w:r>
            <w:r>
              <w:rPr>
                <w:noProof/>
                <w:webHidden/>
              </w:rPr>
              <w:tab/>
            </w:r>
            <w:r>
              <w:rPr>
                <w:noProof/>
                <w:webHidden/>
              </w:rPr>
              <w:fldChar w:fldCharType="begin"/>
            </w:r>
            <w:r>
              <w:rPr>
                <w:noProof/>
                <w:webHidden/>
              </w:rPr>
              <w:instrText xml:space="preserve"> PAGEREF _Toc227410666 \h </w:instrText>
            </w:r>
            <w:r>
              <w:rPr>
                <w:noProof/>
                <w:webHidden/>
              </w:rPr>
            </w:r>
            <w:r>
              <w:rPr>
                <w:noProof/>
                <w:webHidden/>
              </w:rPr>
              <w:fldChar w:fldCharType="separate"/>
            </w:r>
            <w:r>
              <w:rPr>
                <w:noProof/>
                <w:webHidden/>
              </w:rPr>
              <w:t>70</w:t>
            </w:r>
            <w:r>
              <w:rPr>
                <w:noProof/>
                <w:webHidden/>
              </w:rPr>
              <w:fldChar w:fldCharType="end"/>
            </w:r>
          </w:hyperlink>
        </w:p>
        <w:p w14:paraId="7293C854" w14:textId="2E7BAE7B"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67" w:history="1">
            <w:r w:rsidRPr="001A2BDC">
              <w:rPr>
                <w:rStyle w:val="Hyperlink"/>
                <w:noProof/>
              </w:rPr>
              <w:t>When Outcomes Disappoint</w:t>
            </w:r>
            <w:r>
              <w:rPr>
                <w:noProof/>
                <w:webHidden/>
              </w:rPr>
              <w:tab/>
            </w:r>
            <w:r>
              <w:rPr>
                <w:noProof/>
                <w:webHidden/>
              </w:rPr>
              <w:fldChar w:fldCharType="begin"/>
            </w:r>
            <w:r>
              <w:rPr>
                <w:noProof/>
                <w:webHidden/>
              </w:rPr>
              <w:instrText xml:space="preserve"> PAGEREF _Toc227410667 \h </w:instrText>
            </w:r>
            <w:r>
              <w:rPr>
                <w:noProof/>
                <w:webHidden/>
              </w:rPr>
            </w:r>
            <w:r>
              <w:rPr>
                <w:noProof/>
                <w:webHidden/>
              </w:rPr>
              <w:fldChar w:fldCharType="separate"/>
            </w:r>
            <w:r>
              <w:rPr>
                <w:noProof/>
                <w:webHidden/>
              </w:rPr>
              <w:t>76</w:t>
            </w:r>
            <w:r>
              <w:rPr>
                <w:noProof/>
                <w:webHidden/>
              </w:rPr>
              <w:fldChar w:fldCharType="end"/>
            </w:r>
          </w:hyperlink>
        </w:p>
        <w:p w14:paraId="2A793AF9" w14:textId="3994B9CD"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68" w:history="1">
            <w:r w:rsidRPr="001A2BDC">
              <w:rPr>
                <w:rStyle w:val="Hyperlink"/>
                <w:noProof/>
              </w:rPr>
              <w:t>The Insult of Mentioning Incentives</w:t>
            </w:r>
            <w:r>
              <w:rPr>
                <w:noProof/>
                <w:webHidden/>
              </w:rPr>
              <w:tab/>
            </w:r>
            <w:r>
              <w:rPr>
                <w:noProof/>
                <w:webHidden/>
              </w:rPr>
              <w:fldChar w:fldCharType="begin"/>
            </w:r>
            <w:r>
              <w:rPr>
                <w:noProof/>
                <w:webHidden/>
              </w:rPr>
              <w:instrText xml:space="preserve"> PAGEREF _Toc227410668 \h </w:instrText>
            </w:r>
            <w:r>
              <w:rPr>
                <w:noProof/>
                <w:webHidden/>
              </w:rPr>
            </w:r>
            <w:r>
              <w:rPr>
                <w:noProof/>
                <w:webHidden/>
              </w:rPr>
              <w:fldChar w:fldCharType="separate"/>
            </w:r>
            <w:r>
              <w:rPr>
                <w:noProof/>
                <w:webHidden/>
              </w:rPr>
              <w:t>77</w:t>
            </w:r>
            <w:r>
              <w:rPr>
                <w:noProof/>
                <w:webHidden/>
              </w:rPr>
              <w:fldChar w:fldCharType="end"/>
            </w:r>
          </w:hyperlink>
        </w:p>
        <w:p w14:paraId="07D83110" w14:textId="7BDECF20" w:rsidR="00FF32C8" w:rsidRDefault="00FF32C8">
          <w:pPr>
            <w:pStyle w:val="TOC1"/>
            <w:tabs>
              <w:tab w:val="right" w:leader="dot" w:pos="9350"/>
            </w:tabs>
            <w:rPr>
              <w:rFonts w:eastAsiaTheme="minorEastAsia" w:cstheme="minorBidi"/>
              <w:b w:val="0"/>
              <w:bCs w:val="0"/>
              <w:caps w:val="0"/>
              <w:noProof/>
              <w:kern w:val="2"/>
              <w:sz w:val="24"/>
              <w:szCs w:val="24"/>
              <w14:ligatures w14:val="standardContextual"/>
            </w:rPr>
          </w:pPr>
          <w:hyperlink w:anchor="_Toc227410669" w:history="1">
            <w:r w:rsidRPr="001A2BDC">
              <w:rPr>
                <w:rStyle w:val="Hyperlink"/>
                <w:noProof/>
              </w:rPr>
              <w:t>PART II: Why the Illusion Persists</w:t>
            </w:r>
            <w:r>
              <w:rPr>
                <w:noProof/>
                <w:webHidden/>
              </w:rPr>
              <w:tab/>
            </w:r>
            <w:r>
              <w:rPr>
                <w:noProof/>
                <w:webHidden/>
              </w:rPr>
              <w:fldChar w:fldCharType="begin"/>
            </w:r>
            <w:r>
              <w:rPr>
                <w:noProof/>
                <w:webHidden/>
              </w:rPr>
              <w:instrText xml:space="preserve"> PAGEREF _Toc227410669 \h </w:instrText>
            </w:r>
            <w:r>
              <w:rPr>
                <w:noProof/>
                <w:webHidden/>
              </w:rPr>
            </w:r>
            <w:r>
              <w:rPr>
                <w:noProof/>
                <w:webHidden/>
              </w:rPr>
              <w:fldChar w:fldCharType="separate"/>
            </w:r>
            <w:r>
              <w:rPr>
                <w:noProof/>
                <w:webHidden/>
              </w:rPr>
              <w:t>82</w:t>
            </w:r>
            <w:r>
              <w:rPr>
                <w:noProof/>
                <w:webHidden/>
              </w:rPr>
              <w:fldChar w:fldCharType="end"/>
            </w:r>
          </w:hyperlink>
        </w:p>
        <w:p w14:paraId="0BDED4AF" w14:textId="479150DD"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670" w:history="1">
            <w:r w:rsidRPr="001A2BDC">
              <w:rPr>
                <w:rStyle w:val="Hyperlink"/>
                <w:noProof/>
              </w:rPr>
              <w:t>Why Voters Hate Economics</w:t>
            </w:r>
            <w:r>
              <w:rPr>
                <w:noProof/>
                <w:webHidden/>
              </w:rPr>
              <w:tab/>
            </w:r>
            <w:r>
              <w:rPr>
                <w:noProof/>
                <w:webHidden/>
              </w:rPr>
              <w:fldChar w:fldCharType="begin"/>
            </w:r>
            <w:r>
              <w:rPr>
                <w:noProof/>
                <w:webHidden/>
              </w:rPr>
              <w:instrText xml:space="preserve"> PAGEREF _Toc227410670 \h </w:instrText>
            </w:r>
            <w:r>
              <w:rPr>
                <w:noProof/>
                <w:webHidden/>
              </w:rPr>
            </w:r>
            <w:r>
              <w:rPr>
                <w:noProof/>
                <w:webHidden/>
              </w:rPr>
              <w:fldChar w:fldCharType="separate"/>
            </w:r>
            <w:r>
              <w:rPr>
                <w:noProof/>
                <w:webHidden/>
              </w:rPr>
              <w:t>84</w:t>
            </w:r>
            <w:r>
              <w:rPr>
                <w:noProof/>
                <w:webHidden/>
              </w:rPr>
              <w:fldChar w:fldCharType="end"/>
            </w:r>
          </w:hyperlink>
        </w:p>
        <w:p w14:paraId="7E91F4F1" w14:textId="78631248"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71" w:history="1">
            <w:r w:rsidRPr="001A2BDC">
              <w:rPr>
                <w:rStyle w:val="Hyperlink"/>
                <w:noProof/>
              </w:rPr>
              <w:t>Economics Refuses to Flatter</w:t>
            </w:r>
            <w:r>
              <w:rPr>
                <w:noProof/>
                <w:webHidden/>
              </w:rPr>
              <w:tab/>
            </w:r>
            <w:r>
              <w:rPr>
                <w:noProof/>
                <w:webHidden/>
              </w:rPr>
              <w:fldChar w:fldCharType="begin"/>
            </w:r>
            <w:r>
              <w:rPr>
                <w:noProof/>
                <w:webHidden/>
              </w:rPr>
              <w:instrText xml:space="preserve"> PAGEREF _Toc227410671 \h </w:instrText>
            </w:r>
            <w:r>
              <w:rPr>
                <w:noProof/>
                <w:webHidden/>
              </w:rPr>
            </w:r>
            <w:r>
              <w:rPr>
                <w:noProof/>
                <w:webHidden/>
              </w:rPr>
              <w:fldChar w:fldCharType="separate"/>
            </w:r>
            <w:r>
              <w:rPr>
                <w:noProof/>
                <w:webHidden/>
              </w:rPr>
              <w:t>85</w:t>
            </w:r>
            <w:r>
              <w:rPr>
                <w:noProof/>
                <w:webHidden/>
              </w:rPr>
              <w:fldChar w:fldCharType="end"/>
            </w:r>
          </w:hyperlink>
        </w:p>
        <w:p w14:paraId="406ECAAB" w14:textId="13F07209"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72" w:history="1">
            <w:r w:rsidRPr="001A2BDC">
              <w:rPr>
                <w:rStyle w:val="Hyperlink"/>
                <w:noProof/>
              </w:rPr>
              <w:t>Constraints Feel Like Disrespect</w:t>
            </w:r>
            <w:r>
              <w:rPr>
                <w:noProof/>
                <w:webHidden/>
              </w:rPr>
              <w:tab/>
            </w:r>
            <w:r>
              <w:rPr>
                <w:noProof/>
                <w:webHidden/>
              </w:rPr>
              <w:fldChar w:fldCharType="begin"/>
            </w:r>
            <w:r>
              <w:rPr>
                <w:noProof/>
                <w:webHidden/>
              </w:rPr>
              <w:instrText xml:space="preserve"> PAGEREF _Toc227410672 \h </w:instrText>
            </w:r>
            <w:r>
              <w:rPr>
                <w:noProof/>
                <w:webHidden/>
              </w:rPr>
            </w:r>
            <w:r>
              <w:rPr>
                <w:noProof/>
                <w:webHidden/>
              </w:rPr>
              <w:fldChar w:fldCharType="separate"/>
            </w:r>
            <w:r>
              <w:rPr>
                <w:noProof/>
                <w:webHidden/>
              </w:rPr>
              <w:t>88</w:t>
            </w:r>
            <w:r>
              <w:rPr>
                <w:noProof/>
                <w:webHidden/>
              </w:rPr>
              <w:fldChar w:fldCharType="end"/>
            </w:r>
          </w:hyperlink>
        </w:p>
        <w:p w14:paraId="7561EB8B" w14:textId="3FCB65E0"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73" w:history="1">
            <w:r w:rsidRPr="001A2BDC">
              <w:rPr>
                <w:rStyle w:val="Hyperlink"/>
                <w:noProof/>
              </w:rPr>
              <w:t>Certainty Beats Honesty</w:t>
            </w:r>
            <w:r>
              <w:rPr>
                <w:noProof/>
                <w:webHidden/>
              </w:rPr>
              <w:tab/>
            </w:r>
            <w:r>
              <w:rPr>
                <w:noProof/>
                <w:webHidden/>
              </w:rPr>
              <w:fldChar w:fldCharType="begin"/>
            </w:r>
            <w:r>
              <w:rPr>
                <w:noProof/>
                <w:webHidden/>
              </w:rPr>
              <w:instrText xml:space="preserve"> PAGEREF _Toc227410673 \h </w:instrText>
            </w:r>
            <w:r>
              <w:rPr>
                <w:noProof/>
                <w:webHidden/>
              </w:rPr>
            </w:r>
            <w:r>
              <w:rPr>
                <w:noProof/>
                <w:webHidden/>
              </w:rPr>
              <w:fldChar w:fldCharType="separate"/>
            </w:r>
            <w:r>
              <w:rPr>
                <w:noProof/>
                <w:webHidden/>
              </w:rPr>
              <w:t>91</w:t>
            </w:r>
            <w:r>
              <w:rPr>
                <w:noProof/>
                <w:webHidden/>
              </w:rPr>
              <w:fldChar w:fldCharType="end"/>
            </w:r>
          </w:hyperlink>
        </w:p>
        <w:p w14:paraId="48962324" w14:textId="7C2B03B9"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74" w:history="1">
            <w:r w:rsidRPr="001A2BDC">
              <w:rPr>
                <w:rStyle w:val="Hyperlink"/>
                <w:noProof/>
              </w:rPr>
              <w:t>Hostility as Self-Protection</w:t>
            </w:r>
            <w:r>
              <w:rPr>
                <w:noProof/>
                <w:webHidden/>
              </w:rPr>
              <w:tab/>
            </w:r>
            <w:r>
              <w:rPr>
                <w:noProof/>
                <w:webHidden/>
              </w:rPr>
              <w:fldChar w:fldCharType="begin"/>
            </w:r>
            <w:r>
              <w:rPr>
                <w:noProof/>
                <w:webHidden/>
              </w:rPr>
              <w:instrText xml:space="preserve"> PAGEREF _Toc227410674 \h </w:instrText>
            </w:r>
            <w:r>
              <w:rPr>
                <w:noProof/>
                <w:webHidden/>
              </w:rPr>
            </w:r>
            <w:r>
              <w:rPr>
                <w:noProof/>
                <w:webHidden/>
              </w:rPr>
              <w:fldChar w:fldCharType="separate"/>
            </w:r>
            <w:r>
              <w:rPr>
                <w:noProof/>
                <w:webHidden/>
              </w:rPr>
              <w:t>94</w:t>
            </w:r>
            <w:r>
              <w:rPr>
                <w:noProof/>
                <w:webHidden/>
              </w:rPr>
              <w:fldChar w:fldCharType="end"/>
            </w:r>
          </w:hyperlink>
        </w:p>
        <w:p w14:paraId="42CEE86E" w14:textId="01069623"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75" w:history="1">
            <w:r w:rsidRPr="001A2BDC">
              <w:rPr>
                <w:rStyle w:val="Hyperlink"/>
                <w:noProof/>
              </w:rPr>
              <w:t>The Machinery of Simplification</w:t>
            </w:r>
            <w:r>
              <w:rPr>
                <w:noProof/>
                <w:webHidden/>
              </w:rPr>
              <w:tab/>
            </w:r>
            <w:r>
              <w:rPr>
                <w:noProof/>
                <w:webHidden/>
              </w:rPr>
              <w:fldChar w:fldCharType="begin"/>
            </w:r>
            <w:r>
              <w:rPr>
                <w:noProof/>
                <w:webHidden/>
              </w:rPr>
              <w:instrText xml:space="preserve"> PAGEREF _Toc227410675 \h </w:instrText>
            </w:r>
            <w:r>
              <w:rPr>
                <w:noProof/>
                <w:webHidden/>
              </w:rPr>
            </w:r>
            <w:r>
              <w:rPr>
                <w:noProof/>
                <w:webHidden/>
              </w:rPr>
              <w:fldChar w:fldCharType="separate"/>
            </w:r>
            <w:r>
              <w:rPr>
                <w:noProof/>
                <w:webHidden/>
              </w:rPr>
              <w:t>97</w:t>
            </w:r>
            <w:r>
              <w:rPr>
                <w:noProof/>
                <w:webHidden/>
              </w:rPr>
              <w:fldChar w:fldCharType="end"/>
            </w:r>
          </w:hyperlink>
        </w:p>
        <w:p w14:paraId="16B7A153" w14:textId="2DD98BB6"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76" w:history="1">
            <w:r w:rsidRPr="001A2BDC">
              <w:rPr>
                <w:rStyle w:val="Hyperlink"/>
                <w:noProof/>
              </w:rPr>
              <w:t>Seeing Through It</w:t>
            </w:r>
            <w:r>
              <w:rPr>
                <w:noProof/>
                <w:webHidden/>
              </w:rPr>
              <w:tab/>
            </w:r>
            <w:r>
              <w:rPr>
                <w:noProof/>
                <w:webHidden/>
              </w:rPr>
              <w:fldChar w:fldCharType="begin"/>
            </w:r>
            <w:r>
              <w:rPr>
                <w:noProof/>
                <w:webHidden/>
              </w:rPr>
              <w:instrText xml:space="preserve"> PAGEREF _Toc227410676 \h </w:instrText>
            </w:r>
            <w:r>
              <w:rPr>
                <w:noProof/>
                <w:webHidden/>
              </w:rPr>
            </w:r>
            <w:r>
              <w:rPr>
                <w:noProof/>
                <w:webHidden/>
              </w:rPr>
              <w:fldChar w:fldCharType="separate"/>
            </w:r>
            <w:r>
              <w:rPr>
                <w:noProof/>
                <w:webHidden/>
              </w:rPr>
              <w:t>101</w:t>
            </w:r>
            <w:r>
              <w:rPr>
                <w:noProof/>
                <w:webHidden/>
              </w:rPr>
              <w:fldChar w:fldCharType="end"/>
            </w:r>
          </w:hyperlink>
        </w:p>
        <w:p w14:paraId="1DB4AD12" w14:textId="3A9013EC"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677" w:history="1">
            <w:r w:rsidRPr="001A2BDC">
              <w:rPr>
                <w:rStyle w:val="Hyperlink"/>
                <w:noProof/>
              </w:rPr>
              <w:t>Why Everything Is "Underfunded"</w:t>
            </w:r>
            <w:r>
              <w:rPr>
                <w:noProof/>
                <w:webHidden/>
              </w:rPr>
              <w:tab/>
            </w:r>
            <w:r>
              <w:rPr>
                <w:noProof/>
                <w:webHidden/>
              </w:rPr>
              <w:fldChar w:fldCharType="begin"/>
            </w:r>
            <w:r>
              <w:rPr>
                <w:noProof/>
                <w:webHidden/>
              </w:rPr>
              <w:instrText xml:space="preserve"> PAGEREF _Toc227410677 \h </w:instrText>
            </w:r>
            <w:r>
              <w:rPr>
                <w:noProof/>
                <w:webHidden/>
              </w:rPr>
            </w:r>
            <w:r>
              <w:rPr>
                <w:noProof/>
                <w:webHidden/>
              </w:rPr>
              <w:fldChar w:fldCharType="separate"/>
            </w:r>
            <w:r>
              <w:rPr>
                <w:noProof/>
                <w:webHidden/>
              </w:rPr>
              <w:t>103</w:t>
            </w:r>
            <w:r>
              <w:rPr>
                <w:noProof/>
                <w:webHidden/>
              </w:rPr>
              <w:fldChar w:fldCharType="end"/>
            </w:r>
          </w:hyperlink>
        </w:p>
        <w:p w14:paraId="37603CB1" w14:textId="298983FE"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78" w:history="1">
            <w:r w:rsidRPr="001A2BDC">
              <w:rPr>
                <w:rStyle w:val="Hyperlink"/>
                <w:noProof/>
              </w:rPr>
              <w:t>The Default Diagnosis</w:t>
            </w:r>
            <w:r>
              <w:rPr>
                <w:noProof/>
                <w:webHidden/>
              </w:rPr>
              <w:tab/>
            </w:r>
            <w:r>
              <w:rPr>
                <w:noProof/>
                <w:webHidden/>
              </w:rPr>
              <w:fldChar w:fldCharType="begin"/>
            </w:r>
            <w:r>
              <w:rPr>
                <w:noProof/>
                <w:webHidden/>
              </w:rPr>
              <w:instrText xml:space="preserve"> PAGEREF _Toc227410678 \h </w:instrText>
            </w:r>
            <w:r>
              <w:rPr>
                <w:noProof/>
                <w:webHidden/>
              </w:rPr>
            </w:r>
            <w:r>
              <w:rPr>
                <w:noProof/>
                <w:webHidden/>
              </w:rPr>
              <w:fldChar w:fldCharType="separate"/>
            </w:r>
            <w:r>
              <w:rPr>
                <w:noProof/>
                <w:webHidden/>
              </w:rPr>
              <w:t>104</w:t>
            </w:r>
            <w:r>
              <w:rPr>
                <w:noProof/>
                <w:webHidden/>
              </w:rPr>
              <w:fldChar w:fldCharType="end"/>
            </w:r>
          </w:hyperlink>
        </w:p>
        <w:p w14:paraId="02053223" w14:textId="65A2C4C4"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79" w:history="1">
            <w:r w:rsidRPr="001A2BDC">
              <w:rPr>
                <w:rStyle w:val="Hyperlink"/>
                <w:noProof/>
              </w:rPr>
              <w:t>Why the Funding Explanation Wins</w:t>
            </w:r>
            <w:r>
              <w:rPr>
                <w:noProof/>
                <w:webHidden/>
              </w:rPr>
              <w:tab/>
            </w:r>
            <w:r>
              <w:rPr>
                <w:noProof/>
                <w:webHidden/>
              </w:rPr>
              <w:fldChar w:fldCharType="begin"/>
            </w:r>
            <w:r>
              <w:rPr>
                <w:noProof/>
                <w:webHidden/>
              </w:rPr>
              <w:instrText xml:space="preserve"> PAGEREF _Toc227410679 \h </w:instrText>
            </w:r>
            <w:r>
              <w:rPr>
                <w:noProof/>
                <w:webHidden/>
              </w:rPr>
            </w:r>
            <w:r>
              <w:rPr>
                <w:noProof/>
                <w:webHidden/>
              </w:rPr>
              <w:fldChar w:fldCharType="separate"/>
            </w:r>
            <w:r>
              <w:rPr>
                <w:noProof/>
                <w:webHidden/>
              </w:rPr>
              <w:t>106</w:t>
            </w:r>
            <w:r>
              <w:rPr>
                <w:noProof/>
                <w:webHidden/>
              </w:rPr>
              <w:fldChar w:fldCharType="end"/>
            </w:r>
          </w:hyperlink>
        </w:p>
        <w:p w14:paraId="1C612868" w14:textId="720D48A6"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80" w:history="1">
            <w:r w:rsidRPr="001A2BDC">
              <w:rPr>
                <w:rStyle w:val="Hyperlink"/>
                <w:noProof/>
              </w:rPr>
              <w:t>Design Problems Disguised as Budget Problems</w:t>
            </w:r>
            <w:r>
              <w:rPr>
                <w:noProof/>
                <w:webHidden/>
              </w:rPr>
              <w:tab/>
            </w:r>
            <w:r>
              <w:rPr>
                <w:noProof/>
                <w:webHidden/>
              </w:rPr>
              <w:fldChar w:fldCharType="begin"/>
            </w:r>
            <w:r>
              <w:rPr>
                <w:noProof/>
                <w:webHidden/>
              </w:rPr>
              <w:instrText xml:space="preserve"> PAGEREF _Toc227410680 \h </w:instrText>
            </w:r>
            <w:r>
              <w:rPr>
                <w:noProof/>
                <w:webHidden/>
              </w:rPr>
            </w:r>
            <w:r>
              <w:rPr>
                <w:noProof/>
                <w:webHidden/>
              </w:rPr>
              <w:fldChar w:fldCharType="separate"/>
            </w:r>
            <w:r>
              <w:rPr>
                <w:noProof/>
                <w:webHidden/>
              </w:rPr>
              <w:t>108</w:t>
            </w:r>
            <w:r>
              <w:rPr>
                <w:noProof/>
                <w:webHidden/>
              </w:rPr>
              <w:fldChar w:fldCharType="end"/>
            </w:r>
          </w:hyperlink>
        </w:p>
        <w:p w14:paraId="5657E065" w14:textId="25DB6177"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81" w:history="1">
            <w:r w:rsidRPr="001A2BDC">
              <w:rPr>
                <w:rStyle w:val="Hyperlink"/>
                <w:noProof/>
              </w:rPr>
              <w:t>Five Questions That Separate Resource Problems from Design Problems</w:t>
            </w:r>
            <w:r>
              <w:rPr>
                <w:noProof/>
                <w:webHidden/>
              </w:rPr>
              <w:tab/>
            </w:r>
            <w:r>
              <w:rPr>
                <w:noProof/>
                <w:webHidden/>
              </w:rPr>
              <w:fldChar w:fldCharType="begin"/>
            </w:r>
            <w:r>
              <w:rPr>
                <w:noProof/>
                <w:webHidden/>
              </w:rPr>
              <w:instrText xml:space="preserve"> PAGEREF _Toc227410681 \h </w:instrText>
            </w:r>
            <w:r>
              <w:rPr>
                <w:noProof/>
                <w:webHidden/>
              </w:rPr>
            </w:r>
            <w:r>
              <w:rPr>
                <w:noProof/>
                <w:webHidden/>
              </w:rPr>
              <w:fldChar w:fldCharType="separate"/>
            </w:r>
            <w:r>
              <w:rPr>
                <w:noProof/>
                <w:webHidden/>
              </w:rPr>
              <w:t>111</w:t>
            </w:r>
            <w:r>
              <w:rPr>
                <w:noProof/>
                <w:webHidden/>
              </w:rPr>
              <w:fldChar w:fldCharType="end"/>
            </w:r>
          </w:hyperlink>
        </w:p>
        <w:p w14:paraId="04485F88" w14:textId="0D00B149"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682" w:history="1">
            <w:r w:rsidRPr="001A2BDC">
              <w:rPr>
                <w:rStyle w:val="Hyperlink"/>
                <w:noProof/>
              </w:rPr>
              <w:t>The Rise of Vibes-Based Economics</w:t>
            </w:r>
            <w:r>
              <w:rPr>
                <w:noProof/>
                <w:webHidden/>
              </w:rPr>
              <w:tab/>
            </w:r>
            <w:r>
              <w:rPr>
                <w:noProof/>
                <w:webHidden/>
              </w:rPr>
              <w:fldChar w:fldCharType="begin"/>
            </w:r>
            <w:r>
              <w:rPr>
                <w:noProof/>
                <w:webHidden/>
              </w:rPr>
              <w:instrText xml:space="preserve"> PAGEREF _Toc227410682 \h </w:instrText>
            </w:r>
            <w:r>
              <w:rPr>
                <w:noProof/>
                <w:webHidden/>
              </w:rPr>
            </w:r>
            <w:r>
              <w:rPr>
                <w:noProof/>
                <w:webHidden/>
              </w:rPr>
              <w:fldChar w:fldCharType="separate"/>
            </w:r>
            <w:r>
              <w:rPr>
                <w:noProof/>
                <w:webHidden/>
              </w:rPr>
              <w:t>114</w:t>
            </w:r>
            <w:r>
              <w:rPr>
                <w:noProof/>
                <w:webHidden/>
              </w:rPr>
              <w:fldChar w:fldCharType="end"/>
            </w:r>
          </w:hyperlink>
        </w:p>
        <w:p w14:paraId="678599E7" w14:textId="3C1C3958"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83" w:history="1">
            <w:r w:rsidRPr="001A2BDC">
              <w:rPr>
                <w:rStyle w:val="Hyperlink"/>
                <w:noProof/>
              </w:rPr>
              <w:t>Feelings as Proof</w:t>
            </w:r>
            <w:r>
              <w:rPr>
                <w:noProof/>
                <w:webHidden/>
              </w:rPr>
              <w:tab/>
            </w:r>
            <w:r>
              <w:rPr>
                <w:noProof/>
                <w:webHidden/>
              </w:rPr>
              <w:fldChar w:fldCharType="begin"/>
            </w:r>
            <w:r>
              <w:rPr>
                <w:noProof/>
                <w:webHidden/>
              </w:rPr>
              <w:instrText xml:space="preserve"> PAGEREF _Toc227410683 \h </w:instrText>
            </w:r>
            <w:r>
              <w:rPr>
                <w:noProof/>
                <w:webHidden/>
              </w:rPr>
            </w:r>
            <w:r>
              <w:rPr>
                <w:noProof/>
                <w:webHidden/>
              </w:rPr>
              <w:fldChar w:fldCharType="separate"/>
            </w:r>
            <w:r>
              <w:rPr>
                <w:noProof/>
                <w:webHidden/>
              </w:rPr>
              <w:t>115</w:t>
            </w:r>
            <w:r>
              <w:rPr>
                <w:noProof/>
                <w:webHidden/>
              </w:rPr>
              <w:fldChar w:fldCharType="end"/>
            </w:r>
          </w:hyperlink>
        </w:p>
        <w:p w14:paraId="0B6E2749" w14:textId="5F5A66B3"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84" w:history="1">
            <w:r w:rsidRPr="001A2BDC">
              <w:rPr>
                <w:rStyle w:val="Hyperlink"/>
                <w:noProof/>
              </w:rPr>
              <w:t>How the Substitution Gets Built In</w:t>
            </w:r>
            <w:r>
              <w:rPr>
                <w:noProof/>
                <w:webHidden/>
              </w:rPr>
              <w:tab/>
            </w:r>
            <w:r>
              <w:rPr>
                <w:noProof/>
                <w:webHidden/>
              </w:rPr>
              <w:fldChar w:fldCharType="begin"/>
            </w:r>
            <w:r>
              <w:rPr>
                <w:noProof/>
                <w:webHidden/>
              </w:rPr>
              <w:instrText xml:space="preserve"> PAGEREF _Toc227410684 \h </w:instrText>
            </w:r>
            <w:r>
              <w:rPr>
                <w:noProof/>
                <w:webHidden/>
              </w:rPr>
            </w:r>
            <w:r>
              <w:rPr>
                <w:noProof/>
                <w:webHidden/>
              </w:rPr>
              <w:fldChar w:fldCharType="separate"/>
            </w:r>
            <w:r>
              <w:rPr>
                <w:noProof/>
                <w:webHidden/>
              </w:rPr>
              <w:t>117</w:t>
            </w:r>
            <w:r>
              <w:rPr>
                <w:noProof/>
                <w:webHidden/>
              </w:rPr>
              <w:fldChar w:fldCharType="end"/>
            </w:r>
          </w:hyperlink>
        </w:p>
        <w:p w14:paraId="1BE5D25F" w14:textId="1247DE3C"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85" w:history="1">
            <w:r w:rsidRPr="001A2BDC">
              <w:rPr>
                <w:rStyle w:val="Hyperlink"/>
                <w:noProof/>
              </w:rPr>
              <w:t>How the System Sustains Itself</w:t>
            </w:r>
            <w:r>
              <w:rPr>
                <w:noProof/>
                <w:webHidden/>
              </w:rPr>
              <w:tab/>
            </w:r>
            <w:r>
              <w:rPr>
                <w:noProof/>
                <w:webHidden/>
              </w:rPr>
              <w:fldChar w:fldCharType="begin"/>
            </w:r>
            <w:r>
              <w:rPr>
                <w:noProof/>
                <w:webHidden/>
              </w:rPr>
              <w:instrText xml:space="preserve"> PAGEREF _Toc227410685 \h </w:instrText>
            </w:r>
            <w:r>
              <w:rPr>
                <w:noProof/>
                <w:webHidden/>
              </w:rPr>
            </w:r>
            <w:r>
              <w:rPr>
                <w:noProof/>
                <w:webHidden/>
              </w:rPr>
              <w:fldChar w:fldCharType="separate"/>
            </w:r>
            <w:r>
              <w:rPr>
                <w:noProof/>
                <w:webHidden/>
              </w:rPr>
              <w:t>121</w:t>
            </w:r>
            <w:r>
              <w:rPr>
                <w:noProof/>
                <w:webHidden/>
              </w:rPr>
              <w:fldChar w:fldCharType="end"/>
            </w:r>
          </w:hyperlink>
        </w:p>
        <w:p w14:paraId="5AC4387D" w14:textId="3912C1C1"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86" w:history="1">
            <w:r w:rsidRPr="001A2BDC">
              <w:rPr>
                <w:rStyle w:val="Hyperlink"/>
                <w:noProof/>
              </w:rPr>
              <w:t>Why This Feels Smarter</w:t>
            </w:r>
            <w:r>
              <w:rPr>
                <w:noProof/>
                <w:webHidden/>
              </w:rPr>
              <w:tab/>
            </w:r>
            <w:r>
              <w:rPr>
                <w:noProof/>
                <w:webHidden/>
              </w:rPr>
              <w:fldChar w:fldCharType="begin"/>
            </w:r>
            <w:r>
              <w:rPr>
                <w:noProof/>
                <w:webHidden/>
              </w:rPr>
              <w:instrText xml:space="preserve"> PAGEREF _Toc227410686 \h </w:instrText>
            </w:r>
            <w:r>
              <w:rPr>
                <w:noProof/>
                <w:webHidden/>
              </w:rPr>
            </w:r>
            <w:r>
              <w:rPr>
                <w:noProof/>
                <w:webHidden/>
              </w:rPr>
              <w:fldChar w:fldCharType="separate"/>
            </w:r>
            <w:r>
              <w:rPr>
                <w:noProof/>
                <w:webHidden/>
              </w:rPr>
              <w:t>123</w:t>
            </w:r>
            <w:r>
              <w:rPr>
                <w:noProof/>
                <w:webHidden/>
              </w:rPr>
              <w:fldChar w:fldCharType="end"/>
            </w:r>
          </w:hyperlink>
        </w:p>
        <w:p w14:paraId="34B7F32B" w14:textId="50CA5F3B"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87" w:history="1">
            <w:r w:rsidRPr="001A2BDC">
              <w:rPr>
                <w:rStyle w:val="Hyperlink"/>
                <w:noProof/>
              </w:rPr>
              <w:t>Recognizing When Costs Have Been Made to Disappear</w:t>
            </w:r>
            <w:r>
              <w:rPr>
                <w:noProof/>
                <w:webHidden/>
              </w:rPr>
              <w:tab/>
            </w:r>
            <w:r>
              <w:rPr>
                <w:noProof/>
                <w:webHidden/>
              </w:rPr>
              <w:fldChar w:fldCharType="begin"/>
            </w:r>
            <w:r>
              <w:rPr>
                <w:noProof/>
                <w:webHidden/>
              </w:rPr>
              <w:instrText xml:space="preserve"> PAGEREF _Toc227410687 \h </w:instrText>
            </w:r>
            <w:r>
              <w:rPr>
                <w:noProof/>
                <w:webHidden/>
              </w:rPr>
            </w:r>
            <w:r>
              <w:rPr>
                <w:noProof/>
                <w:webHidden/>
              </w:rPr>
              <w:fldChar w:fldCharType="separate"/>
            </w:r>
            <w:r>
              <w:rPr>
                <w:noProof/>
                <w:webHidden/>
              </w:rPr>
              <w:t>127</w:t>
            </w:r>
            <w:r>
              <w:rPr>
                <w:noProof/>
                <w:webHidden/>
              </w:rPr>
              <w:fldChar w:fldCharType="end"/>
            </w:r>
          </w:hyperlink>
        </w:p>
        <w:p w14:paraId="0FF897B5" w14:textId="623AB39E"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688" w:history="1">
            <w:r w:rsidRPr="001A2BDC">
              <w:rPr>
                <w:rStyle w:val="Hyperlink"/>
                <w:noProof/>
              </w:rPr>
              <w:t>Belief as Armor</w:t>
            </w:r>
            <w:r>
              <w:rPr>
                <w:noProof/>
                <w:webHidden/>
              </w:rPr>
              <w:tab/>
            </w:r>
            <w:r>
              <w:rPr>
                <w:noProof/>
                <w:webHidden/>
              </w:rPr>
              <w:fldChar w:fldCharType="begin"/>
            </w:r>
            <w:r>
              <w:rPr>
                <w:noProof/>
                <w:webHidden/>
              </w:rPr>
              <w:instrText xml:space="preserve"> PAGEREF _Toc227410688 \h </w:instrText>
            </w:r>
            <w:r>
              <w:rPr>
                <w:noProof/>
                <w:webHidden/>
              </w:rPr>
            </w:r>
            <w:r>
              <w:rPr>
                <w:noProof/>
                <w:webHidden/>
              </w:rPr>
              <w:fldChar w:fldCharType="separate"/>
            </w:r>
            <w:r>
              <w:rPr>
                <w:noProof/>
                <w:webHidden/>
              </w:rPr>
              <w:t>130</w:t>
            </w:r>
            <w:r>
              <w:rPr>
                <w:noProof/>
                <w:webHidden/>
              </w:rPr>
              <w:fldChar w:fldCharType="end"/>
            </w:r>
          </w:hyperlink>
        </w:p>
        <w:p w14:paraId="4EE0C17C" w14:textId="690F6FE5"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89" w:history="1">
            <w:r w:rsidRPr="001A2BDC">
              <w:rPr>
                <w:rStyle w:val="Hyperlink"/>
                <w:noProof/>
              </w:rPr>
              <w:t>From Error to Affiliation</w:t>
            </w:r>
            <w:r>
              <w:rPr>
                <w:noProof/>
                <w:webHidden/>
              </w:rPr>
              <w:tab/>
            </w:r>
            <w:r>
              <w:rPr>
                <w:noProof/>
                <w:webHidden/>
              </w:rPr>
              <w:fldChar w:fldCharType="begin"/>
            </w:r>
            <w:r>
              <w:rPr>
                <w:noProof/>
                <w:webHidden/>
              </w:rPr>
              <w:instrText xml:space="preserve"> PAGEREF _Toc227410689 \h </w:instrText>
            </w:r>
            <w:r>
              <w:rPr>
                <w:noProof/>
                <w:webHidden/>
              </w:rPr>
            </w:r>
            <w:r>
              <w:rPr>
                <w:noProof/>
                <w:webHidden/>
              </w:rPr>
              <w:fldChar w:fldCharType="separate"/>
            </w:r>
            <w:r>
              <w:rPr>
                <w:noProof/>
                <w:webHidden/>
              </w:rPr>
              <w:t>131</w:t>
            </w:r>
            <w:r>
              <w:rPr>
                <w:noProof/>
                <w:webHidden/>
              </w:rPr>
              <w:fldChar w:fldCharType="end"/>
            </w:r>
          </w:hyperlink>
        </w:p>
        <w:p w14:paraId="1F6B9DDF" w14:textId="3327620E"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90" w:history="1">
            <w:r w:rsidRPr="001A2BDC">
              <w:rPr>
                <w:rStyle w:val="Hyperlink"/>
                <w:noProof/>
              </w:rPr>
              <w:t>Correction Feels Like Attack</w:t>
            </w:r>
            <w:r>
              <w:rPr>
                <w:noProof/>
                <w:webHidden/>
              </w:rPr>
              <w:tab/>
            </w:r>
            <w:r>
              <w:rPr>
                <w:noProof/>
                <w:webHidden/>
              </w:rPr>
              <w:fldChar w:fldCharType="begin"/>
            </w:r>
            <w:r>
              <w:rPr>
                <w:noProof/>
                <w:webHidden/>
              </w:rPr>
              <w:instrText xml:space="preserve"> PAGEREF _Toc227410690 \h </w:instrText>
            </w:r>
            <w:r>
              <w:rPr>
                <w:noProof/>
                <w:webHidden/>
              </w:rPr>
            </w:r>
            <w:r>
              <w:rPr>
                <w:noProof/>
                <w:webHidden/>
              </w:rPr>
              <w:fldChar w:fldCharType="separate"/>
            </w:r>
            <w:r>
              <w:rPr>
                <w:noProof/>
                <w:webHidden/>
              </w:rPr>
              <w:t>134</w:t>
            </w:r>
            <w:r>
              <w:rPr>
                <w:noProof/>
                <w:webHidden/>
              </w:rPr>
              <w:fldChar w:fldCharType="end"/>
            </w:r>
          </w:hyperlink>
        </w:p>
        <w:p w14:paraId="7E943618" w14:textId="007D2C8B"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91" w:history="1">
            <w:r w:rsidRPr="001A2BDC">
              <w:rPr>
                <w:rStyle w:val="Hyperlink"/>
                <w:noProof/>
              </w:rPr>
              <w:t>The Self-Sealing Loop</w:t>
            </w:r>
            <w:r>
              <w:rPr>
                <w:noProof/>
                <w:webHidden/>
              </w:rPr>
              <w:tab/>
            </w:r>
            <w:r>
              <w:rPr>
                <w:noProof/>
                <w:webHidden/>
              </w:rPr>
              <w:fldChar w:fldCharType="begin"/>
            </w:r>
            <w:r>
              <w:rPr>
                <w:noProof/>
                <w:webHidden/>
              </w:rPr>
              <w:instrText xml:space="preserve"> PAGEREF _Toc227410691 \h </w:instrText>
            </w:r>
            <w:r>
              <w:rPr>
                <w:noProof/>
                <w:webHidden/>
              </w:rPr>
            </w:r>
            <w:r>
              <w:rPr>
                <w:noProof/>
                <w:webHidden/>
              </w:rPr>
              <w:fldChar w:fldCharType="separate"/>
            </w:r>
            <w:r>
              <w:rPr>
                <w:noProof/>
                <w:webHidden/>
              </w:rPr>
              <w:t>137</w:t>
            </w:r>
            <w:r>
              <w:rPr>
                <w:noProof/>
                <w:webHidden/>
              </w:rPr>
              <w:fldChar w:fldCharType="end"/>
            </w:r>
          </w:hyperlink>
        </w:p>
        <w:p w14:paraId="16EC3EDE" w14:textId="11784A43"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92" w:history="1">
            <w:r w:rsidRPr="001A2BDC">
              <w:rPr>
                <w:rStyle w:val="Hyperlink"/>
                <w:noProof/>
              </w:rPr>
              <w:t>Virtue in Not Knowing</w:t>
            </w:r>
            <w:r>
              <w:rPr>
                <w:noProof/>
                <w:webHidden/>
              </w:rPr>
              <w:tab/>
            </w:r>
            <w:r>
              <w:rPr>
                <w:noProof/>
                <w:webHidden/>
              </w:rPr>
              <w:fldChar w:fldCharType="begin"/>
            </w:r>
            <w:r>
              <w:rPr>
                <w:noProof/>
                <w:webHidden/>
              </w:rPr>
              <w:instrText xml:space="preserve"> PAGEREF _Toc227410692 \h </w:instrText>
            </w:r>
            <w:r>
              <w:rPr>
                <w:noProof/>
                <w:webHidden/>
              </w:rPr>
            </w:r>
            <w:r>
              <w:rPr>
                <w:noProof/>
                <w:webHidden/>
              </w:rPr>
              <w:fldChar w:fldCharType="separate"/>
            </w:r>
            <w:r>
              <w:rPr>
                <w:noProof/>
                <w:webHidden/>
              </w:rPr>
              <w:t>140</w:t>
            </w:r>
            <w:r>
              <w:rPr>
                <w:noProof/>
                <w:webHidden/>
              </w:rPr>
              <w:fldChar w:fldCharType="end"/>
            </w:r>
          </w:hyperlink>
        </w:p>
        <w:p w14:paraId="00347FC7" w14:textId="0E2F2B00"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93" w:history="1">
            <w:r w:rsidRPr="001A2BDC">
              <w:rPr>
                <w:rStyle w:val="Hyperlink"/>
                <w:noProof/>
              </w:rPr>
              <w:t>The Double Standard Check</w:t>
            </w:r>
            <w:r>
              <w:rPr>
                <w:noProof/>
                <w:webHidden/>
              </w:rPr>
              <w:tab/>
            </w:r>
            <w:r>
              <w:rPr>
                <w:noProof/>
                <w:webHidden/>
              </w:rPr>
              <w:fldChar w:fldCharType="begin"/>
            </w:r>
            <w:r>
              <w:rPr>
                <w:noProof/>
                <w:webHidden/>
              </w:rPr>
              <w:instrText xml:space="preserve"> PAGEREF _Toc227410693 \h </w:instrText>
            </w:r>
            <w:r>
              <w:rPr>
                <w:noProof/>
                <w:webHidden/>
              </w:rPr>
            </w:r>
            <w:r>
              <w:rPr>
                <w:noProof/>
                <w:webHidden/>
              </w:rPr>
              <w:fldChar w:fldCharType="separate"/>
            </w:r>
            <w:r>
              <w:rPr>
                <w:noProof/>
                <w:webHidden/>
              </w:rPr>
              <w:t>144</w:t>
            </w:r>
            <w:r>
              <w:rPr>
                <w:noProof/>
                <w:webHidden/>
              </w:rPr>
              <w:fldChar w:fldCharType="end"/>
            </w:r>
          </w:hyperlink>
        </w:p>
        <w:p w14:paraId="7916A073" w14:textId="5A04FBC9" w:rsidR="00FF32C8" w:rsidRDefault="00FF32C8">
          <w:pPr>
            <w:pStyle w:val="TOC1"/>
            <w:tabs>
              <w:tab w:val="right" w:leader="dot" w:pos="9350"/>
            </w:tabs>
            <w:rPr>
              <w:rFonts w:eastAsiaTheme="minorEastAsia" w:cstheme="minorBidi"/>
              <w:b w:val="0"/>
              <w:bCs w:val="0"/>
              <w:caps w:val="0"/>
              <w:noProof/>
              <w:kern w:val="2"/>
              <w:sz w:val="24"/>
              <w:szCs w:val="24"/>
              <w14:ligatures w14:val="standardContextual"/>
            </w:rPr>
          </w:pPr>
          <w:hyperlink w:anchor="_Toc227410694" w:history="1">
            <w:r w:rsidRPr="001A2BDC">
              <w:rPr>
                <w:rStyle w:val="Hyperlink"/>
                <w:noProof/>
              </w:rPr>
              <w:t>PART III: The Illusion in Practice</w:t>
            </w:r>
            <w:r>
              <w:rPr>
                <w:noProof/>
                <w:webHidden/>
              </w:rPr>
              <w:tab/>
            </w:r>
            <w:r>
              <w:rPr>
                <w:noProof/>
                <w:webHidden/>
              </w:rPr>
              <w:fldChar w:fldCharType="begin"/>
            </w:r>
            <w:r>
              <w:rPr>
                <w:noProof/>
                <w:webHidden/>
              </w:rPr>
              <w:instrText xml:space="preserve"> PAGEREF _Toc227410694 \h </w:instrText>
            </w:r>
            <w:r>
              <w:rPr>
                <w:noProof/>
                <w:webHidden/>
              </w:rPr>
            </w:r>
            <w:r>
              <w:rPr>
                <w:noProof/>
                <w:webHidden/>
              </w:rPr>
              <w:fldChar w:fldCharType="separate"/>
            </w:r>
            <w:r>
              <w:rPr>
                <w:noProof/>
                <w:webHidden/>
              </w:rPr>
              <w:t>146</w:t>
            </w:r>
            <w:r>
              <w:rPr>
                <w:noProof/>
                <w:webHidden/>
              </w:rPr>
              <w:fldChar w:fldCharType="end"/>
            </w:r>
          </w:hyperlink>
        </w:p>
        <w:p w14:paraId="74164D98" w14:textId="7F2782AC"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695" w:history="1">
            <w:r w:rsidRPr="001A2BDC">
              <w:rPr>
                <w:rStyle w:val="Hyperlink"/>
                <w:noProof/>
              </w:rPr>
              <w:t>The Collapse of Personal Tradeoffs</w:t>
            </w:r>
            <w:r>
              <w:rPr>
                <w:noProof/>
                <w:webHidden/>
              </w:rPr>
              <w:tab/>
            </w:r>
            <w:r>
              <w:rPr>
                <w:noProof/>
                <w:webHidden/>
              </w:rPr>
              <w:fldChar w:fldCharType="begin"/>
            </w:r>
            <w:r>
              <w:rPr>
                <w:noProof/>
                <w:webHidden/>
              </w:rPr>
              <w:instrText xml:space="preserve"> PAGEREF _Toc227410695 \h </w:instrText>
            </w:r>
            <w:r>
              <w:rPr>
                <w:noProof/>
                <w:webHidden/>
              </w:rPr>
            </w:r>
            <w:r>
              <w:rPr>
                <w:noProof/>
                <w:webHidden/>
              </w:rPr>
              <w:fldChar w:fldCharType="separate"/>
            </w:r>
            <w:r>
              <w:rPr>
                <w:noProof/>
                <w:webHidden/>
              </w:rPr>
              <w:t>148</w:t>
            </w:r>
            <w:r>
              <w:rPr>
                <w:noProof/>
                <w:webHidden/>
              </w:rPr>
              <w:fldChar w:fldCharType="end"/>
            </w:r>
          </w:hyperlink>
        </w:p>
        <w:p w14:paraId="16ABA526" w14:textId="35E2D13E"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96" w:history="1">
            <w:r w:rsidRPr="001A2BDC">
              <w:rPr>
                <w:rStyle w:val="Hyperlink"/>
                <w:noProof/>
              </w:rPr>
              <w:t>When Limits Stop Feeling Real</w:t>
            </w:r>
            <w:r>
              <w:rPr>
                <w:noProof/>
                <w:webHidden/>
              </w:rPr>
              <w:tab/>
            </w:r>
            <w:r>
              <w:rPr>
                <w:noProof/>
                <w:webHidden/>
              </w:rPr>
              <w:fldChar w:fldCharType="begin"/>
            </w:r>
            <w:r>
              <w:rPr>
                <w:noProof/>
                <w:webHidden/>
              </w:rPr>
              <w:instrText xml:space="preserve"> PAGEREF _Toc227410696 \h </w:instrText>
            </w:r>
            <w:r>
              <w:rPr>
                <w:noProof/>
                <w:webHidden/>
              </w:rPr>
            </w:r>
            <w:r>
              <w:rPr>
                <w:noProof/>
                <w:webHidden/>
              </w:rPr>
              <w:fldChar w:fldCharType="separate"/>
            </w:r>
            <w:r>
              <w:rPr>
                <w:noProof/>
                <w:webHidden/>
              </w:rPr>
              <w:t>151</w:t>
            </w:r>
            <w:r>
              <w:rPr>
                <w:noProof/>
                <w:webHidden/>
              </w:rPr>
              <w:fldChar w:fldCharType="end"/>
            </w:r>
          </w:hyperlink>
        </w:p>
        <w:p w14:paraId="51EB700E" w14:textId="6A51B773"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97" w:history="1">
            <w:r w:rsidRPr="001A2BDC">
              <w:rPr>
                <w:rStyle w:val="Hyperlink"/>
                <w:noProof/>
              </w:rPr>
              <w:t>Debt as Delay</w:t>
            </w:r>
            <w:r>
              <w:rPr>
                <w:noProof/>
                <w:webHidden/>
              </w:rPr>
              <w:tab/>
            </w:r>
            <w:r>
              <w:rPr>
                <w:noProof/>
                <w:webHidden/>
              </w:rPr>
              <w:fldChar w:fldCharType="begin"/>
            </w:r>
            <w:r>
              <w:rPr>
                <w:noProof/>
                <w:webHidden/>
              </w:rPr>
              <w:instrText xml:space="preserve"> PAGEREF _Toc227410697 \h </w:instrText>
            </w:r>
            <w:r>
              <w:rPr>
                <w:noProof/>
                <w:webHidden/>
              </w:rPr>
            </w:r>
            <w:r>
              <w:rPr>
                <w:noProof/>
                <w:webHidden/>
              </w:rPr>
              <w:fldChar w:fldCharType="separate"/>
            </w:r>
            <w:r>
              <w:rPr>
                <w:noProof/>
                <w:webHidden/>
              </w:rPr>
              <w:t>154</w:t>
            </w:r>
            <w:r>
              <w:rPr>
                <w:noProof/>
                <w:webHidden/>
              </w:rPr>
              <w:fldChar w:fldCharType="end"/>
            </w:r>
          </w:hyperlink>
        </w:p>
        <w:p w14:paraId="5036AD57" w14:textId="496FEA24"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98" w:history="1">
            <w:r w:rsidRPr="001A2BDC">
              <w:rPr>
                <w:rStyle w:val="Hyperlink"/>
                <w:noProof/>
              </w:rPr>
              <w:t>Lifestyle Inflation Without Awareness</w:t>
            </w:r>
            <w:r>
              <w:rPr>
                <w:noProof/>
                <w:webHidden/>
              </w:rPr>
              <w:tab/>
            </w:r>
            <w:r>
              <w:rPr>
                <w:noProof/>
                <w:webHidden/>
              </w:rPr>
              <w:fldChar w:fldCharType="begin"/>
            </w:r>
            <w:r>
              <w:rPr>
                <w:noProof/>
                <w:webHidden/>
              </w:rPr>
              <w:instrText xml:space="preserve"> PAGEREF _Toc227410698 \h </w:instrText>
            </w:r>
            <w:r>
              <w:rPr>
                <w:noProof/>
                <w:webHidden/>
              </w:rPr>
            </w:r>
            <w:r>
              <w:rPr>
                <w:noProof/>
                <w:webHidden/>
              </w:rPr>
              <w:fldChar w:fldCharType="separate"/>
            </w:r>
            <w:r>
              <w:rPr>
                <w:noProof/>
                <w:webHidden/>
              </w:rPr>
              <w:t>156</w:t>
            </w:r>
            <w:r>
              <w:rPr>
                <w:noProof/>
                <w:webHidden/>
              </w:rPr>
              <w:fldChar w:fldCharType="end"/>
            </w:r>
          </w:hyperlink>
        </w:p>
        <w:p w14:paraId="5CA4BDCB" w14:textId="031B7AC4"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699" w:history="1">
            <w:r w:rsidRPr="001A2BDC">
              <w:rPr>
                <w:rStyle w:val="Hyperlink"/>
                <w:noProof/>
              </w:rPr>
              <w:t>Intelligence as Rationalization</w:t>
            </w:r>
            <w:r>
              <w:rPr>
                <w:noProof/>
                <w:webHidden/>
              </w:rPr>
              <w:tab/>
            </w:r>
            <w:r>
              <w:rPr>
                <w:noProof/>
                <w:webHidden/>
              </w:rPr>
              <w:fldChar w:fldCharType="begin"/>
            </w:r>
            <w:r>
              <w:rPr>
                <w:noProof/>
                <w:webHidden/>
              </w:rPr>
              <w:instrText xml:space="preserve"> PAGEREF _Toc227410699 \h </w:instrText>
            </w:r>
            <w:r>
              <w:rPr>
                <w:noProof/>
                <w:webHidden/>
              </w:rPr>
            </w:r>
            <w:r>
              <w:rPr>
                <w:noProof/>
                <w:webHidden/>
              </w:rPr>
              <w:fldChar w:fldCharType="separate"/>
            </w:r>
            <w:r>
              <w:rPr>
                <w:noProof/>
                <w:webHidden/>
              </w:rPr>
              <w:t>158</w:t>
            </w:r>
            <w:r>
              <w:rPr>
                <w:noProof/>
                <w:webHidden/>
              </w:rPr>
              <w:fldChar w:fldCharType="end"/>
            </w:r>
          </w:hyperlink>
        </w:p>
        <w:p w14:paraId="3711F0C2" w14:textId="760E2C69"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00" w:history="1">
            <w:r w:rsidRPr="001A2BDC">
              <w:rPr>
                <w:rStyle w:val="Hyperlink"/>
                <w:noProof/>
              </w:rPr>
              <w:t>Rescue as Expectation</w:t>
            </w:r>
            <w:r>
              <w:rPr>
                <w:noProof/>
                <w:webHidden/>
              </w:rPr>
              <w:tab/>
            </w:r>
            <w:r>
              <w:rPr>
                <w:noProof/>
                <w:webHidden/>
              </w:rPr>
              <w:fldChar w:fldCharType="begin"/>
            </w:r>
            <w:r>
              <w:rPr>
                <w:noProof/>
                <w:webHidden/>
              </w:rPr>
              <w:instrText xml:space="preserve"> PAGEREF _Toc227410700 \h </w:instrText>
            </w:r>
            <w:r>
              <w:rPr>
                <w:noProof/>
                <w:webHidden/>
              </w:rPr>
            </w:r>
            <w:r>
              <w:rPr>
                <w:noProof/>
                <w:webHidden/>
              </w:rPr>
              <w:fldChar w:fldCharType="separate"/>
            </w:r>
            <w:r>
              <w:rPr>
                <w:noProof/>
                <w:webHidden/>
              </w:rPr>
              <w:t>161</w:t>
            </w:r>
            <w:r>
              <w:rPr>
                <w:noProof/>
                <w:webHidden/>
              </w:rPr>
              <w:fldChar w:fldCharType="end"/>
            </w:r>
          </w:hyperlink>
        </w:p>
        <w:p w14:paraId="464E1E6A" w14:textId="32F54CC1"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01" w:history="1">
            <w:r w:rsidRPr="001A2BDC">
              <w:rPr>
                <w:rStyle w:val="Hyperlink"/>
                <w:noProof/>
              </w:rPr>
              <w:t>The Cumulative Pattern</w:t>
            </w:r>
            <w:r>
              <w:rPr>
                <w:noProof/>
                <w:webHidden/>
              </w:rPr>
              <w:tab/>
            </w:r>
            <w:r>
              <w:rPr>
                <w:noProof/>
                <w:webHidden/>
              </w:rPr>
              <w:fldChar w:fldCharType="begin"/>
            </w:r>
            <w:r>
              <w:rPr>
                <w:noProof/>
                <w:webHidden/>
              </w:rPr>
              <w:instrText xml:space="preserve"> PAGEREF _Toc227410701 \h </w:instrText>
            </w:r>
            <w:r>
              <w:rPr>
                <w:noProof/>
                <w:webHidden/>
              </w:rPr>
            </w:r>
            <w:r>
              <w:rPr>
                <w:noProof/>
                <w:webHidden/>
              </w:rPr>
              <w:fldChar w:fldCharType="separate"/>
            </w:r>
            <w:r>
              <w:rPr>
                <w:noProof/>
                <w:webHidden/>
              </w:rPr>
              <w:t>164</w:t>
            </w:r>
            <w:r>
              <w:rPr>
                <w:noProof/>
                <w:webHidden/>
              </w:rPr>
              <w:fldChar w:fldCharType="end"/>
            </w:r>
          </w:hyperlink>
        </w:p>
        <w:p w14:paraId="3DF19D7A" w14:textId="7A93135B"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02" w:history="1">
            <w:r w:rsidRPr="001A2BDC">
              <w:rPr>
                <w:rStyle w:val="Hyperlink"/>
                <w:noProof/>
              </w:rPr>
              <w:t>What It Looks Like to See Clearly</w:t>
            </w:r>
            <w:r>
              <w:rPr>
                <w:noProof/>
                <w:webHidden/>
              </w:rPr>
              <w:tab/>
            </w:r>
            <w:r>
              <w:rPr>
                <w:noProof/>
                <w:webHidden/>
              </w:rPr>
              <w:fldChar w:fldCharType="begin"/>
            </w:r>
            <w:r>
              <w:rPr>
                <w:noProof/>
                <w:webHidden/>
              </w:rPr>
              <w:instrText xml:space="preserve"> PAGEREF _Toc227410702 \h </w:instrText>
            </w:r>
            <w:r>
              <w:rPr>
                <w:noProof/>
                <w:webHidden/>
              </w:rPr>
            </w:r>
            <w:r>
              <w:rPr>
                <w:noProof/>
                <w:webHidden/>
              </w:rPr>
              <w:fldChar w:fldCharType="separate"/>
            </w:r>
            <w:r>
              <w:rPr>
                <w:noProof/>
                <w:webHidden/>
              </w:rPr>
              <w:t>166</w:t>
            </w:r>
            <w:r>
              <w:rPr>
                <w:noProof/>
                <w:webHidden/>
              </w:rPr>
              <w:fldChar w:fldCharType="end"/>
            </w:r>
          </w:hyperlink>
        </w:p>
        <w:p w14:paraId="79332A68" w14:textId="65633616"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703" w:history="1">
            <w:r w:rsidRPr="001A2BDC">
              <w:rPr>
                <w:rStyle w:val="Hyperlink"/>
                <w:noProof/>
              </w:rPr>
              <w:t>Work Without Consequences</w:t>
            </w:r>
            <w:r>
              <w:rPr>
                <w:noProof/>
                <w:webHidden/>
              </w:rPr>
              <w:tab/>
            </w:r>
            <w:r>
              <w:rPr>
                <w:noProof/>
                <w:webHidden/>
              </w:rPr>
              <w:fldChar w:fldCharType="begin"/>
            </w:r>
            <w:r>
              <w:rPr>
                <w:noProof/>
                <w:webHidden/>
              </w:rPr>
              <w:instrText xml:space="preserve"> PAGEREF _Toc227410703 \h </w:instrText>
            </w:r>
            <w:r>
              <w:rPr>
                <w:noProof/>
                <w:webHidden/>
              </w:rPr>
            </w:r>
            <w:r>
              <w:rPr>
                <w:noProof/>
                <w:webHidden/>
              </w:rPr>
              <w:fldChar w:fldCharType="separate"/>
            </w:r>
            <w:r>
              <w:rPr>
                <w:noProof/>
                <w:webHidden/>
              </w:rPr>
              <w:t>169</w:t>
            </w:r>
            <w:r>
              <w:rPr>
                <w:noProof/>
                <w:webHidden/>
              </w:rPr>
              <w:fldChar w:fldCharType="end"/>
            </w:r>
          </w:hyperlink>
        </w:p>
        <w:p w14:paraId="3AEED6DC" w14:textId="7A99050C"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04" w:history="1">
            <w:r w:rsidRPr="001A2BDC">
              <w:rPr>
                <w:rStyle w:val="Hyperlink"/>
                <w:noProof/>
              </w:rPr>
              <w:t>Accountability Without Authority</w:t>
            </w:r>
            <w:r>
              <w:rPr>
                <w:noProof/>
                <w:webHidden/>
              </w:rPr>
              <w:tab/>
            </w:r>
            <w:r>
              <w:rPr>
                <w:noProof/>
                <w:webHidden/>
              </w:rPr>
              <w:fldChar w:fldCharType="begin"/>
            </w:r>
            <w:r>
              <w:rPr>
                <w:noProof/>
                <w:webHidden/>
              </w:rPr>
              <w:instrText xml:space="preserve"> PAGEREF _Toc227410704 \h </w:instrText>
            </w:r>
            <w:r>
              <w:rPr>
                <w:noProof/>
                <w:webHidden/>
              </w:rPr>
            </w:r>
            <w:r>
              <w:rPr>
                <w:noProof/>
                <w:webHidden/>
              </w:rPr>
              <w:fldChar w:fldCharType="separate"/>
            </w:r>
            <w:r>
              <w:rPr>
                <w:noProof/>
                <w:webHidden/>
              </w:rPr>
              <w:t>170</w:t>
            </w:r>
            <w:r>
              <w:rPr>
                <w:noProof/>
                <w:webHidden/>
              </w:rPr>
              <w:fldChar w:fldCharType="end"/>
            </w:r>
          </w:hyperlink>
        </w:p>
        <w:p w14:paraId="77B59228" w14:textId="14E8CE5C"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05" w:history="1">
            <w:r w:rsidRPr="001A2BDC">
              <w:rPr>
                <w:rStyle w:val="Hyperlink"/>
                <w:noProof/>
              </w:rPr>
              <w:t>The Incentive to Look Away</w:t>
            </w:r>
            <w:r>
              <w:rPr>
                <w:noProof/>
                <w:webHidden/>
              </w:rPr>
              <w:tab/>
            </w:r>
            <w:r>
              <w:rPr>
                <w:noProof/>
                <w:webHidden/>
              </w:rPr>
              <w:fldChar w:fldCharType="begin"/>
            </w:r>
            <w:r>
              <w:rPr>
                <w:noProof/>
                <w:webHidden/>
              </w:rPr>
              <w:instrText xml:space="preserve"> PAGEREF _Toc227410705 \h </w:instrText>
            </w:r>
            <w:r>
              <w:rPr>
                <w:noProof/>
                <w:webHidden/>
              </w:rPr>
            </w:r>
            <w:r>
              <w:rPr>
                <w:noProof/>
                <w:webHidden/>
              </w:rPr>
              <w:fldChar w:fldCharType="separate"/>
            </w:r>
            <w:r>
              <w:rPr>
                <w:noProof/>
                <w:webHidden/>
              </w:rPr>
              <w:t>173</w:t>
            </w:r>
            <w:r>
              <w:rPr>
                <w:noProof/>
                <w:webHidden/>
              </w:rPr>
              <w:fldChar w:fldCharType="end"/>
            </w:r>
          </w:hyperlink>
        </w:p>
        <w:p w14:paraId="0BB4F960" w14:textId="600A683B"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06" w:history="1">
            <w:r w:rsidRPr="001A2BDC">
              <w:rPr>
                <w:rStyle w:val="Hyperlink"/>
                <w:noProof/>
              </w:rPr>
              <w:t>Costs Pushed Sideways</w:t>
            </w:r>
            <w:r>
              <w:rPr>
                <w:noProof/>
                <w:webHidden/>
              </w:rPr>
              <w:tab/>
            </w:r>
            <w:r>
              <w:rPr>
                <w:noProof/>
                <w:webHidden/>
              </w:rPr>
              <w:fldChar w:fldCharType="begin"/>
            </w:r>
            <w:r>
              <w:rPr>
                <w:noProof/>
                <w:webHidden/>
              </w:rPr>
              <w:instrText xml:space="preserve"> PAGEREF _Toc227410706 \h </w:instrText>
            </w:r>
            <w:r>
              <w:rPr>
                <w:noProof/>
                <w:webHidden/>
              </w:rPr>
            </w:r>
            <w:r>
              <w:rPr>
                <w:noProof/>
                <w:webHidden/>
              </w:rPr>
              <w:fldChar w:fldCharType="separate"/>
            </w:r>
            <w:r>
              <w:rPr>
                <w:noProof/>
                <w:webHidden/>
              </w:rPr>
              <w:t>179</w:t>
            </w:r>
            <w:r>
              <w:rPr>
                <w:noProof/>
                <w:webHidden/>
              </w:rPr>
              <w:fldChar w:fldCharType="end"/>
            </w:r>
          </w:hyperlink>
        </w:p>
        <w:p w14:paraId="38CFA0A2" w14:textId="5E202B53"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07" w:history="1">
            <w:r w:rsidRPr="001A2BDC">
              <w:rPr>
                <w:rStyle w:val="Hyperlink"/>
                <w:noProof/>
              </w:rPr>
              <w:t>The Reckoning That Never Comes</w:t>
            </w:r>
            <w:r>
              <w:rPr>
                <w:noProof/>
                <w:webHidden/>
              </w:rPr>
              <w:tab/>
            </w:r>
            <w:r>
              <w:rPr>
                <w:noProof/>
                <w:webHidden/>
              </w:rPr>
              <w:fldChar w:fldCharType="begin"/>
            </w:r>
            <w:r>
              <w:rPr>
                <w:noProof/>
                <w:webHidden/>
              </w:rPr>
              <w:instrText xml:space="preserve"> PAGEREF _Toc227410707 \h </w:instrText>
            </w:r>
            <w:r>
              <w:rPr>
                <w:noProof/>
                <w:webHidden/>
              </w:rPr>
            </w:r>
            <w:r>
              <w:rPr>
                <w:noProof/>
                <w:webHidden/>
              </w:rPr>
              <w:fldChar w:fldCharType="separate"/>
            </w:r>
            <w:r>
              <w:rPr>
                <w:noProof/>
                <w:webHidden/>
              </w:rPr>
              <w:t>182</w:t>
            </w:r>
            <w:r>
              <w:rPr>
                <w:noProof/>
                <w:webHidden/>
              </w:rPr>
              <w:fldChar w:fldCharType="end"/>
            </w:r>
          </w:hyperlink>
        </w:p>
        <w:p w14:paraId="105228A4" w14:textId="74FED2FB"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08" w:history="1">
            <w:r w:rsidRPr="001A2BDC">
              <w:rPr>
                <w:rStyle w:val="Hyperlink"/>
                <w:noProof/>
              </w:rPr>
              <w:t>Seeing the System You're Inside</w:t>
            </w:r>
            <w:r>
              <w:rPr>
                <w:noProof/>
                <w:webHidden/>
              </w:rPr>
              <w:tab/>
            </w:r>
            <w:r>
              <w:rPr>
                <w:noProof/>
                <w:webHidden/>
              </w:rPr>
              <w:fldChar w:fldCharType="begin"/>
            </w:r>
            <w:r>
              <w:rPr>
                <w:noProof/>
                <w:webHidden/>
              </w:rPr>
              <w:instrText xml:space="preserve"> PAGEREF _Toc227410708 \h </w:instrText>
            </w:r>
            <w:r>
              <w:rPr>
                <w:noProof/>
                <w:webHidden/>
              </w:rPr>
            </w:r>
            <w:r>
              <w:rPr>
                <w:noProof/>
                <w:webHidden/>
              </w:rPr>
              <w:fldChar w:fldCharType="separate"/>
            </w:r>
            <w:r>
              <w:rPr>
                <w:noProof/>
                <w:webHidden/>
              </w:rPr>
              <w:t>185</w:t>
            </w:r>
            <w:r>
              <w:rPr>
                <w:noProof/>
                <w:webHidden/>
              </w:rPr>
              <w:fldChar w:fldCharType="end"/>
            </w:r>
          </w:hyperlink>
        </w:p>
        <w:p w14:paraId="3AEDE17D" w14:textId="27155EE3"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709" w:history="1">
            <w:r w:rsidRPr="001A2BDC">
              <w:rPr>
                <w:rStyle w:val="Hyperlink"/>
                <w:noProof/>
              </w:rPr>
              <w:t>Economics Is About Limits</w:t>
            </w:r>
            <w:r>
              <w:rPr>
                <w:noProof/>
                <w:webHidden/>
              </w:rPr>
              <w:tab/>
            </w:r>
            <w:r>
              <w:rPr>
                <w:noProof/>
                <w:webHidden/>
              </w:rPr>
              <w:fldChar w:fldCharType="begin"/>
            </w:r>
            <w:r>
              <w:rPr>
                <w:noProof/>
                <w:webHidden/>
              </w:rPr>
              <w:instrText xml:space="preserve"> PAGEREF _Toc227410709 \h </w:instrText>
            </w:r>
            <w:r>
              <w:rPr>
                <w:noProof/>
                <w:webHidden/>
              </w:rPr>
            </w:r>
            <w:r>
              <w:rPr>
                <w:noProof/>
                <w:webHidden/>
              </w:rPr>
              <w:fldChar w:fldCharType="separate"/>
            </w:r>
            <w:r>
              <w:rPr>
                <w:noProof/>
                <w:webHidden/>
              </w:rPr>
              <w:t>189</w:t>
            </w:r>
            <w:r>
              <w:rPr>
                <w:noProof/>
                <w:webHidden/>
              </w:rPr>
              <w:fldChar w:fldCharType="end"/>
            </w:r>
          </w:hyperlink>
        </w:p>
        <w:p w14:paraId="52F03DF1" w14:textId="0828F70C"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10" w:history="1">
            <w:r w:rsidRPr="001A2BDC">
              <w:rPr>
                <w:rStyle w:val="Hyperlink"/>
                <w:noProof/>
              </w:rPr>
              <w:t>Scarcity as the Starting Point</w:t>
            </w:r>
            <w:r>
              <w:rPr>
                <w:noProof/>
                <w:webHidden/>
              </w:rPr>
              <w:tab/>
            </w:r>
            <w:r>
              <w:rPr>
                <w:noProof/>
                <w:webHidden/>
              </w:rPr>
              <w:fldChar w:fldCharType="begin"/>
            </w:r>
            <w:r>
              <w:rPr>
                <w:noProof/>
                <w:webHidden/>
              </w:rPr>
              <w:instrText xml:space="preserve"> PAGEREF _Toc227410710 \h </w:instrText>
            </w:r>
            <w:r>
              <w:rPr>
                <w:noProof/>
                <w:webHidden/>
              </w:rPr>
            </w:r>
            <w:r>
              <w:rPr>
                <w:noProof/>
                <w:webHidden/>
              </w:rPr>
              <w:fldChar w:fldCharType="separate"/>
            </w:r>
            <w:r>
              <w:rPr>
                <w:noProof/>
                <w:webHidden/>
              </w:rPr>
              <w:t>190</w:t>
            </w:r>
            <w:r>
              <w:rPr>
                <w:noProof/>
                <w:webHidden/>
              </w:rPr>
              <w:fldChar w:fldCharType="end"/>
            </w:r>
          </w:hyperlink>
        </w:p>
        <w:p w14:paraId="658535F8" w14:textId="04F57F3F"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11" w:history="1">
            <w:r w:rsidRPr="001A2BDC">
              <w:rPr>
                <w:rStyle w:val="Hyperlink"/>
                <w:noProof/>
              </w:rPr>
              <w:t>Tradeoffs Are Not Moral Choices</w:t>
            </w:r>
            <w:r>
              <w:rPr>
                <w:noProof/>
                <w:webHidden/>
              </w:rPr>
              <w:tab/>
            </w:r>
            <w:r>
              <w:rPr>
                <w:noProof/>
                <w:webHidden/>
              </w:rPr>
              <w:fldChar w:fldCharType="begin"/>
            </w:r>
            <w:r>
              <w:rPr>
                <w:noProof/>
                <w:webHidden/>
              </w:rPr>
              <w:instrText xml:space="preserve"> PAGEREF _Toc227410711 \h </w:instrText>
            </w:r>
            <w:r>
              <w:rPr>
                <w:noProof/>
                <w:webHidden/>
              </w:rPr>
            </w:r>
            <w:r>
              <w:rPr>
                <w:noProof/>
                <w:webHidden/>
              </w:rPr>
              <w:fldChar w:fldCharType="separate"/>
            </w:r>
            <w:r>
              <w:rPr>
                <w:noProof/>
                <w:webHidden/>
              </w:rPr>
              <w:t>193</w:t>
            </w:r>
            <w:r>
              <w:rPr>
                <w:noProof/>
                <w:webHidden/>
              </w:rPr>
              <w:fldChar w:fldCharType="end"/>
            </w:r>
          </w:hyperlink>
        </w:p>
        <w:p w14:paraId="427448C1" w14:textId="20E1C25F"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12" w:history="1">
            <w:r w:rsidRPr="001A2BDC">
              <w:rPr>
                <w:rStyle w:val="Hyperlink"/>
                <w:noProof/>
              </w:rPr>
              <w:t>Why This Feels Uncomfortable</w:t>
            </w:r>
            <w:r>
              <w:rPr>
                <w:noProof/>
                <w:webHidden/>
              </w:rPr>
              <w:tab/>
            </w:r>
            <w:r>
              <w:rPr>
                <w:noProof/>
                <w:webHidden/>
              </w:rPr>
              <w:fldChar w:fldCharType="begin"/>
            </w:r>
            <w:r>
              <w:rPr>
                <w:noProof/>
                <w:webHidden/>
              </w:rPr>
              <w:instrText xml:space="preserve"> PAGEREF _Toc227410712 \h </w:instrText>
            </w:r>
            <w:r>
              <w:rPr>
                <w:noProof/>
                <w:webHidden/>
              </w:rPr>
            </w:r>
            <w:r>
              <w:rPr>
                <w:noProof/>
                <w:webHidden/>
              </w:rPr>
              <w:fldChar w:fldCharType="separate"/>
            </w:r>
            <w:r>
              <w:rPr>
                <w:noProof/>
                <w:webHidden/>
              </w:rPr>
              <w:t>197</w:t>
            </w:r>
            <w:r>
              <w:rPr>
                <w:noProof/>
                <w:webHidden/>
              </w:rPr>
              <w:fldChar w:fldCharType="end"/>
            </w:r>
          </w:hyperlink>
        </w:p>
        <w:p w14:paraId="0217EFE8" w14:textId="3271B83C"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13" w:history="1">
            <w:r w:rsidRPr="001A2BDC">
              <w:rPr>
                <w:rStyle w:val="Hyperlink"/>
                <w:noProof/>
              </w:rPr>
              <w:t>Three Resources, One Decision</w:t>
            </w:r>
            <w:r>
              <w:rPr>
                <w:noProof/>
                <w:webHidden/>
              </w:rPr>
              <w:tab/>
            </w:r>
            <w:r>
              <w:rPr>
                <w:noProof/>
                <w:webHidden/>
              </w:rPr>
              <w:fldChar w:fldCharType="begin"/>
            </w:r>
            <w:r>
              <w:rPr>
                <w:noProof/>
                <w:webHidden/>
              </w:rPr>
              <w:instrText xml:space="preserve"> PAGEREF _Toc227410713 \h </w:instrText>
            </w:r>
            <w:r>
              <w:rPr>
                <w:noProof/>
                <w:webHidden/>
              </w:rPr>
            </w:r>
            <w:r>
              <w:rPr>
                <w:noProof/>
                <w:webHidden/>
              </w:rPr>
              <w:fldChar w:fldCharType="separate"/>
            </w:r>
            <w:r>
              <w:rPr>
                <w:noProof/>
                <w:webHidden/>
              </w:rPr>
              <w:t>199</w:t>
            </w:r>
            <w:r>
              <w:rPr>
                <w:noProof/>
                <w:webHidden/>
              </w:rPr>
              <w:fldChar w:fldCharType="end"/>
            </w:r>
          </w:hyperlink>
        </w:p>
        <w:p w14:paraId="6B5B37F3" w14:textId="0517B4CF" w:rsidR="00FF32C8" w:rsidRDefault="00FF32C8">
          <w:pPr>
            <w:pStyle w:val="TOC1"/>
            <w:tabs>
              <w:tab w:val="right" w:leader="dot" w:pos="9350"/>
            </w:tabs>
            <w:rPr>
              <w:rFonts w:eastAsiaTheme="minorEastAsia" w:cstheme="minorBidi"/>
              <w:b w:val="0"/>
              <w:bCs w:val="0"/>
              <w:caps w:val="0"/>
              <w:noProof/>
              <w:kern w:val="2"/>
              <w:sz w:val="24"/>
              <w:szCs w:val="24"/>
              <w14:ligatures w14:val="standardContextual"/>
            </w:rPr>
          </w:pPr>
          <w:hyperlink w:anchor="_Toc227410714" w:history="1">
            <w:r w:rsidRPr="001A2BDC">
              <w:rPr>
                <w:rStyle w:val="Hyperlink"/>
                <w:noProof/>
              </w:rPr>
              <w:t>PART IV: The Illusion's Deepest Cost</w:t>
            </w:r>
            <w:r>
              <w:rPr>
                <w:noProof/>
                <w:webHidden/>
              </w:rPr>
              <w:tab/>
            </w:r>
            <w:r>
              <w:rPr>
                <w:noProof/>
                <w:webHidden/>
              </w:rPr>
              <w:fldChar w:fldCharType="begin"/>
            </w:r>
            <w:r>
              <w:rPr>
                <w:noProof/>
                <w:webHidden/>
              </w:rPr>
              <w:instrText xml:space="preserve"> PAGEREF _Toc227410714 \h </w:instrText>
            </w:r>
            <w:r>
              <w:rPr>
                <w:noProof/>
                <w:webHidden/>
              </w:rPr>
            </w:r>
            <w:r>
              <w:rPr>
                <w:noProof/>
                <w:webHidden/>
              </w:rPr>
              <w:fldChar w:fldCharType="separate"/>
            </w:r>
            <w:r>
              <w:rPr>
                <w:noProof/>
                <w:webHidden/>
              </w:rPr>
              <w:t>203</w:t>
            </w:r>
            <w:r>
              <w:rPr>
                <w:noProof/>
                <w:webHidden/>
              </w:rPr>
              <w:fldChar w:fldCharType="end"/>
            </w:r>
          </w:hyperlink>
        </w:p>
        <w:p w14:paraId="257E469D" w14:textId="42CD6B09"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715" w:history="1">
            <w:r w:rsidRPr="001A2BDC">
              <w:rPr>
                <w:rStyle w:val="Hyperlink"/>
                <w:noProof/>
              </w:rPr>
              <w:t>The Epistemic Commons</w:t>
            </w:r>
            <w:r>
              <w:rPr>
                <w:noProof/>
                <w:webHidden/>
              </w:rPr>
              <w:tab/>
            </w:r>
            <w:r>
              <w:rPr>
                <w:noProof/>
                <w:webHidden/>
              </w:rPr>
              <w:fldChar w:fldCharType="begin"/>
            </w:r>
            <w:r>
              <w:rPr>
                <w:noProof/>
                <w:webHidden/>
              </w:rPr>
              <w:instrText xml:space="preserve"> PAGEREF _Toc227410715 \h </w:instrText>
            </w:r>
            <w:r>
              <w:rPr>
                <w:noProof/>
                <w:webHidden/>
              </w:rPr>
            </w:r>
            <w:r>
              <w:rPr>
                <w:noProof/>
                <w:webHidden/>
              </w:rPr>
              <w:fldChar w:fldCharType="separate"/>
            </w:r>
            <w:r>
              <w:rPr>
                <w:noProof/>
                <w:webHidden/>
              </w:rPr>
              <w:t>205</w:t>
            </w:r>
            <w:r>
              <w:rPr>
                <w:noProof/>
                <w:webHidden/>
              </w:rPr>
              <w:fldChar w:fldCharType="end"/>
            </w:r>
          </w:hyperlink>
        </w:p>
        <w:p w14:paraId="7867BDA3" w14:textId="7D8071E8"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16" w:history="1">
            <w:r w:rsidRPr="001A2BDC">
              <w:rPr>
                <w:rStyle w:val="Hyperlink"/>
                <w:noProof/>
              </w:rPr>
              <w:t>The Pattern in Real Time</w:t>
            </w:r>
            <w:r>
              <w:rPr>
                <w:noProof/>
                <w:webHidden/>
              </w:rPr>
              <w:tab/>
            </w:r>
            <w:r>
              <w:rPr>
                <w:noProof/>
                <w:webHidden/>
              </w:rPr>
              <w:fldChar w:fldCharType="begin"/>
            </w:r>
            <w:r>
              <w:rPr>
                <w:noProof/>
                <w:webHidden/>
              </w:rPr>
              <w:instrText xml:space="preserve"> PAGEREF _Toc227410716 \h </w:instrText>
            </w:r>
            <w:r>
              <w:rPr>
                <w:noProof/>
                <w:webHidden/>
              </w:rPr>
            </w:r>
            <w:r>
              <w:rPr>
                <w:noProof/>
                <w:webHidden/>
              </w:rPr>
              <w:fldChar w:fldCharType="separate"/>
            </w:r>
            <w:r>
              <w:rPr>
                <w:noProof/>
                <w:webHidden/>
              </w:rPr>
              <w:t>206</w:t>
            </w:r>
            <w:r>
              <w:rPr>
                <w:noProof/>
                <w:webHidden/>
              </w:rPr>
              <w:fldChar w:fldCharType="end"/>
            </w:r>
          </w:hyperlink>
        </w:p>
        <w:p w14:paraId="3EE316CB" w14:textId="3D9B2205"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17" w:history="1">
            <w:r w:rsidRPr="001A2BDC">
              <w:rPr>
                <w:rStyle w:val="Hyperlink"/>
                <w:noProof/>
              </w:rPr>
              <w:t>The Ultimate Cost</w:t>
            </w:r>
            <w:r>
              <w:rPr>
                <w:noProof/>
                <w:webHidden/>
              </w:rPr>
              <w:tab/>
            </w:r>
            <w:r>
              <w:rPr>
                <w:noProof/>
                <w:webHidden/>
              </w:rPr>
              <w:fldChar w:fldCharType="begin"/>
            </w:r>
            <w:r>
              <w:rPr>
                <w:noProof/>
                <w:webHidden/>
              </w:rPr>
              <w:instrText xml:space="preserve"> PAGEREF _Toc227410717 \h </w:instrText>
            </w:r>
            <w:r>
              <w:rPr>
                <w:noProof/>
                <w:webHidden/>
              </w:rPr>
            </w:r>
            <w:r>
              <w:rPr>
                <w:noProof/>
                <w:webHidden/>
              </w:rPr>
              <w:fldChar w:fldCharType="separate"/>
            </w:r>
            <w:r>
              <w:rPr>
                <w:noProof/>
                <w:webHidden/>
              </w:rPr>
              <w:t>209</w:t>
            </w:r>
            <w:r>
              <w:rPr>
                <w:noProof/>
                <w:webHidden/>
              </w:rPr>
              <w:fldChar w:fldCharType="end"/>
            </w:r>
          </w:hyperlink>
        </w:p>
        <w:p w14:paraId="28EE37E6" w14:textId="38A0269C"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18" w:history="1">
            <w:r w:rsidRPr="001A2BDC">
              <w:rPr>
                <w:rStyle w:val="Hyperlink"/>
                <w:noProof/>
              </w:rPr>
              <w:t>Why This Matters Now</w:t>
            </w:r>
            <w:r>
              <w:rPr>
                <w:noProof/>
                <w:webHidden/>
              </w:rPr>
              <w:tab/>
            </w:r>
            <w:r>
              <w:rPr>
                <w:noProof/>
                <w:webHidden/>
              </w:rPr>
              <w:fldChar w:fldCharType="begin"/>
            </w:r>
            <w:r>
              <w:rPr>
                <w:noProof/>
                <w:webHidden/>
              </w:rPr>
              <w:instrText xml:space="preserve"> PAGEREF _Toc227410718 \h </w:instrText>
            </w:r>
            <w:r>
              <w:rPr>
                <w:noProof/>
                <w:webHidden/>
              </w:rPr>
            </w:r>
            <w:r>
              <w:rPr>
                <w:noProof/>
                <w:webHidden/>
              </w:rPr>
              <w:fldChar w:fldCharType="separate"/>
            </w:r>
            <w:r>
              <w:rPr>
                <w:noProof/>
                <w:webHidden/>
              </w:rPr>
              <w:t>212</w:t>
            </w:r>
            <w:r>
              <w:rPr>
                <w:noProof/>
                <w:webHidden/>
              </w:rPr>
              <w:fldChar w:fldCharType="end"/>
            </w:r>
          </w:hyperlink>
        </w:p>
        <w:p w14:paraId="55E33756" w14:textId="62330C76"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19" w:history="1">
            <w:r w:rsidRPr="001A2BDC">
              <w:rPr>
                <w:rStyle w:val="Hyperlink"/>
                <w:noProof/>
              </w:rPr>
              <w:t>The Verification Triage</w:t>
            </w:r>
            <w:r>
              <w:rPr>
                <w:noProof/>
                <w:webHidden/>
              </w:rPr>
              <w:tab/>
            </w:r>
            <w:r>
              <w:rPr>
                <w:noProof/>
                <w:webHidden/>
              </w:rPr>
              <w:fldChar w:fldCharType="begin"/>
            </w:r>
            <w:r>
              <w:rPr>
                <w:noProof/>
                <w:webHidden/>
              </w:rPr>
              <w:instrText xml:space="preserve"> PAGEREF _Toc227410719 \h </w:instrText>
            </w:r>
            <w:r>
              <w:rPr>
                <w:noProof/>
                <w:webHidden/>
              </w:rPr>
            </w:r>
            <w:r>
              <w:rPr>
                <w:noProof/>
                <w:webHidden/>
              </w:rPr>
              <w:fldChar w:fldCharType="separate"/>
            </w:r>
            <w:r>
              <w:rPr>
                <w:noProof/>
                <w:webHidden/>
              </w:rPr>
              <w:t>215</w:t>
            </w:r>
            <w:r>
              <w:rPr>
                <w:noProof/>
                <w:webHidden/>
              </w:rPr>
              <w:fldChar w:fldCharType="end"/>
            </w:r>
          </w:hyperlink>
        </w:p>
        <w:p w14:paraId="08CED4B5" w14:textId="3CF7F310"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720" w:history="1">
            <w:r w:rsidRPr="001A2BDC">
              <w:rPr>
                <w:rStyle w:val="Hyperlink"/>
                <w:noProof/>
              </w:rPr>
              <w:t>When Measurement Becomes a Moral Threat</w:t>
            </w:r>
            <w:r>
              <w:rPr>
                <w:noProof/>
                <w:webHidden/>
              </w:rPr>
              <w:tab/>
            </w:r>
            <w:r>
              <w:rPr>
                <w:noProof/>
                <w:webHidden/>
              </w:rPr>
              <w:fldChar w:fldCharType="begin"/>
            </w:r>
            <w:r>
              <w:rPr>
                <w:noProof/>
                <w:webHidden/>
              </w:rPr>
              <w:instrText xml:space="preserve"> PAGEREF _Toc227410720 \h </w:instrText>
            </w:r>
            <w:r>
              <w:rPr>
                <w:noProof/>
                <w:webHidden/>
              </w:rPr>
            </w:r>
            <w:r>
              <w:rPr>
                <w:noProof/>
                <w:webHidden/>
              </w:rPr>
              <w:fldChar w:fldCharType="separate"/>
            </w:r>
            <w:r>
              <w:rPr>
                <w:noProof/>
                <w:webHidden/>
              </w:rPr>
              <w:t>220</w:t>
            </w:r>
            <w:r>
              <w:rPr>
                <w:noProof/>
                <w:webHidden/>
              </w:rPr>
              <w:fldChar w:fldCharType="end"/>
            </w:r>
          </w:hyperlink>
        </w:p>
        <w:p w14:paraId="01C2DDE7" w14:textId="6B9797ED"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21" w:history="1">
            <w:r w:rsidRPr="001A2BDC">
              <w:rPr>
                <w:rStyle w:val="Hyperlink"/>
                <w:noProof/>
              </w:rPr>
              <w:t>When Measuring Ability Became Morally Suspect</w:t>
            </w:r>
            <w:r>
              <w:rPr>
                <w:noProof/>
                <w:webHidden/>
              </w:rPr>
              <w:tab/>
            </w:r>
            <w:r>
              <w:rPr>
                <w:noProof/>
                <w:webHidden/>
              </w:rPr>
              <w:fldChar w:fldCharType="begin"/>
            </w:r>
            <w:r>
              <w:rPr>
                <w:noProof/>
                <w:webHidden/>
              </w:rPr>
              <w:instrText xml:space="preserve"> PAGEREF _Toc227410721 \h </w:instrText>
            </w:r>
            <w:r>
              <w:rPr>
                <w:noProof/>
                <w:webHidden/>
              </w:rPr>
            </w:r>
            <w:r>
              <w:rPr>
                <w:noProof/>
                <w:webHidden/>
              </w:rPr>
              <w:fldChar w:fldCharType="separate"/>
            </w:r>
            <w:r>
              <w:rPr>
                <w:noProof/>
                <w:webHidden/>
              </w:rPr>
              <w:t>222</w:t>
            </w:r>
            <w:r>
              <w:rPr>
                <w:noProof/>
                <w:webHidden/>
              </w:rPr>
              <w:fldChar w:fldCharType="end"/>
            </w:r>
          </w:hyperlink>
        </w:p>
        <w:p w14:paraId="2BC79899" w14:textId="3A80B95C"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22" w:history="1">
            <w:r w:rsidRPr="001A2BDC">
              <w:rPr>
                <w:rStyle w:val="Hyperlink"/>
                <w:noProof/>
              </w:rPr>
              <w:t>When Economics Became a Moral Liability</w:t>
            </w:r>
            <w:r>
              <w:rPr>
                <w:noProof/>
                <w:webHidden/>
              </w:rPr>
              <w:tab/>
            </w:r>
            <w:r>
              <w:rPr>
                <w:noProof/>
                <w:webHidden/>
              </w:rPr>
              <w:fldChar w:fldCharType="begin"/>
            </w:r>
            <w:r>
              <w:rPr>
                <w:noProof/>
                <w:webHidden/>
              </w:rPr>
              <w:instrText xml:space="preserve"> PAGEREF _Toc227410722 \h </w:instrText>
            </w:r>
            <w:r>
              <w:rPr>
                <w:noProof/>
                <w:webHidden/>
              </w:rPr>
            </w:r>
            <w:r>
              <w:rPr>
                <w:noProof/>
                <w:webHidden/>
              </w:rPr>
              <w:fldChar w:fldCharType="separate"/>
            </w:r>
            <w:r>
              <w:rPr>
                <w:noProof/>
                <w:webHidden/>
              </w:rPr>
              <w:t>225</w:t>
            </w:r>
            <w:r>
              <w:rPr>
                <w:noProof/>
                <w:webHidden/>
              </w:rPr>
              <w:fldChar w:fldCharType="end"/>
            </w:r>
          </w:hyperlink>
        </w:p>
        <w:p w14:paraId="2335E979" w14:textId="68542039"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23" w:history="1">
            <w:r w:rsidRPr="001A2BDC">
              <w:rPr>
                <w:rStyle w:val="Hyperlink"/>
                <w:noProof/>
              </w:rPr>
              <w:t>Constraint, Blindness, and the Cost of Refusal</w:t>
            </w:r>
            <w:r>
              <w:rPr>
                <w:noProof/>
                <w:webHidden/>
              </w:rPr>
              <w:tab/>
            </w:r>
            <w:r>
              <w:rPr>
                <w:noProof/>
                <w:webHidden/>
              </w:rPr>
              <w:fldChar w:fldCharType="begin"/>
            </w:r>
            <w:r>
              <w:rPr>
                <w:noProof/>
                <w:webHidden/>
              </w:rPr>
              <w:instrText xml:space="preserve"> PAGEREF _Toc227410723 \h </w:instrText>
            </w:r>
            <w:r>
              <w:rPr>
                <w:noProof/>
                <w:webHidden/>
              </w:rPr>
            </w:r>
            <w:r>
              <w:rPr>
                <w:noProof/>
                <w:webHidden/>
              </w:rPr>
              <w:fldChar w:fldCharType="separate"/>
            </w:r>
            <w:r>
              <w:rPr>
                <w:noProof/>
                <w:webHidden/>
              </w:rPr>
              <w:t>228</w:t>
            </w:r>
            <w:r>
              <w:rPr>
                <w:noProof/>
                <w:webHidden/>
              </w:rPr>
              <w:fldChar w:fldCharType="end"/>
            </w:r>
          </w:hyperlink>
        </w:p>
        <w:p w14:paraId="664A80CD" w14:textId="079C9BCE"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24" w:history="1">
            <w:r w:rsidRPr="001A2BDC">
              <w:rPr>
                <w:rStyle w:val="Hyperlink"/>
                <w:noProof/>
              </w:rPr>
              <w:t>The Delegitimization Test</w:t>
            </w:r>
            <w:r>
              <w:rPr>
                <w:noProof/>
                <w:webHidden/>
              </w:rPr>
              <w:tab/>
            </w:r>
            <w:r>
              <w:rPr>
                <w:noProof/>
                <w:webHidden/>
              </w:rPr>
              <w:fldChar w:fldCharType="begin"/>
            </w:r>
            <w:r>
              <w:rPr>
                <w:noProof/>
                <w:webHidden/>
              </w:rPr>
              <w:instrText xml:space="preserve"> PAGEREF _Toc227410724 \h </w:instrText>
            </w:r>
            <w:r>
              <w:rPr>
                <w:noProof/>
                <w:webHidden/>
              </w:rPr>
            </w:r>
            <w:r>
              <w:rPr>
                <w:noProof/>
                <w:webHidden/>
              </w:rPr>
              <w:fldChar w:fldCharType="separate"/>
            </w:r>
            <w:r>
              <w:rPr>
                <w:noProof/>
                <w:webHidden/>
              </w:rPr>
              <w:t>229</w:t>
            </w:r>
            <w:r>
              <w:rPr>
                <w:noProof/>
                <w:webHidden/>
              </w:rPr>
              <w:fldChar w:fldCharType="end"/>
            </w:r>
          </w:hyperlink>
        </w:p>
        <w:p w14:paraId="533C1B01" w14:textId="31C66BAA"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725" w:history="1">
            <w:r w:rsidRPr="001A2BDC">
              <w:rPr>
                <w:rStyle w:val="Hyperlink"/>
                <w:noProof/>
              </w:rPr>
              <w:t>Why Scale No Longer Constrains Ambition</w:t>
            </w:r>
            <w:r>
              <w:rPr>
                <w:noProof/>
                <w:webHidden/>
              </w:rPr>
              <w:tab/>
            </w:r>
            <w:r>
              <w:rPr>
                <w:noProof/>
                <w:webHidden/>
              </w:rPr>
              <w:fldChar w:fldCharType="begin"/>
            </w:r>
            <w:r>
              <w:rPr>
                <w:noProof/>
                <w:webHidden/>
              </w:rPr>
              <w:instrText xml:space="preserve"> PAGEREF _Toc227410725 \h </w:instrText>
            </w:r>
            <w:r>
              <w:rPr>
                <w:noProof/>
                <w:webHidden/>
              </w:rPr>
            </w:r>
            <w:r>
              <w:rPr>
                <w:noProof/>
                <w:webHidden/>
              </w:rPr>
              <w:fldChar w:fldCharType="separate"/>
            </w:r>
            <w:r>
              <w:rPr>
                <w:noProof/>
                <w:webHidden/>
              </w:rPr>
              <w:t>233</w:t>
            </w:r>
            <w:r>
              <w:rPr>
                <w:noProof/>
                <w:webHidden/>
              </w:rPr>
              <w:fldChar w:fldCharType="end"/>
            </w:r>
          </w:hyperlink>
        </w:p>
        <w:p w14:paraId="43E4C9BC" w14:textId="0B6AD474"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26" w:history="1">
            <w:r w:rsidRPr="001A2BDC">
              <w:rPr>
                <w:rStyle w:val="Hyperlink"/>
                <w:noProof/>
              </w:rPr>
              <w:t>What Mathematical Thinking Actually Is</w:t>
            </w:r>
            <w:r>
              <w:rPr>
                <w:noProof/>
                <w:webHidden/>
              </w:rPr>
              <w:tab/>
            </w:r>
            <w:r>
              <w:rPr>
                <w:noProof/>
                <w:webHidden/>
              </w:rPr>
              <w:fldChar w:fldCharType="begin"/>
            </w:r>
            <w:r>
              <w:rPr>
                <w:noProof/>
                <w:webHidden/>
              </w:rPr>
              <w:instrText xml:space="preserve"> PAGEREF _Toc227410726 \h </w:instrText>
            </w:r>
            <w:r>
              <w:rPr>
                <w:noProof/>
                <w:webHidden/>
              </w:rPr>
            </w:r>
            <w:r>
              <w:rPr>
                <w:noProof/>
                <w:webHidden/>
              </w:rPr>
              <w:fldChar w:fldCharType="separate"/>
            </w:r>
            <w:r>
              <w:rPr>
                <w:noProof/>
                <w:webHidden/>
              </w:rPr>
              <w:t>234</w:t>
            </w:r>
            <w:r>
              <w:rPr>
                <w:noProof/>
                <w:webHidden/>
              </w:rPr>
              <w:fldChar w:fldCharType="end"/>
            </w:r>
          </w:hyperlink>
        </w:p>
        <w:p w14:paraId="3B1BF901" w14:textId="6CD11CDD"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27" w:history="1">
            <w:r w:rsidRPr="001A2BDC">
              <w:rPr>
                <w:rStyle w:val="Hyperlink"/>
                <w:noProof/>
              </w:rPr>
              <w:t>Why Losing It Costs More Than Losing a Subject</w:t>
            </w:r>
            <w:r>
              <w:rPr>
                <w:noProof/>
                <w:webHidden/>
              </w:rPr>
              <w:tab/>
            </w:r>
            <w:r>
              <w:rPr>
                <w:noProof/>
                <w:webHidden/>
              </w:rPr>
              <w:fldChar w:fldCharType="begin"/>
            </w:r>
            <w:r>
              <w:rPr>
                <w:noProof/>
                <w:webHidden/>
              </w:rPr>
              <w:instrText xml:space="preserve"> PAGEREF _Toc227410727 \h </w:instrText>
            </w:r>
            <w:r>
              <w:rPr>
                <w:noProof/>
                <w:webHidden/>
              </w:rPr>
            </w:r>
            <w:r>
              <w:rPr>
                <w:noProof/>
                <w:webHidden/>
              </w:rPr>
              <w:fldChar w:fldCharType="separate"/>
            </w:r>
            <w:r>
              <w:rPr>
                <w:noProof/>
                <w:webHidden/>
              </w:rPr>
              <w:t>236</w:t>
            </w:r>
            <w:r>
              <w:rPr>
                <w:noProof/>
                <w:webHidden/>
              </w:rPr>
              <w:fldChar w:fldCharType="end"/>
            </w:r>
          </w:hyperlink>
        </w:p>
        <w:p w14:paraId="3B2C6EAF" w14:textId="051EDDFA"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28" w:history="1">
            <w:r w:rsidRPr="001A2BDC">
              <w:rPr>
                <w:rStyle w:val="Hyperlink"/>
                <w:noProof/>
              </w:rPr>
              <w:t>How the System Stopped Requiring It</w:t>
            </w:r>
            <w:r>
              <w:rPr>
                <w:noProof/>
                <w:webHidden/>
              </w:rPr>
              <w:tab/>
            </w:r>
            <w:r>
              <w:rPr>
                <w:noProof/>
                <w:webHidden/>
              </w:rPr>
              <w:fldChar w:fldCharType="begin"/>
            </w:r>
            <w:r>
              <w:rPr>
                <w:noProof/>
                <w:webHidden/>
              </w:rPr>
              <w:instrText xml:space="preserve"> PAGEREF _Toc227410728 \h </w:instrText>
            </w:r>
            <w:r>
              <w:rPr>
                <w:noProof/>
                <w:webHidden/>
              </w:rPr>
            </w:r>
            <w:r>
              <w:rPr>
                <w:noProof/>
                <w:webHidden/>
              </w:rPr>
              <w:fldChar w:fldCharType="separate"/>
            </w:r>
            <w:r>
              <w:rPr>
                <w:noProof/>
                <w:webHidden/>
              </w:rPr>
              <w:t>238</w:t>
            </w:r>
            <w:r>
              <w:rPr>
                <w:noProof/>
                <w:webHidden/>
              </w:rPr>
              <w:fldChar w:fldCharType="end"/>
            </w:r>
          </w:hyperlink>
        </w:p>
        <w:p w14:paraId="329F08D1" w14:textId="20455888"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29" w:history="1">
            <w:r w:rsidRPr="001A2BDC">
              <w:rPr>
                <w:rStyle w:val="Hyperlink"/>
                <w:noProof/>
              </w:rPr>
              <w:t>What Fills the Vacuum</w:t>
            </w:r>
            <w:r>
              <w:rPr>
                <w:noProof/>
                <w:webHidden/>
              </w:rPr>
              <w:tab/>
            </w:r>
            <w:r>
              <w:rPr>
                <w:noProof/>
                <w:webHidden/>
              </w:rPr>
              <w:fldChar w:fldCharType="begin"/>
            </w:r>
            <w:r>
              <w:rPr>
                <w:noProof/>
                <w:webHidden/>
              </w:rPr>
              <w:instrText xml:space="preserve"> PAGEREF _Toc227410729 \h </w:instrText>
            </w:r>
            <w:r>
              <w:rPr>
                <w:noProof/>
                <w:webHidden/>
              </w:rPr>
            </w:r>
            <w:r>
              <w:rPr>
                <w:noProof/>
                <w:webHidden/>
              </w:rPr>
              <w:fldChar w:fldCharType="separate"/>
            </w:r>
            <w:r>
              <w:rPr>
                <w:noProof/>
                <w:webHidden/>
              </w:rPr>
              <w:t>242</w:t>
            </w:r>
            <w:r>
              <w:rPr>
                <w:noProof/>
                <w:webHidden/>
              </w:rPr>
              <w:fldChar w:fldCharType="end"/>
            </w:r>
          </w:hyperlink>
        </w:p>
        <w:p w14:paraId="1A21FA38" w14:textId="1499F1F8"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30" w:history="1">
            <w:r w:rsidRPr="001A2BDC">
              <w:rPr>
                <w:rStyle w:val="Hyperlink"/>
                <w:noProof/>
              </w:rPr>
              <w:t>The Dual Degradation</w:t>
            </w:r>
            <w:r>
              <w:rPr>
                <w:noProof/>
                <w:webHidden/>
              </w:rPr>
              <w:tab/>
            </w:r>
            <w:r>
              <w:rPr>
                <w:noProof/>
                <w:webHidden/>
              </w:rPr>
              <w:fldChar w:fldCharType="begin"/>
            </w:r>
            <w:r>
              <w:rPr>
                <w:noProof/>
                <w:webHidden/>
              </w:rPr>
              <w:instrText xml:space="preserve"> PAGEREF _Toc227410730 \h </w:instrText>
            </w:r>
            <w:r>
              <w:rPr>
                <w:noProof/>
                <w:webHidden/>
              </w:rPr>
            </w:r>
            <w:r>
              <w:rPr>
                <w:noProof/>
                <w:webHidden/>
              </w:rPr>
              <w:fldChar w:fldCharType="separate"/>
            </w:r>
            <w:r>
              <w:rPr>
                <w:noProof/>
                <w:webHidden/>
              </w:rPr>
              <w:t>244</w:t>
            </w:r>
            <w:r>
              <w:rPr>
                <w:noProof/>
                <w:webHidden/>
              </w:rPr>
              <w:fldChar w:fldCharType="end"/>
            </w:r>
          </w:hyperlink>
        </w:p>
        <w:p w14:paraId="2488E3FA" w14:textId="05AE16A8"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31" w:history="1">
            <w:r w:rsidRPr="001A2BDC">
              <w:rPr>
                <w:rStyle w:val="Hyperlink"/>
                <w:noProof/>
              </w:rPr>
              <w:t>The Scale Test</w:t>
            </w:r>
            <w:r>
              <w:rPr>
                <w:noProof/>
                <w:webHidden/>
              </w:rPr>
              <w:tab/>
            </w:r>
            <w:r>
              <w:rPr>
                <w:noProof/>
                <w:webHidden/>
              </w:rPr>
              <w:fldChar w:fldCharType="begin"/>
            </w:r>
            <w:r>
              <w:rPr>
                <w:noProof/>
                <w:webHidden/>
              </w:rPr>
              <w:instrText xml:space="preserve"> PAGEREF _Toc227410731 \h </w:instrText>
            </w:r>
            <w:r>
              <w:rPr>
                <w:noProof/>
                <w:webHidden/>
              </w:rPr>
            </w:r>
            <w:r>
              <w:rPr>
                <w:noProof/>
                <w:webHidden/>
              </w:rPr>
              <w:fldChar w:fldCharType="separate"/>
            </w:r>
            <w:r>
              <w:rPr>
                <w:noProof/>
                <w:webHidden/>
              </w:rPr>
              <w:t>246</w:t>
            </w:r>
            <w:r>
              <w:rPr>
                <w:noProof/>
                <w:webHidden/>
              </w:rPr>
              <w:fldChar w:fldCharType="end"/>
            </w:r>
          </w:hyperlink>
        </w:p>
        <w:p w14:paraId="329EB90D" w14:textId="7AC58D47"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732" w:history="1">
            <w:r w:rsidRPr="001A2BDC">
              <w:rPr>
                <w:rStyle w:val="Hyperlink"/>
                <w:noProof/>
              </w:rPr>
              <w:t xml:space="preserve">The </w:t>
            </w:r>
            <w:r w:rsidRPr="001A2BDC">
              <w:rPr>
                <w:rStyle w:val="Hyperlink"/>
                <w:i/>
                <w:iCs/>
                <w:noProof/>
              </w:rPr>
              <w:t>Ceteris Paribus</w:t>
            </w:r>
            <w:r w:rsidRPr="001A2BDC">
              <w:rPr>
                <w:rStyle w:val="Hyperlink"/>
                <w:noProof/>
              </w:rPr>
              <w:t xml:space="preserve"> Paradox</w:t>
            </w:r>
            <w:r>
              <w:rPr>
                <w:noProof/>
                <w:webHidden/>
              </w:rPr>
              <w:tab/>
            </w:r>
            <w:r>
              <w:rPr>
                <w:noProof/>
                <w:webHidden/>
              </w:rPr>
              <w:fldChar w:fldCharType="begin"/>
            </w:r>
            <w:r>
              <w:rPr>
                <w:noProof/>
                <w:webHidden/>
              </w:rPr>
              <w:instrText xml:space="preserve"> PAGEREF _Toc227410732 \h </w:instrText>
            </w:r>
            <w:r>
              <w:rPr>
                <w:noProof/>
                <w:webHidden/>
              </w:rPr>
            </w:r>
            <w:r>
              <w:rPr>
                <w:noProof/>
                <w:webHidden/>
              </w:rPr>
              <w:fldChar w:fldCharType="separate"/>
            </w:r>
            <w:r>
              <w:rPr>
                <w:noProof/>
                <w:webHidden/>
              </w:rPr>
              <w:t>250</w:t>
            </w:r>
            <w:r>
              <w:rPr>
                <w:noProof/>
                <w:webHidden/>
              </w:rPr>
              <w:fldChar w:fldCharType="end"/>
            </w:r>
          </w:hyperlink>
        </w:p>
        <w:p w14:paraId="0E2DE94A" w14:textId="65A051C7"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33" w:history="1">
            <w:r w:rsidRPr="001A2BDC">
              <w:rPr>
                <w:rStyle w:val="Hyperlink"/>
                <w:noProof/>
              </w:rPr>
              <w:t>The Assumption That Builds the Building</w:t>
            </w:r>
            <w:r>
              <w:rPr>
                <w:noProof/>
                <w:webHidden/>
              </w:rPr>
              <w:tab/>
            </w:r>
            <w:r>
              <w:rPr>
                <w:noProof/>
                <w:webHidden/>
              </w:rPr>
              <w:fldChar w:fldCharType="begin"/>
            </w:r>
            <w:r>
              <w:rPr>
                <w:noProof/>
                <w:webHidden/>
              </w:rPr>
              <w:instrText xml:space="preserve"> PAGEREF _Toc227410733 \h </w:instrText>
            </w:r>
            <w:r>
              <w:rPr>
                <w:noProof/>
                <w:webHidden/>
              </w:rPr>
            </w:r>
            <w:r>
              <w:rPr>
                <w:noProof/>
                <w:webHidden/>
              </w:rPr>
              <w:fldChar w:fldCharType="separate"/>
            </w:r>
            <w:r>
              <w:rPr>
                <w:noProof/>
                <w:webHidden/>
              </w:rPr>
              <w:t>251</w:t>
            </w:r>
            <w:r>
              <w:rPr>
                <w:noProof/>
                <w:webHidden/>
              </w:rPr>
              <w:fldChar w:fldCharType="end"/>
            </w:r>
          </w:hyperlink>
        </w:p>
        <w:p w14:paraId="125B6CE4" w14:textId="657C16E0"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34" w:history="1">
            <w:r w:rsidRPr="001A2BDC">
              <w:rPr>
                <w:rStyle w:val="Hyperlink"/>
                <w:noProof/>
              </w:rPr>
              <w:t>When Ceteris Paribus Meets Reality</w:t>
            </w:r>
            <w:r>
              <w:rPr>
                <w:noProof/>
                <w:webHidden/>
              </w:rPr>
              <w:tab/>
            </w:r>
            <w:r>
              <w:rPr>
                <w:noProof/>
                <w:webHidden/>
              </w:rPr>
              <w:fldChar w:fldCharType="begin"/>
            </w:r>
            <w:r>
              <w:rPr>
                <w:noProof/>
                <w:webHidden/>
              </w:rPr>
              <w:instrText xml:space="preserve"> PAGEREF _Toc227410734 \h </w:instrText>
            </w:r>
            <w:r>
              <w:rPr>
                <w:noProof/>
                <w:webHidden/>
              </w:rPr>
            </w:r>
            <w:r>
              <w:rPr>
                <w:noProof/>
                <w:webHidden/>
              </w:rPr>
              <w:fldChar w:fldCharType="separate"/>
            </w:r>
            <w:r>
              <w:rPr>
                <w:noProof/>
                <w:webHidden/>
              </w:rPr>
              <w:t>253</w:t>
            </w:r>
            <w:r>
              <w:rPr>
                <w:noProof/>
                <w:webHidden/>
              </w:rPr>
              <w:fldChar w:fldCharType="end"/>
            </w:r>
          </w:hyperlink>
        </w:p>
        <w:p w14:paraId="586D125C" w14:textId="14C4060B"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35" w:history="1">
            <w:r w:rsidRPr="001A2BDC">
              <w:rPr>
                <w:rStyle w:val="Hyperlink"/>
                <w:noProof/>
              </w:rPr>
              <w:t>The Final Free Lunch</w:t>
            </w:r>
            <w:r>
              <w:rPr>
                <w:noProof/>
                <w:webHidden/>
              </w:rPr>
              <w:tab/>
            </w:r>
            <w:r>
              <w:rPr>
                <w:noProof/>
                <w:webHidden/>
              </w:rPr>
              <w:fldChar w:fldCharType="begin"/>
            </w:r>
            <w:r>
              <w:rPr>
                <w:noProof/>
                <w:webHidden/>
              </w:rPr>
              <w:instrText xml:space="preserve"> PAGEREF _Toc227410735 \h </w:instrText>
            </w:r>
            <w:r>
              <w:rPr>
                <w:noProof/>
                <w:webHidden/>
              </w:rPr>
            </w:r>
            <w:r>
              <w:rPr>
                <w:noProof/>
                <w:webHidden/>
              </w:rPr>
              <w:fldChar w:fldCharType="separate"/>
            </w:r>
            <w:r>
              <w:rPr>
                <w:noProof/>
                <w:webHidden/>
              </w:rPr>
              <w:t>256</w:t>
            </w:r>
            <w:r>
              <w:rPr>
                <w:noProof/>
                <w:webHidden/>
              </w:rPr>
              <w:fldChar w:fldCharType="end"/>
            </w:r>
          </w:hyperlink>
        </w:p>
        <w:p w14:paraId="6B6641B7" w14:textId="1004A897" w:rsidR="00FF32C8" w:rsidRDefault="00FF32C8">
          <w:pPr>
            <w:pStyle w:val="TOC3"/>
            <w:tabs>
              <w:tab w:val="right" w:leader="dot" w:pos="9350"/>
            </w:tabs>
            <w:rPr>
              <w:rFonts w:eastAsiaTheme="minorEastAsia" w:cstheme="minorBidi"/>
              <w:i w:val="0"/>
              <w:iCs w:val="0"/>
              <w:noProof/>
              <w:kern w:val="2"/>
              <w:sz w:val="24"/>
              <w:szCs w:val="24"/>
              <w14:ligatures w14:val="standardContextual"/>
            </w:rPr>
          </w:pPr>
          <w:hyperlink w:anchor="_Toc227410736" w:history="1">
            <w:r w:rsidRPr="001A2BDC">
              <w:rPr>
                <w:rStyle w:val="Hyperlink"/>
                <w:noProof/>
              </w:rPr>
              <w:t>The Ceteris Paribus Detector</w:t>
            </w:r>
            <w:r>
              <w:rPr>
                <w:noProof/>
                <w:webHidden/>
              </w:rPr>
              <w:tab/>
            </w:r>
            <w:r>
              <w:rPr>
                <w:noProof/>
                <w:webHidden/>
              </w:rPr>
              <w:fldChar w:fldCharType="begin"/>
            </w:r>
            <w:r>
              <w:rPr>
                <w:noProof/>
                <w:webHidden/>
              </w:rPr>
              <w:instrText xml:space="preserve"> PAGEREF _Toc227410736 \h </w:instrText>
            </w:r>
            <w:r>
              <w:rPr>
                <w:noProof/>
                <w:webHidden/>
              </w:rPr>
            </w:r>
            <w:r>
              <w:rPr>
                <w:noProof/>
                <w:webHidden/>
              </w:rPr>
              <w:fldChar w:fldCharType="separate"/>
            </w:r>
            <w:r>
              <w:rPr>
                <w:noProof/>
                <w:webHidden/>
              </w:rPr>
              <w:t>258</w:t>
            </w:r>
            <w:r>
              <w:rPr>
                <w:noProof/>
                <w:webHidden/>
              </w:rPr>
              <w:fldChar w:fldCharType="end"/>
            </w:r>
          </w:hyperlink>
        </w:p>
        <w:p w14:paraId="4CF3F1B5" w14:textId="1295495A" w:rsidR="00FF32C8" w:rsidRDefault="00FF32C8">
          <w:pPr>
            <w:pStyle w:val="TOC1"/>
            <w:tabs>
              <w:tab w:val="right" w:leader="dot" w:pos="9350"/>
            </w:tabs>
            <w:rPr>
              <w:rFonts w:eastAsiaTheme="minorEastAsia" w:cstheme="minorBidi"/>
              <w:b w:val="0"/>
              <w:bCs w:val="0"/>
              <w:caps w:val="0"/>
              <w:noProof/>
              <w:kern w:val="2"/>
              <w:sz w:val="24"/>
              <w:szCs w:val="24"/>
              <w14:ligatures w14:val="standardContextual"/>
            </w:rPr>
          </w:pPr>
          <w:hyperlink w:anchor="_Toc227410737" w:history="1">
            <w:r w:rsidRPr="001A2BDC">
              <w:rPr>
                <w:rStyle w:val="Hyperlink"/>
                <w:noProof/>
              </w:rPr>
              <w:t>The Ultimate Ignorance Tax: A Case Study in Government Fraud</w:t>
            </w:r>
            <w:r>
              <w:rPr>
                <w:noProof/>
                <w:webHidden/>
              </w:rPr>
              <w:tab/>
            </w:r>
            <w:r>
              <w:rPr>
                <w:noProof/>
                <w:webHidden/>
              </w:rPr>
              <w:fldChar w:fldCharType="begin"/>
            </w:r>
            <w:r>
              <w:rPr>
                <w:noProof/>
                <w:webHidden/>
              </w:rPr>
              <w:instrText xml:space="preserve"> PAGEREF _Toc227410737 \h </w:instrText>
            </w:r>
            <w:r>
              <w:rPr>
                <w:noProof/>
                <w:webHidden/>
              </w:rPr>
            </w:r>
            <w:r>
              <w:rPr>
                <w:noProof/>
                <w:webHidden/>
              </w:rPr>
              <w:fldChar w:fldCharType="separate"/>
            </w:r>
            <w:r>
              <w:rPr>
                <w:noProof/>
                <w:webHidden/>
              </w:rPr>
              <w:t>263</w:t>
            </w:r>
            <w:r>
              <w:rPr>
                <w:noProof/>
                <w:webHidden/>
              </w:rPr>
              <w:fldChar w:fldCharType="end"/>
            </w:r>
          </w:hyperlink>
        </w:p>
        <w:p w14:paraId="458C79B5" w14:textId="1FDA1C3B"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738" w:history="1">
            <w:r w:rsidRPr="001A2BDC">
              <w:rPr>
                <w:rStyle w:val="Hyperlink"/>
                <w:noProof/>
              </w:rPr>
              <w:t>Free Lunch Thinking</w:t>
            </w:r>
            <w:r>
              <w:rPr>
                <w:noProof/>
                <w:webHidden/>
              </w:rPr>
              <w:tab/>
            </w:r>
            <w:r>
              <w:rPr>
                <w:noProof/>
                <w:webHidden/>
              </w:rPr>
              <w:fldChar w:fldCharType="begin"/>
            </w:r>
            <w:r>
              <w:rPr>
                <w:noProof/>
                <w:webHidden/>
              </w:rPr>
              <w:instrText xml:space="preserve"> PAGEREF _Toc227410738 \h </w:instrText>
            </w:r>
            <w:r>
              <w:rPr>
                <w:noProof/>
                <w:webHidden/>
              </w:rPr>
            </w:r>
            <w:r>
              <w:rPr>
                <w:noProof/>
                <w:webHidden/>
              </w:rPr>
              <w:fldChar w:fldCharType="separate"/>
            </w:r>
            <w:r>
              <w:rPr>
                <w:noProof/>
                <w:webHidden/>
              </w:rPr>
              <w:t>265</w:t>
            </w:r>
            <w:r>
              <w:rPr>
                <w:noProof/>
                <w:webHidden/>
              </w:rPr>
              <w:fldChar w:fldCharType="end"/>
            </w:r>
          </w:hyperlink>
        </w:p>
        <w:p w14:paraId="3925DD23" w14:textId="13DA9E41"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739" w:history="1">
            <w:r w:rsidRPr="001A2BDC">
              <w:rPr>
                <w:rStyle w:val="Hyperlink"/>
                <w:noProof/>
              </w:rPr>
              <w:t>The Refusal to Expect Behavior</w:t>
            </w:r>
            <w:r>
              <w:rPr>
                <w:noProof/>
                <w:webHidden/>
              </w:rPr>
              <w:tab/>
            </w:r>
            <w:r>
              <w:rPr>
                <w:noProof/>
                <w:webHidden/>
              </w:rPr>
              <w:fldChar w:fldCharType="begin"/>
            </w:r>
            <w:r>
              <w:rPr>
                <w:noProof/>
                <w:webHidden/>
              </w:rPr>
              <w:instrText xml:space="preserve"> PAGEREF _Toc227410739 \h </w:instrText>
            </w:r>
            <w:r>
              <w:rPr>
                <w:noProof/>
                <w:webHidden/>
              </w:rPr>
            </w:r>
            <w:r>
              <w:rPr>
                <w:noProof/>
                <w:webHidden/>
              </w:rPr>
              <w:fldChar w:fldCharType="separate"/>
            </w:r>
            <w:r>
              <w:rPr>
                <w:noProof/>
                <w:webHidden/>
              </w:rPr>
              <w:t>268</w:t>
            </w:r>
            <w:r>
              <w:rPr>
                <w:noProof/>
                <w:webHidden/>
              </w:rPr>
              <w:fldChar w:fldCharType="end"/>
            </w:r>
          </w:hyperlink>
        </w:p>
        <w:p w14:paraId="7CA14D05" w14:textId="2A2ED227"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740" w:history="1">
            <w:r w:rsidRPr="001A2BDC">
              <w:rPr>
                <w:rStyle w:val="Hyperlink"/>
                <w:noProof/>
              </w:rPr>
              <w:t>Intentions as Substitute for Mechanism</w:t>
            </w:r>
            <w:r>
              <w:rPr>
                <w:noProof/>
                <w:webHidden/>
              </w:rPr>
              <w:tab/>
            </w:r>
            <w:r>
              <w:rPr>
                <w:noProof/>
                <w:webHidden/>
              </w:rPr>
              <w:fldChar w:fldCharType="begin"/>
            </w:r>
            <w:r>
              <w:rPr>
                <w:noProof/>
                <w:webHidden/>
              </w:rPr>
              <w:instrText xml:space="preserve"> PAGEREF _Toc227410740 \h </w:instrText>
            </w:r>
            <w:r>
              <w:rPr>
                <w:noProof/>
                <w:webHidden/>
              </w:rPr>
            </w:r>
            <w:r>
              <w:rPr>
                <w:noProof/>
                <w:webHidden/>
              </w:rPr>
              <w:fldChar w:fldCharType="separate"/>
            </w:r>
            <w:r>
              <w:rPr>
                <w:noProof/>
                <w:webHidden/>
              </w:rPr>
              <w:t>270</w:t>
            </w:r>
            <w:r>
              <w:rPr>
                <w:noProof/>
                <w:webHidden/>
              </w:rPr>
              <w:fldChar w:fldCharType="end"/>
            </w:r>
          </w:hyperlink>
        </w:p>
        <w:p w14:paraId="5314B9B1" w14:textId="136A1D6A"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741" w:history="1">
            <w:r w:rsidRPr="001A2BDC">
              <w:rPr>
                <w:rStyle w:val="Hyperlink"/>
                <w:noProof/>
              </w:rPr>
              <w:t>Consequence-Free Thinking</w:t>
            </w:r>
            <w:r>
              <w:rPr>
                <w:noProof/>
                <w:webHidden/>
              </w:rPr>
              <w:tab/>
            </w:r>
            <w:r>
              <w:rPr>
                <w:noProof/>
                <w:webHidden/>
              </w:rPr>
              <w:fldChar w:fldCharType="begin"/>
            </w:r>
            <w:r>
              <w:rPr>
                <w:noProof/>
                <w:webHidden/>
              </w:rPr>
              <w:instrText xml:space="preserve"> PAGEREF _Toc227410741 \h </w:instrText>
            </w:r>
            <w:r>
              <w:rPr>
                <w:noProof/>
                <w:webHidden/>
              </w:rPr>
            </w:r>
            <w:r>
              <w:rPr>
                <w:noProof/>
                <w:webHidden/>
              </w:rPr>
              <w:fldChar w:fldCharType="separate"/>
            </w:r>
            <w:r>
              <w:rPr>
                <w:noProof/>
                <w:webHidden/>
              </w:rPr>
              <w:t>272</w:t>
            </w:r>
            <w:r>
              <w:rPr>
                <w:noProof/>
                <w:webHidden/>
              </w:rPr>
              <w:fldChar w:fldCharType="end"/>
            </w:r>
          </w:hyperlink>
        </w:p>
        <w:p w14:paraId="5D24A553" w14:textId="6A27A9D5"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742" w:history="1">
            <w:r w:rsidRPr="001A2BDC">
              <w:rPr>
                <w:rStyle w:val="Hyperlink"/>
                <w:noProof/>
              </w:rPr>
              <w:t>Hostility Toward Constraints</w:t>
            </w:r>
            <w:r>
              <w:rPr>
                <w:noProof/>
                <w:webHidden/>
              </w:rPr>
              <w:tab/>
            </w:r>
            <w:r>
              <w:rPr>
                <w:noProof/>
                <w:webHidden/>
              </w:rPr>
              <w:fldChar w:fldCharType="begin"/>
            </w:r>
            <w:r>
              <w:rPr>
                <w:noProof/>
                <w:webHidden/>
              </w:rPr>
              <w:instrText xml:space="preserve"> PAGEREF _Toc227410742 \h </w:instrText>
            </w:r>
            <w:r>
              <w:rPr>
                <w:noProof/>
                <w:webHidden/>
              </w:rPr>
            </w:r>
            <w:r>
              <w:rPr>
                <w:noProof/>
                <w:webHidden/>
              </w:rPr>
              <w:fldChar w:fldCharType="separate"/>
            </w:r>
            <w:r>
              <w:rPr>
                <w:noProof/>
                <w:webHidden/>
              </w:rPr>
              <w:t>274</w:t>
            </w:r>
            <w:r>
              <w:rPr>
                <w:noProof/>
                <w:webHidden/>
              </w:rPr>
              <w:fldChar w:fldCharType="end"/>
            </w:r>
          </w:hyperlink>
        </w:p>
        <w:p w14:paraId="61E73BD0" w14:textId="583A4F9C"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743" w:history="1">
            <w:r w:rsidRPr="001A2BDC">
              <w:rPr>
                <w:rStyle w:val="Hyperlink"/>
                <w:noProof/>
              </w:rPr>
              <w:t>The Underfunding Default</w:t>
            </w:r>
            <w:r>
              <w:rPr>
                <w:noProof/>
                <w:webHidden/>
              </w:rPr>
              <w:tab/>
            </w:r>
            <w:r>
              <w:rPr>
                <w:noProof/>
                <w:webHidden/>
              </w:rPr>
              <w:fldChar w:fldCharType="begin"/>
            </w:r>
            <w:r>
              <w:rPr>
                <w:noProof/>
                <w:webHidden/>
              </w:rPr>
              <w:instrText xml:space="preserve"> PAGEREF _Toc227410743 \h </w:instrText>
            </w:r>
            <w:r>
              <w:rPr>
                <w:noProof/>
                <w:webHidden/>
              </w:rPr>
            </w:r>
            <w:r>
              <w:rPr>
                <w:noProof/>
                <w:webHidden/>
              </w:rPr>
              <w:fldChar w:fldCharType="separate"/>
            </w:r>
            <w:r>
              <w:rPr>
                <w:noProof/>
                <w:webHidden/>
              </w:rPr>
              <w:t>276</w:t>
            </w:r>
            <w:r>
              <w:rPr>
                <w:noProof/>
                <w:webHidden/>
              </w:rPr>
              <w:fldChar w:fldCharType="end"/>
            </w:r>
          </w:hyperlink>
        </w:p>
        <w:p w14:paraId="7EEE9285" w14:textId="1B092BE0"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744" w:history="1">
            <w:r w:rsidRPr="001A2BDC">
              <w:rPr>
                <w:rStyle w:val="Hyperlink"/>
                <w:noProof/>
              </w:rPr>
              <w:t>Vibes-Based Reasoning</w:t>
            </w:r>
            <w:r>
              <w:rPr>
                <w:noProof/>
                <w:webHidden/>
              </w:rPr>
              <w:tab/>
            </w:r>
            <w:r>
              <w:rPr>
                <w:noProof/>
                <w:webHidden/>
              </w:rPr>
              <w:fldChar w:fldCharType="begin"/>
            </w:r>
            <w:r>
              <w:rPr>
                <w:noProof/>
                <w:webHidden/>
              </w:rPr>
              <w:instrText xml:space="preserve"> PAGEREF _Toc227410744 \h </w:instrText>
            </w:r>
            <w:r>
              <w:rPr>
                <w:noProof/>
                <w:webHidden/>
              </w:rPr>
            </w:r>
            <w:r>
              <w:rPr>
                <w:noProof/>
                <w:webHidden/>
              </w:rPr>
              <w:fldChar w:fldCharType="separate"/>
            </w:r>
            <w:r>
              <w:rPr>
                <w:noProof/>
                <w:webHidden/>
              </w:rPr>
              <w:t>279</w:t>
            </w:r>
            <w:r>
              <w:rPr>
                <w:noProof/>
                <w:webHidden/>
              </w:rPr>
              <w:fldChar w:fldCharType="end"/>
            </w:r>
          </w:hyperlink>
        </w:p>
        <w:p w14:paraId="2177F11A" w14:textId="70DA27C4"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745" w:history="1">
            <w:r w:rsidRPr="001A2BDC">
              <w:rPr>
                <w:rStyle w:val="Hyperlink"/>
                <w:noProof/>
              </w:rPr>
              <w:t>Belief as Armor</w:t>
            </w:r>
            <w:r>
              <w:rPr>
                <w:noProof/>
                <w:webHidden/>
              </w:rPr>
              <w:tab/>
            </w:r>
            <w:r>
              <w:rPr>
                <w:noProof/>
                <w:webHidden/>
              </w:rPr>
              <w:fldChar w:fldCharType="begin"/>
            </w:r>
            <w:r>
              <w:rPr>
                <w:noProof/>
                <w:webHidden/>
              </w:rPr>
              <w:instrText xml:space="preserve"> PAGEREF _Toc227410745 \h </w:instrText>
            </w:r>
            <w:r>
              <w:rPr>
                <w:noProof/>
                <w:webHidden/>
              </w:rPr>
            </w:r>
            <w:r>
              <w:rPr>
                <w:noProof/>
                <w:webHidden/>
              </w:rPr>
              <w:fldChar w:fldCharType="separate"/>
            </w:r>
            <w:r>
              <w:rPr>
                <w:noProof/>
                <w:webHidden/>
              </w:rPr>
              <w:t>281</w:t>
            </w:r>
            <w:r>
              <w:rPr>
                <w:noProof/>
                <w:webHidden/>
              </w:rPr>
              <w:fldChar w:fldCharType="end"/>
            </w:r>
          </w:hyperlink>
        </w:p>
        <w:p w14:paraId="116944CB" w14:textId="02FCD428"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746" w:history="1">
            <w:r w:rsidRPr="001A2BDC">
              <w:rPr>
                <w:rStyle w:val="Hyperlink"/>
                <w:noProof/>
              </w:rPr>
              <w:t>The Ceteris Paribus Error</w:t>
            </w:r>
            <w:r>
              <w:rPr>
                <w:noProof/>
                <w:webHidden/>
              </w:rPr>
              <w:tab/>
            </w:r>
            <w:r>
              <w:rPr>
                <w:noProof/>
                <w:webHidden/>
              </w:rPr>
              <w:fldChar w:fldCharType="begin"/>
            </w:r>
            <w:r>
              <w:rPr>
                <w:noProof/>
                <w:webHidden/>
              </w:rPr>
              <w:instrText xml:space="preserve"> PAGEREF _Toc227410746 \h </w:instrText>
            </w:r>
            <w:r>
              <w:rPr>
                <w:noProof/>
                <w:webHidden/>
              </w:rPr>
            </w:r>
            <w:r>
              <w:rPr>
                <w:noProof/>
                <w:webHidden/>
              </w:rPr>
              <w:fldChar w:fldCharType="separate"/>
            </w:r>
            <w:r>
              <w:rPr>
                <w:noProof/>
                <w:webHidden/>
              </w:rPr>
              <w:t>284</w:t>
            </w:r>
            <w:r>
              <w:rPr>
                <w:noProof/>
                <w:webHidden/>
              </w:rPr>
              <w:fldChar w:fldCharType="end"/>
            </w:r>
          </w:hyperlink>
        </w:p>
        <w:p w14:paraId="0E80EB21" w14:textId="6289D093"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747" w:history="1">
            <w:r w:rsidRPr="001A2BDC">
              <w:rPr>
                <w:rStyle w:val="Hyperlink"/>
                <w:noProof/>
              </w:rPr>
              <w:t>The Law of Unintended Consequences</w:t>
            </w:r>
            <w:r>
              <w:rPr>
                <w:noProof/>
                <w:webHidden/>
              </w:rPr>
              <w:tab/>
            </w:r>
            <w:r>
              <w:rPr>
                <w:noProof/>
                <w:webHidden/>
              </w:rPr>
              <w:fldChar w:fldCharType="begin"/>
            </w:r>
            <w:r>
              <w:rPr>
                <w:noProof/>
                <w:webHidden/>
              </w:rPr>
              <w:instrText xml:space="preserve"> PAGEREF _Toc227410747 \h </w:instrText>
            </w:r>
            <w:r>
              <w:rPr>
                <w:noProof/>
                <w:webHidden/>
              </w:rPr>
            </w:r>
            <w:r>
              <w:rPr>
                <w:noProof/>
                <w:webHidden/>
              </w:rPr>
              <w:fldChar w:fldCharType="separate"/>
            </w:r>
            <w:r>
              <w:rPr>
                <w:noProof/>
                <w:webHidden/>
              </w:rPr>
              <w:t>287</w:t>
            </w:r>
            <w:r>
              <w:rPr>
                <w:noProof/>
                <w:webHidden/>
              </w:rPr>
              <w:fldChar w:fldCharType="end"/>
            </w:r>
          </w:hyperlink>
        </w:p>
        <w:p w14:paraId="02C8FA21" w14:textId="72E8F24D" w:rsidR="00FF32C8" w:rsidRDefault="00FF32C8">
          <w:pPr>
            <w:pStyle w:val="TOC2"/>
            <w:tabs>
              <w:tab w:val="right" w:leader="dot" w:pos="9350"/>
            </w:tabs>
            <w:rPr>
              <w:rFonts w:eastAsiaTheme="minorEastAsia" w:cstheme="minorBidi"/>
              <w:smallCaps w:val="0"/>
              <w:noProof/>
              <w:kern w:val="2"/>
              <w:sz w:val="24"/>
              <w:szCs w:val="24"/>
              <w14:ligatures w14:val="standardContextual"/>
            </w:rPr>
          </w:pPr>
          <w:hyperlink w:anchor="_Toc227410748" w:history="1">
            <w:r w:rsidRPr="001A2BDC">
              <w:rPr>
                <w:rStyle w:val="Hyperlink"/>
                <w:noProof/>
              </w:rPr>
              <w:t>The Receipt</w:t>
            </w:r>
            <w:r>
              <w:rPr>
                <w:noProof/>
                <w:webHidden/>
              </w:rPr>
              <w:tab/>
            </w:r>
            <w:r>
              <w:rPr>
                <w:noProof/>
                <w:webHidden/>
              </w:rPr>
              <w:fldChar w:fldCharType="begin"/>
            </w:r>
            <w:r>
              <w:rPr>
                <w:noProof/>
                <w:webHidden/>
              </w:rPr>
              <w:instrText xml:space="preserve"> PAGEREF _Toc227410748 \h </w:instrText>
            </w:r>
            <w:r>
              <w:rPr>
                <w:noProof/>
                <w:webHidden/>
              </w:rPr>
            </w:r>
            <w:r>
              <w:rPr>
                <w:noProof/>
                <w:webHidden/>
              </w:rPr>
              <w:fldChar w:fldCharType="separate"/>
            </w:r>
            <w:r>
              <w:rPr>
                <w:noProof/>
                <w:webHidden/>
              </w:rPr>
              <w:t>290</w:t>
            </w:r>
            <w:r>
              <w:rPr>
                <w:noProof/>
                <w:webHidden/>
              </w:rPr>
              <w:fldChar w:fldCharType="end"/>
            </w:r>
          </w:hyperlink>
        </w:p>
        <w:p w14:paraId="73306CBF" w14:textId="58E455D9" w:rsidR="00FF32C8" w:rsidRDefault="00FF32C8">
          <w:pPr>
            <w:pStyle w:val="TOC1"/>
            <w:tabs>
              <w:tab w:val="right" w:leader="dot" w:pos="9350"/>
            </w:tabs>
            <w:rPr>
              <w:rFonts w:eastAsiaTheme="minorEastAsia" w:cstheme="minorBidi"/>
              <w:b w:val="0"/>
              <w:bCs w:val="0"/>
              <w:caps w:val="0"/>
              <w:noProof/>
              <w:kern w:val="2"/>
              <w:sz w:val="24"/>
              <w:szCs w:val="24"/>
              <w14:ligatures w14:val="standardContextual"/>
            </w:rPr>
          </w:pPr>
          <w:hyperlink w:anchor="_Toc227410749" w:history="1">
            <w:r w:rsidRPr="001A2BDC">
              <w:rPr>
                <w:rStyle w:val="Hyperlink"/>
                <w:noProof/>
              </w:rPr>
              <w:t>CONCLUSION</w:t>
            </w:r>
            <w:r>
              <w:rPr>
                <w:noProof/>
                <w:webHidden/>
              </w:rPr>
              <w:tab/>
            </w:r>
            <w:r>
              <w:rPr>
                <w:noProof/>
                <w:webHidden/>
              </w:rPr>
              <w:fldChar w:fldCharType="begin"/>
            </w:r>
            <w:r>
              <w:rPr>
                <w:noProof/>
                <w:webHidden/>
              </w:rPr>
              <w:instrText xml:space="preserve"> PAGEREF _Toc227410749 \h </w:instrText>
            </w:r>
            <w:r>
              <w:rPr>
                <w:noProof/>
                <w:webHidden/>
              </w:rPr>
            </w:r>
            <w:r>
              <w:rPr>
                <w:noProof/>
                <w:webHidden/>
              </w:rPr>
              <w:fldChar w:fldCharType="separate"/>
            </w:r>
            <w:r>
              <w:rPr>
                <w:noProof/>
                <w:webHidden/>
              </w:rPr>
              <w:t>295</w:t>
            </w:r>
            <w:r>
              <w:rPr>
                <w:noProof/>
                <w:webHidden/>
              </w:rPr>
              <w:fldChar w:fldCharType="end"/>
            </w:r>
          </w:hyperlink>
        </w:p>
        <w:p w14:paraId="23C8D466" w14:textId="03ED4980" w:rsidR="00FF32C8" w:rsidRDefault="00FF32C8">
          <w:pPr>
            <w:pStyle w:val="TOC1"/>
            <w:tabs>
              <w:tab w:val="right" w:leader="dot" w:pos="9350"/>
            </w:tabs>
            <w:rPr>
              <w:rFonts w:eastAsiaTheme="minorEastAsia" w:cstheme="minorBidi"/>
              <w:b w:val="0"/>
              <w:bCs w:val="0"/>
              <w:caps w:val="0"/>
              <w:noProof/>
              <w:kern w:val="2"/>
              <w:sz w:val="24"/>
              <w:szCs w:val="24"/>
              <w14:ligatures w14:val="standardContextual"/>
            </w:rPr>
          </w:pPr>
          <w:hyperlink w:anchor="_Toc227410750" w:history="1">
            <w:r w:rsidRPr="001A2BDC">
              <w:rPr>
                <w:rStyle w:val="Hyperlink"/>
                <w:noProof/>
              </w:rPr>
              <w:t>On AI and This Book</w:t>
            </w:r>
            <w:r>
              <w:rPr>
                <w:noProof/>
                <w:webHidden/>
              </w:rPr>
              <w:tab/>
            </w:r>
            <w:r>
              <w:rPr>
                <w:noProof/>
                <w:webHidden/>
              </w:rPr>
              <w:fldChar w:fldCharType="begin"/>
            </w:r>
            <w:r>
              <w:rPr>
                <w:noProof/>
                <w:webHidden/>
              </w:rPr>
              <w:instrText xml:space="preserve"> PAGEREF _Toc227410750 \h </w:instrText>
            </w:r>
            <w:r>
              <w:rPr>
                <w:noProof/>
                <w:webHidden/>
              </w:rPr>
            </w:r>
            <w:r>
              <w:rPr>
                <w:noProof/>
                <w:webHidden/>
              </w:rPr>
              <w:fldChar w:fldCharType="separate"/>
            </w:r>
            <w:r>
              <w:rPr>
                <w:noProof/>
                <w:webHidden/>
              </w:rPr>
              <w:t>302</w:t>
            </w:r>
            <w:r>
              <w:rPr>
                <w:noProof/>
                <w:webHidden/>
              </w:rPr>
              <w:fldChar w:fldCharType="end"/>
            </w:r>
          </w:hyperlink>
        </w:p>
        <w:p w14:paraId="6A8924F1" w14:textId="6ADF27D2" w:rsidR="00FF32C8" w:rsidRDefault="00FF32C8">
          <w:pPr>
            <w:pStyle w:val="TOC1"/>
            <w:tabs>
              <w:tab w:val="right" w:leader="dot" w:pos="9350"/>
            </w:tabs>
            <w:rPr>
              <w:rFonts w:eastAsiaTheme="minorEastAsia" w:cstheme="minorBidi"/>
              <w:b w:val="0"/>
              <w:bCs w:val="0"/>
              <w:caps w:val="0"/>
              <w:noProof/>
              <w:kern w:val="2"/>
              <w:sz w:val="24"/>
              <w:szCs w:val="24"/>
              <w14:ligatures w14:val="standardContextual"/>
            </w:rPr>
          </w:pPr>
          <w:hyperlink w:anchor="_Toc227410751" w:history="1">
            <w:r w:rsidRPr="001A2BDC">
              <w:rPr>
                <w:rStyle w:val="Hyperlink"/>
                <w:noProof/>
              </w:rPr>
              <w:t>Recommended Reading</w:t>
            </w:r>
            <w:r>
              <w:rPr>
                <w:noProof/>
                <w:webHidden/>
              </w:rPr>
              <w:tab/>
            </w:r>
            <w:r>
              <w:rPr>
                <w:noProof/>
                <w:webHidden/>
              </w:rPr>
              <w:fldChar w:fldCharType="begin"/>
            </w:r>
            <w:r>
              <w:rPr>
                <w:noProof/>
                <w:webHidden/>
              </w:rPr>
              <w:instrText xml:space="preserve"> PAGEREF _Toc227410751 \h </w:instrText>
            </w:r>
            <w:r>
              <w:rPr>
                <w:noProof/>
                <w:webHidden/>
              </w:rPr>
            </w:r>
            <w:r>
              <w:rPr>
                <w:noProof/>
                <w:webHidden/>
              </w:rPr>
              <w:fldChar w:fldCharType="separate"/>
            </w:r>
            <w:r>
              <w:rPr>
                <w:noProof/>
                <w:webHidden/>
              </w:rPr>
              <w:t>305</w:t>
            </w:r>
            <w:r>
              <w:rPr>
                <w:noProof/>
                <w:webHidden/>
              </w:rPr>
              <w:fldChar w:fldCharType="end"/>
            </w:r>
          </w:hyperlink>
        </w:p>
        <w:p w14:paraId="2A5B343A" w14:textId="528B9363" w:rsidR="00FF32C8" w:rsidRDefault="00FF32C8">
          <w:pPr>
            <w:pStyle w:val="TOC1"/>
            <w:tabs>
              <w:tab w:val="right" w:leader="dot" w:pos="9350"/>
            </w:tabs>
            <w:rPr>
              <w:rFonts w:eastAsiaTheme="minorEastAsia" w:cstheme="minorBidi"/>
              <w:b w:val="0"/>
              <w:bCs w:val="0"/>
              <w:caps w:val="0"/>
              <w:noProof/>
              <w:kern w:val="2"/>
              <w:sz w:val="24"/>
              <w:szCs w:val="24"/>
              <w14:ligatures w14:val="standardContextual"/>
            </w:rPr>
          </w:pPr>
          <w:hyperlink w:anchor="_Toc227410752" w:history="1">
            <w:r w:rsidRPr="001A2BDC">
              <w:rPr>
                <w:rStyle w:val="Hyperlink"/>
                <w:noProof/>
              </w:rPr>
              <w:t>Endnotes</w:t>
            </w:r>
            <w:r>
              <w:rPr>
                <w:noProof/>
                <w:webHidden/>
              </w:rPr>
              <w:tab/>
            </w:r>
            <w:r>
              <w:rPr>
                <w:noProof/>
                <w:webHidden/>
              </w:rPr>
              <w:fldChar w:fldCharType="begin"/>
            </w:r>
            <w:r>
              <w:rPr>
                <w:noProof/>
                <w:webHidden/>
              </w:rPr>
              <w:instrText xml:space="preserve"> PAGEREF _Toc227410752 \h </w:instrText>
            </w:r>
            <w:r>
              <w:rPr>
                <w:noProof/>
                <w:webHidden/>
              </w:rPr>
            </w:r>
            <w:r>
              <w:rPr>
                <w:noProof/>
                <w:webHidden/>
              </w:rPr>
              <w:fldChar w:fldCharType="separate"/>
            </w:r>
            <w:r>
              <w:rPr>
                <w:noProof/>
                <w:webHidden/>
              </w:rPr>
              <w:t>309</w:t>
            </w:r>
            <w:r>
              <w:rPr>
                <w:noProof/>
                <w:webHidden/>
              </w:rPr>
              <w:fldChar w:fldCharType="end"/>
            </w:r>
          </w:hyperlink>
        </w:p>
        <w:p w14:paraId="15303809" w14:textId="07EF6685" w:rsidR="009616FF" w:rsidRDefault="00F87934">
          <w:pPr>
            <w:pStyle w:val="TOC2"/>
            <w:tabs>
              <w:tab w:val="right" w:leader="dot" w:pos="9350"/>
            </w:tabs>
            <w:rPr>
              <w:rFonts w:eastAsiaTheme="minorEastAsia" w:cstheme="minorBidi"/>
              <w:smallCaps w:val="0"/>
              <w:kern w:val="2"/>
              <w:sz w:val="24"/>
              <w:szCs w:val="24"/>
              <w14:ligatures w14:val="standardContextual"/>
            </w:rPr>
          </w:pPr>
          <w:r>
            <w:rPr>
              <w:rStyle w:val="IndexLink"/>
            </w:rPr>
            <w:fldChar w:fldCharType="end"/>
          </w:r>
        </w:p>
      </w:sdtContent>
    </w:sdt>
    <w:p w14:paraId="48E05BA8" w14:textId="77777777" w:rsidR="00744F33" w:rsidRDefault="00744F33" w:rsidP="008F0052">
      <w:pPr>
        <w:pStyle w:val="Heading1"/>
        <w:sectPr w:rsidR="00744F33" w:rsidSect="00811DDF">
          <w:footerReference w:type="default" r:id="rId14"/>
          <w:footerReference w:type="first" r:id="rId15"/>
          <w:endnotePr>
            <w:numFmt w:val="decimal"/>
          </w:endnotePr>
          <w:type w:val="oddPage"/>
          <w:pgSz w:w="12240" w:h="15840"/>
          <w:pgMar w:top="1440" w:right="1440" w:bottom="1440" w:left="1440" w:header="0" w:footer="720" w:gutter="0"/>
          <w:cols w:space="720"/>
          <w:formProt w:val="0"/>
          <w:titlePg/>
          <w:docGrid w:linePitch="100"/>
        </w:sectPr>
      </w:pPr>
    </w:p>
    <w:p w14:paraId="0B5C2CC0" w14:textId="3D17A7A8" w:rsidR="009616FF" w:rsidRDefault="00F87934" w:rsidP="008F0052">
      <w:pPr>
        <w:pStyle w:val="Heading1"/>
      </w:pPr>
      <w:bookmarkStart w:id="2" w:name="_Toc227410638"/>
      <w:r>
        <w:t>INTRODUCTION</w:t>
      </w:r>
      <w:bookmarkEnd w:id="2"/>
    </w:p>
    <w:p w14:paraId="3470374E" w14:textId="77777777" w:rsidR="005A7DAC" w:rsidRPr="005A7DAC" w:rsidRDefault="005A7DAC" w:rsidP="005A7DAC">
      <w:r w:rsidRPr="005A7DAC">
        <w:t>Something puzzling happens in every household and every organization where important decisions get made. Smart people gather around difficult problems. They care deeply about solving those problems. They bring real expertise and significant resources to bear. They design policies and implement plans that seem reasonable at the time. And then, with remarkable consistency, the outcomes disappoint.</w:t>
      </w:r>
    </w:p>
    <w:p w14:paraId="50067238" w14:textId="77777777" w:rsidR="005A7DAC" w:rsidRPr="005A7DAC" w:rsidRDefault="005A7DAC" w:rsidP="005A7DAC">
      <w:r w:rsidRPr="005A7DAC">
        <w:t>Not always catastrophically. Often the failure is quiet: a program that costs more than projected, a reform that produces unintended consequences partially offsetting its intended benefits. The pattern is so common that it barely registers as surprising. We have come to expect that well-meaning efforts will fall short, that the gap between what was promised and what gets delivered will require explanation.</w:t>
      </w:r>
    </w:p>
    <w:p w14:paraId="2258A1BE" w14:textId="77777777" w:rsidR="005A7DAC" w:rsidRPr="005A7DAC" w:rsidRDefault="005A7DAC" w:rsidP="005A7DAC">
      <w:r w:rsidRPr="005A7DAC">
        <w:t>What makes this puzzling is not that it happens, but that it keeps happening in the same ways. The failures follow patterns. The explanations repeat. And the next round of decisions begins with the same assumptions that produced the last round of disappointments. The cycle continues not because the people involved are foolish or corrupt (though they could be), but because something in how they reason about costs, consequences, and the behavior of others prevents them from seeing what went wrong, or from applying what they saw to the next decision.</w:t>
      </w:r>
    </w:p>
    <w:p w14:paraId="3D41AFDE" w14:textId="77777777" w:rsidR="005A7DAC" w:rsidRPr="005A7DAC" w:rsidRDefault="005A7DAC" w:rsidP="005A7DAC">
      <w:r w:rsidRPr="005A7DAC">
        <w:t>This book is about that something.</w:t>
      </w:r>
    </w:p>
    <w:p w14:paraId="1C86BA8C" w14:textId="77777777" w:rsidR="009616FF" w:rsidRDefault="00F87934">
      <w:pPr>
        <w:pStyle w:val="Heading3"/>
      </w:pPr>
      <w:bookmarkStart w:id="3" w:name="_Toc227410639"/>
      <w:r>
        <w:t>The Ignorance Tax</w:t>
      </w:r>
      <w:bookmarkEnd w:id="3"/>
    </w:p>
    <w:p w14:paraId="77AF4F51" w14:textId="12D78C3B" w:rsidR="00E25CED" w:rsidRDefault="00F87934">
      <w:r>
        <w:t xml:space="preserve">The phrase </w:t>
      </w:r>
      <w:r w:rsidR="00463E2E">
        <w:t>"</w:t>
      </w:r>
      <w:r>
        <w:t>ignorance tax</w:t>
      </w:r>
      <w:r w:rsidR="00463E2E">
        <w:t>"</w:t>
      </w:r>
      <w:r>
        <w:t xml:space="preserve"> usually refers to the penalty people pay when they lack information: the tourist who pays too much because they do not know the local prices, the investor who loses money because they do not understand the market.</w:t>
      </w:r>
      <w:r w:rsidR="00E25CED">
        <w:rPr>
          <w:rStyle w:val="EndnoteReference"/>
        </w:rPr>
        <w:endnoteReference w:id="1"/>
      </w:r>
      <w:r w:rsidR="00E25CED">
        <w:t xml:space="preserve"> That is not what this book means by the term.</w:t>
      </w:r>
    </w:p>
    <w:p w14:paraId="1B82DB0D" w14:textId="77777777" w:rsidR="00E25CED" w:rsidRDefault="00E25CED">
      <w:r>
        <w:t>The ignorance tax, as I use the phrase, is the cost imposed when decisions are made as if certain realities do not exist. The price paid for acting as though benefits can be obtained without costs, as though people will not adjust their behavior when the rules around them change. It is a tax because it extracts payment whether or not the payer acknowledges it—and often extracts the highest payment from those least able to afford it or least able to escape the systems that impose it.</w:t>
      </w:r>
    </w:p>
    <w:p w14:paraId="061A48AF" w14:textId="77777777" w:rsidR="00E25CED" w:rsidRDefault="00E25CED">
      <w:r>
        <w:t>This tax operates through a consistent mechanism. Someone designs a policy, a program, or an organizational structure based on how they wish people would behave, not how people actually behave. They dismiss predictions about how costs will accumulate, how systems will adapt in ways that offset the intended benefits. When the predictable consequences arrive, they are treated as surprises: failures of implementation, opposition from bad actors, evidence that more resources are needed. The underlying assumptions remain unexamined because examining them would require admitting that the original reasoning was flawed.</w:t>
      </w:r>
    </w:p>
    <w:p w14:paraId="39631593" w14:textId="77777777" w:rsidR="00E25CED" w:rsidRDefault="00E25CED">
      <w:r>
        <w:t>The tax compounds. Each round of unexamined failure makes the next round more likely, because the habits of thought that produced the first failure are reinforced, not corrected. A family refinances to cover spending that exceeded their income, then treats the freed-up cash flow as new money. When the same shortfall reappears three years later, the explanation is bad luck, not the same arithmetic. Business leaders learn to explain away disappointing results. Politicians develop vocabularies for avoiding accountability. All of them construct stories about why their choices did not work out that protect them from recognizing the patterns in their own decision-making. What accumulates is not merely the sum of individual failures. It is the loss of the capacity to learn from failure at all.</w:t>
      </w:r>
    </w:p>
    <w:p w14:paraId="293F847E" w14:textId="77777777" w:rsidR="00E25CED" w:rsidRDefault="00E25CED">
      <w:r>
        <w:t>What makes this tax so persistent is that paying it often feels virtuous. The reasoning patterns that produce it wrap themselves in optimism, compassion, and faith in human potential. Question them, and you risk sounding cynical or callous. The tax is defended not as a cost worth paying but as evidence of the right values, and pointing it out invites suspicion about yours. I recognize these patterns in my own past reasoning. That observation comes with no claim of immunity.</w:t>
      </w:r>
    </w:p>
    <w:p w14:paraId="04CA9252" w14:textId="77777777" w:rsidR="00E25CED" w:rsidRDefault="00E25CED">
      <w:r>
        <w:t xml:space="preserve">The ignorance tax I am describing is not primarily about individuals failing to educate themselves. It is about what happens when institutions, organizations, and entire systems make decisions without fully reckoning with costs, when tradeoffs go </w:t>
      </w:r>
      <w:proofErr w:type="spellStart"/>
      <w:r>
        <w:t>unweighed</w:t>
      </w:r>
      <w:proofErr w:type="spellEnd"/>
      <w:r>
        <w:t xml:space="preserve"> and the price falls on someone other than the people who made the choices. The people paying are often not the people deciding. They may not even know they are paying at all.</w:t>
      </w:r>
    </w:p>
    <w:p w14:paraId="6A5BFE45" w14:textId="5647CCBE" w:rsidR="00E25CED" w:rsidRDefault="00E25CED">
      <w:r>
        <w:t xml:space="preserve">Predictably, this tax has always been paid in dollars and in wasted years. But a newer version is being paid in something harder to recover: the ability to agree on what is true. As the shared information environment degrades and fabricated evidence becomes indistinguishable from real evidence, the ignorance tax stops being a metaphor for bad policy and becomes a description of what happens to public reasoning itself. That problem is large enough to warrant its own chapter, and the </w:t>
      </w:r>
      <w:r w:rsidR="00A406A1">
        <w:t xml:space="preserve">chapter </w:t>
      </w:r>
      <w:r w:rsidR="00A406A1" w:rsidRPr="00A406A1">
        <w:rPr>
          <w:i/>
          <w:iCs/>
        </w:rPr>
        <w:fldChar w:fldCharType="begin"/>
      </w:r>
      <w:r w:rsidR="00A406A1" w:rsidRPr="00A406A1">
        <w:rPr>
          <w:i/>
          <w:iCs/>
        </w:rPr>
        <w:instrText xml:space="preserve"> REF _Ref226197387 \h </w:instrText>
      </w:r>
      <w:r w:rsidR="00A406A1">
        <w:rPr>
          <w:i/>
          <w:iCs/>
        </w:rPr>
        <w:instrText xml:space="preserve"> \* MERGEFORMAT </w:instrText>
      </w:r>
      <w:r w:rsidR="00A406A1" w:rsidRPr="00A406A1">
        <w:rPr>
          <w:i/>
          <w:iCs/>
        </w:rPr>
      </w:r>
      <w:r w:rsidR="00A406A1" w:rsidRPr="00A406A1">
        <w:rPr>
          <w:i/>
          <w:iCs/>
        </w:rPr>
        <w:fldChar w:fldCharType="separate"/>
      </w:r>
      <w:r w:rsidR="001B6FB1" w:rsidRPr="001B6FB1">
        <w:rPr>
          <w:i/>
          <w:iCs/>
        </w:rPr>
        <w:t>The Epistemic Commons</w:t>
      </w:r>
      <w:r w:rsidR="00A406A1" w:rsidRPr="00A406A1">
        <w:rPr>
          <w:i/>
          <w:iCs/>
        </w:rPr>
        <w:fldChar w:fldCharType="end"/>
      </w:r>
      <w:r w:rsidR="00A406A1">
        <w:t xml:space="preserve"> in</w:t>
      </w:r>
      <w:r w:rsidR="00A406A1" w:rsidRPr="00A406A1">
        <w:rPr>
          <w:i/>
          <w:iCs/>
        </w:rPr>
        <w:t xml:space="preserve"> </w:t>
      </w:r>
      <w:r w:rsidR="00A406A1" w:rsidRPr="00A406A1">
        <w:rPr>
          <w:i/>
          <w:iCs/>
        </w:rPr>
        <w:fldChar w:fldCharType="begin"/>
      </w:r>
      <w:r w:rsidR="00A406A1" w:rsidRPr="00A406A1">
        <w:rPr>
          <w:i/>
          <w:iCs/>
        </w:rPr>
        <w:instrText xml:space="preserve"> REF _Ref226197417 \h  \* MERGEFORMAT </w:instrText>
      </w:r>
      <w:r w:rsidR="00A406A1" w:rsidRPr="00A406A1">
        <w:rPr>
          <w:i/>
          <w:iCs/>
        </w:rPr>
      </w:r>
      <w:r w:rsidR="00A406A1" w:rsidRPr="00A406A1">
        <w:rPr>
          <w:i/>
          <w:iCs/>
        </w:rPr>
        <w:fldChar w:fldCharType="separate"/>
      </w:r>
      <w:r w:rsidR="001B6FB1" w:rsidRPr="001B6FB1">
        <w:rPr>
          <w:i/>
          <w:iCs/>
        </w:rPr>
        <w:t>PART IV: The Illusion's Deepest Cost</w:t>
      </w:r>
      <w:r w:rsidR="00A406A1" w:rsidRPr="00A406A1">
        <w:rPr>
          <w:i/>
          <w:iCs/>
        </w:rPr>
        <w:fldChar w:fldCharType="end"/>
      </w:r>
      <w:r>
        <w:t xml:space="preserve"> returns to it.</w:t>
      </w:r>
    </w:p>
    <w:p w14:paraId="66369CE4" w14:textId="77777777" w:rsidR="00E25CED" w:rsidRDefault="00E25CED">
      <w:pPr>
        <w:pStyle w:val="Heading3"/>
      </w:pPr>
      <w:bookmarkStart w:id="4" w:name="_Toc227410640"/>
      <w:r>
        <w:t>Why This Keeps Happening</w:t>
      </w:r>
      <w:bookmarkEnd w:id="4"/>
    </w:p>
    <w:p w14:paraId="582DD262" w14:textId="77777777" w:rsidR="00E25CED" w:rsidRDefault="00E25CED">
      <w:r>
        <w:t>The failures examined in this book are not the result of stupidity, ignorance, or simple bad faith. They emerge from the way modern institutions are designed and governed, and from who holds the authority to shape them. People with intelligence, education, and moral credibility occupy a disproportionate share of the positions where large-scale decisions are made. These traits are not flaws in themselves. They become liabilities when they operate in environments insulated from immediate consequence.</w:t>
      </w:r>
    </w:p>
    <w:p w14:paraId="70ECE798" w14:textId="77777777" w:rsidR="00E25CED" w:rsidRDefault="00E25CED">
      <w:r>
        <w:t>Knowing better does not reliably lead to deciding better. Intelligence often makes economic error easier to justify, not harder. Smart people are especially good at constructing arguments for why general constraints should not apply in a particular case. They can articulate why a situation is exceptional, why tradeoffs can be deferred, or why costs will be absorbed elsewhere: by future budgets, by other institutions, or by people outside the room. Intelligence supplies coherence and confidence, but it does not impose discipline.</w:t>
      </w:r>
    </w:p>
    <w:p w14:paraId="366240B6" w14:textId="77777777" w:rsidR="003C277F" w:rsidRDefault="00E25CED">
      <w:r>
        <w:t xml:space="preserve">Education does something similar. Formal training emphasizes reasoning within abstract frameworks, treating problems as design challenges with adjustable parameters. Over time, attention shifts away from limits and toward manageability. Tradeoffs begin to feel like failures of planning, not conditions of reality. </w:t>
      </w:r>
      <w:r w:rsidR="003C277F">
        <w:t>The more fluent someone becomes in systems thinking, the easier it is to believe that complexity, creativity, or added resources can neutralize costs that cannot, in fact, be eliminated. I know what that fluency felt like from the inside.</w:t>
      </w:r>
    </w:p>
    <w:p w14:paraId="2E2D4243" w14:textId="2D873B8E" w:rsidR="00E25CED" w:rsidRDefault="00E25CED">
      <w:r>
        <w:t xml:space="preserve">Near the end of my senior year </w:t>
      </w:r>
      <w:r w:rsidR="00B738BA">
        <w:t>as an undergraduate</w:t>
      </w:r>
      <w:r>
        <w:t xml:space="preserve">, I sat in a presidential honor society seminar with </w:t>
      </w:r>
      <w:r w:rsidR="00575FAA">
        <w:t>10 to 15</w:t>
      </w:r>
      <w:r>
        <w:t xml:space="preserve"> other students. The professor posed a question about people who opposed capitalism, what we made of their objections.</w:t>
      </w:r>
    </w:p>
    <w:p w14:paraId="1953CB3A" w14:textId="75BCEEEA" w:rsidR="00E25CED" w:rsidRDefault="00E25CED">
      <w:r>
        <w:t>I said I</w:t>
      </w:r>
      <w:r w:rsidR="00463E2E">
        <w:t>'</w:t>
      </w:r>
      <w:r>
        <w:t>d think they were pretty stupid, and I laughed. Nobody else did. In the silence that followed, I realized my common sense was a blind spot. I had been so certain the answer was obvious that it never occurred to me the question was serious. That was my first invoice.</w:t>
      </w:r>
    </w:p>
    <w:p w14:paraId="3EA81D1A" w14:textId="0F75D509" w:rsidR="00E25CED" w:rsidRDefault="003C277F">
      <w:r>
        <w:t>Good intentions add a separate layer to this problem</w:t>
      </w:r>
      <w:r w:rsidR="00E25CED">
        <w:t>. When decisions are framed as compassionate or morally necessary, economic limits become harder to acknowledge without reputational risk. Questions about cost sound like obstruction; discussions of tradeoffs sound like indifference. Reasoning about costs and constraints is not rejected because it is wrong but because it feels misplaced in what has been presented as a moral decision.</w:t>
      </w:r>
    </w:p>
    <w:p w14:paraId="52714EA7" w14:textId="77777777" w:rsidR="00E25CED" w:rsidRDefault="00E25CED">
      <w:r>
        <w:t>These tendencies reinforce one another. When economic reasoning feels untrustworthy and quantitative thinking feels inaccessible, moral language steps in to do the work that causal analysis once performed. Decisions become harder to question without sounding uncaring. The gap between intention and outcome widens, even as confidence in the original reasoning remains intact. The focus on intelligence, education, and good intentions here is contextual. The people who possess these traits are overrepresented among those who design systems but underrepresented among those who live with the results.</w:t>
      </w:r>
    </w:p>
    <w:p w14:paraId="5FE33F32" w14:textId="77777777" w:rsidR="00E25CED" w:rsidRDefault="00E25CED">
      <w:pPr>
        <w:pStyle w:val="Heading3"/>
      </w:pPr>
      <w:bookmarkStart w:id="5" w:name="_Toc227410641"/>
      <w:r>
        <w:t>What This Book Covers</w:t>
      </w:r>
      <w:bookmarkEnd w:id="5"/>
    </w:p>
    <w:p w14:paraId="2BFC5BE6" w14:textId="77777777" w:rsidR="00E25CED" w:rsidRDefault="00E25CED">
      <w:r>
        <w:t>The argument moves across several domains, not for lack of focus but because the same patterns of misreasoning appear wherever decisions involve constraints, consequences, and other people's choices.</w:t>
      </w:r>
    </w:p>
    <w:p w14:paraId="0B5E4E44" w14:textId="0845713B" w:rsidR="00E25CED" w:rsidRDefault="00E25CED">
      <w:r>
        <w:t xml:space="preserve">It begins with the mechanics of what I call </w:t>
      </w:r>
      <w:r w:rsidR="00463E2E">
        <w:t>"</w:t>
      </w:r>
      <w:r>
        <w:t>free lunch thinking</w:t>
      </w:r>
      <w:r w:rsidR="00463E2E">
        <w:t>"</w:t>
      </w:r>
      <w:r w:rsidR="005A7DAC">
        <w:t>:</w:t>
      </w:r>
      <w:r>
        <w:t xml:space="preserve"> the belief that benefits can be captured without incurring costs, that predicting how people will respond to changed incentives is unnecessary or even offensive. The opening chapters examine how this thinking operates, how it defends itself against correction, and why good intentions so often substitute for functional systems.</w:t>
      </w:r>
    </w:p>
    <w:p w14:paraId="3BED33A9" w14:textId="374C0D7D" w:rsidR="00E25CED" w:rsidRDefault="00E25CED">
      <w:r>
        <w:t xml:space="preserve">Why does this pattern persist despite its visible failures? The forces that protect free lunch thinking are structural, not personal: the incentives facing political candidates who learn that acknowledging tradeoffs loses elections, institutional defaults that treat </w:t>
      </w:r>
      <w:r w:rsidR="00463E2E">
        <w:t>"</w:t>
      </w:r>
      <w:r>
        <w:t>underfunding</w:t>
      </w:r>
      <w:r w:rsidR="00463E2E">
        <w:t>"</w:t>
      </w:r>
      <w:r>
        <w:t xml:space="preserve"> as a safe explanation for any disappointment, the substitution of moral conviction for empirical evidence that keeps failed programs alive for decades, and the psychological dynamics that fuse policy positions with personal identity, making correction feel like attack.</w:t>
      </w:r>
    </w:p>
    <w:p w14:paraId="15E3B3A3" w14:textId="6E571585" w:rsidR="00E25CED" w:rsidRDefault="00E25CED">
      <w:r>
        <w:t xml:space="preserve">The </w:t>
      </w:r>
      <w:r w:rsidR="0072253B">
        <w:t>back half of the book</w:t>
      </w:r>
      <w:r>
        <w:t xml:space="preserve"> applies the same analysis to domains closer to daily life: the personal financial decisions that defer costs into an indefinite future, the workplace structures that separate effort from result, and the foundational question of whether economics itself is about anything other than the limits we prefer to ignore. These are not separate topics. They are the same failure of reasoning appearing in different costumes. </w:t>
      </w:r>
      <w:r w:rsidR="0072253B">
        <w:t>We end the book with</w:t>
      </w:r>
      <w:r>
        <w:t xml:space="preserve"> the most consequential assumption running through all of them. I call it the </w:t>
      </w:r>
      <w:r>
        <w:rPr>
          <w:i/>
          <w:iCs/>
        </w:rPr>
        <w:t>Ceteris Paribus</w:t>
      </w:r>
      <w:r>
        <w:t xml:space="preserve"> Paradox.</w:t>
      </w:r>
    </w:p>
    <w:p w14:paraId="5B6F3481" w14:textId="31409FD0" w:rsidR="00E25CED" w:rsidRDefault="00E25CED">
      <w:r>
        <w:t xml:space="preserve">Each chapter concludes with a corrective that turns the chapter's diagnosis into something the reader can practice. These correctives evolve across the book's </w:t>
      </w:r>
      <w:r w:rsidR="00C73C58">
        <w:t>four</w:t>
      </w:r>
      <w:r>
        <w:t xml:space="preserve"> parts, from reasoning tools that emerge organically from the argument, to concrete question sets, to worked examples that show constraint-aware thinking in action. That discipline is not a political ideology or a set of policy prescriptions. It is a habit of thought: asking what things cost, who pays, what happens next, and how people will actually respond to the structures we create.</w:t>
      </w:r>
    </w:p>
    <w:p w14:paraId="543E0CDB" w14:textId="77777777" w:rsidR="00E25CED" w:rsidRDefault="00E25CED">
      <w:pPr>
        <w:pStyle w:val="Heading3"/>
      </w:pPr>
      <w:bookmarkStart w:id="6" w:name="_Toc227410642"/>
      <w:r>
        <w:t>What This Book Is Not</w:t>
      </w:r>
      <w:bookmarkEnd w:id="6"/>
    </w:p>
    <w:p w14:paraId="6B801F26" w14:textId="77777777" w:rsidR="00E25CED" w:rsidRDefault="00E25CED">
      <w:r>
        <w:t>This is not an economics textbook. The reasoning habits it describes draw on economic thinking, but the book assumes no technical background and teaches no formal theory. You will not encounter equations, graphs, or models. What you will encounter is a way of asking questions (about costs, incentives, tradeoffs, and behavioral responses) that economic training develops but that anyone can learn to apply.</w:t>
      </w:r>
    </w:p>
    <w:p w14:paraId="2D37DCBB" w14:textId="77777777" w:rsidR="00E25CED" w:rsidRDefault="00E25CED">
      <w:r>
        <w:t>This is not a policy manual. The book does not argue for particular policies or against others. It does not advocate for smaller government or larger government, more regulation or less. It examines patterns of reasoning that produce disappointment regardless of which policies are chosen, patterns that appear on every part of the political spectrum, in service of any goal. If you are looking for ammunition to use against your political opponents, you will find some, but you will also find the same failures appearing in positions you likely hold yourself.</w:t>
      </w:r>
    </w:p>
    <w:p w14:paraId="531BC960" w14:textId="77777777" w:rsidR="00E25CED" w:rsidRDefault="00E25CED">
      <w:r>
        <w:t>This is not a counsel of despair. Recognizing that good intentions are insufficient to produce good outcomes is not the same as concluding that good outcomes are impossible. It is the precondition for pursuing good outcomes through methods that actually work. The discipline this book recommends is harder than free lunch thinking, but it is more honest, and in the end, more likely to help the people whom good intentions are meant to serve.</w:t>
      </w:r>
    </w:p>
    <w:p w14:paraId="02E93CDC" w14:textId="2B13CCB6" w:rsidR="00B62E05" w:rsidRPr="00B62E05" w:rsidRDefault="00B62E05" w:rsidP="00B62E05">
      <w:r w:rsidRPr="00B62E05">
        <w:t>This book is not the first to examine these patterns. Frédéric Bastiat was writing about the costs people refuse to see in 1850. Friedrich Hayek and Thomas Sowell built rigorous cases for the limits of centralized knowledge. Bryan Caplan documented the systematic reasoning failures that shape democratic outcomes. On the other side of the intellectual spectrum, Daniel Kahneman and Amos Tversky mapped the cognitive architecture that makes those failures predictable, and Elinor Ostrom showed how communities can sometimes manage shared resources without the top-down structures that other economists assumed were necessary.</w:t>
      </w:r>
      <w:r w:rsidR="00B34BCF">
        <w:rPr>
          <w:rStyle w:val="EndnoteReference"/>
        </w:rPr>
        <w:endnoteReference w:id="2"/>
      </w:r>
      <w:r w:rsidRPr="00B62E05">
        <w:t xml:space="preserve"> This book draws on all of these traditions without belonging entirely to any of them. Its contribution is diagnostic: a framework for recognizing the specific errors that recur when decision-makers treat costs as optional, incentives as irrelevant, and good intentions as sufficient substitutes for functional design.</w:t>
      </w:r>
    </w:p>
    <w:p w14:paraId="6C0940BD" w14:textId="77777777" w:rsidR="00E25CED" w:rsidRDefault="00E25CED">
      <w:pPr>
        <w:pStyle w:val="Heading3"/>
      </w:pPr>
      <w:bookmarkStart w:id="7" w:name="_Toc227410643"/>
      <w:r>
        <w:t>A Note on the Examples in This Book</w:t>
      </w:r>
      <w:bookmarkEnd w:id="7"/>
    </w:p>
    <w:p w14:paraId="3A057CD6" w14:textId="77777777" w:rsidR="00E25CED" w:rsidRDefault="00E25CED">
      <w:r>
        <w:t>A reader flipping through these chapters will notice that the examples skew in a particular direction. More of them involve progressive policy failures than conservative ones. Rent control, minimum wage, universal healthcare proposals, education reform, homelessness spending, job training programs. These appear more often than tax cut projections, drug war enforcement, or defense procurement overruns. That imbalance is real, it is deliberate, and it deserves an honest explanation, not a defensive one.</w:t>
      </w:r>
    </w:p>
    <w:p w14:paraId="7F92E00D" w14:textId="77777777" w:rsidR="00E25CED" w:rsidRDefault="00E25CED">
      <w:r>
        <w:t>The framework diagnoses a specific type of error: what happens when people design active interventions (programs, regulations, spending initiatives, institutional reforms) while ignoring costs and substituting moral conviction for causal reasoning. That type of error has more surface area on one side of the political spectrum than the other, and the reason is structural, not ideological.</w:t>
      </w:r>
    </w:p>
    <w:p w14:paraId="40AA4969" w14:textId="5F643E8B" w:rsidR="00E25CED" w:rsidRDefault="00E25CED">
      <w:r>
        <w:t>For most of the postwar period, one side of the American political landscape controlled the legislative machinery. Democrats held the House of Representatives continuously from 1955 to 199</w:t>
      </w:r>
      <w:r w:rsidR="004164B2">
        <w:t>4</w:t>
      </w:r>
      <w:r>
        <w:t>,</w:t>
      </w:r>
      <w:r w:rsidR="004164B2">
        <w:t xml:space="preserve"> almost</w:t>
      </w:r>
      <w:r>
        <w:t xml:space="preserve"> </w:t>
      </w:r>
      <w:r w:rsidR="004164B2">
        <w:t>40</w:t>
      </w:r>
      <w:r>
        <w:t xml:space="preserve"> years during which the modern welfare state, the Great Society programs, federal education policy, and much of the regulatory apparatus were designed, funded, and expanded.</w:t>
      </w:r>
      <w:r w:rsidR="00CA696A">
        <w:rPr>
          <w:rStyle w:val="EndnoteReference"/>
        </w:rPr>
        <w:endnoteReference w:id="3"/>
      </w:r>
      <w:r>
        <w:t xml:space="preserve"> Republicans held the presidency during portions of that era, but domestic policy legislation runs through Congress. The side that builds more programs, designs more interventions, and creates more institutional structures generates more occasions for the specific reasoning failures this book examines. That is not an indictment of building things. It is an observation about where the evidence accumulates.</w:t>
      </w:r>
    </w:p>
    <w:p w14:paraId="5FCF1031" w14:textId="77777777" w:rsidR="00E25CED" w:rsidRDefault="00E25CED">
      <w:r>
        <w:t>When conservatives have had the opportunity to implement their own ambitious interventions, the same thinking errors often appear with the same results. The pattern does not belong to one party, one ideology, or one set of intentions. But the opportunities to exhibit it have not been evenly distributed, and pretending otherwise would require exactly the kind of dishonesty this book argues against.</w:t>
      </w:r>
    </w:p>
    <w:p w14:paraId="25AD19D8" w14:textId="77777777" w:rsidR="00E25CED" w:rsidRDefault="00E25CED">
      <w:r>
        <w:t>Certain examples reappear across several chapters. Rent control is the most obvious, surfacing in discussions of hidden costs, behavioral responses, unintended consequences, and the gap between conviction and evidence. When a recurring example reappears, it does new work: revealing a different mechanism at play, or exposing a layer the previous discussion hadn't reached. The patterns this book identifies do not respect boundaries between policy areas, and an example that crosses those boundaries earns its repetition.</w:t>
      </w:r>
    </w:p>
    <w:p w14:paraId="7CC53879" w14:textId="77777777" w:rsidR="00E25CED" w:rsidRDefault="00E25CED">
      <w:pPr>
        <w:pStyle w:val="Heading3"/>
      </w:pPr>
      <w:bookmarkStart w:id="8" w:name="_Toc227410644"/>
      <w:r>
        <w:t>How to Read This Book</w:t>
      </w:r>
      <w:bookmarkEnd w:id="8"/>
    </w:p>
    <w:p w14:paraId="35148553" w14:textId="77777777" w:rsidR="00E25CED" w:rsidRDefault="00E25CED">
      <w:r>
        <w:t>The book is structured for sequential reading. The argument builds with each section preparing concepts that later sections apply and extend. That said, different readers will find different sections most immediately relevant. If your primary interest is public policy and political discourse, the first two parts will speak most directly to your concerns. If you are puzzled by why organizations consistently underperform despite talented people and adequate resources, the chapters on work and institutional design may resonate most strongly. If you are troubled by patterns in your own financial and career decisions that seem to repeat despite your intentions, the material on personal tradeoffs may provide uncomfortable recognition.</w:t>
      </w:r>
    </w:p>
    <w:p w14:paraId="6F4B954B" w14:textId="77777777" w:rsidR="00E25CED" w:rsidRDefault="00E25CED">
      <w:r>
        <w:t>One note on discomfort. If you find yourself resisting an argument, or feeling that a particular example does not apply to positions you hold, that response is worth noticing. This book argues that certain patterns of reasoning defend themselves against correction, that they transform challenges into evidence of the challenger's bad faith rather than occasions for genuine reconsideration. Noticing your own resistance does not require accepting every argument the book makes. But treating that resistance as data, not as automatic justification, may allow you to engage with the material more productively.</w:t>
      </w:r>
    </w:p>
    <w:p w14:paraId="41AB5DC6" w14:textId="77777777" w:rsidR="00E25CED" w:rsidRDefault="00E25CED">
      <w:pPr>
        <w:sectPr w:rsidR="00E25CED" w:rsidSect="00811DDF">
          <w:endnotePr>
            <w:numFmt w:val="decimal"/>
          </w:endnotePr>
          <w:type w:val="oddPage"/>
          <w:pgSz w:w="12240" w:h="15840"/>
          <w:pgMar w:top="1440" w:right="1440" w:bottom="1440" w:left="1440" w:header="0" w:footer="720" w:gutter="0"/>
          <w:cols w:space="720"/>
          <w:formProt w:val="0"/>
          <w:titlePg/>
          <w:docGrid w:linePitch="100"/>
        </w:sectPr>
      </w:pPr>
      <w:r>
        <w:t>The goal of this book is not to make you feel bad about how you have reasoned in the past. It is to offer a different way of reasoning going forward: a way that acknowledges costs, anticipates responses, and takes seriously the gap between what we intend and what we produce.</w:t>
      </w:r>
    </w:p>
    <w:p w14:paraId="663954C3" w14:textId="77777777" w:rsidR="00E25CED" w:rsidRDefault="00E25CED">
      <w:pPr>
        <w:pStyle w:val="Heading1"/>
      </w:pPr>
      <w:bookmarkStart w:id="9" w:name="_Toc227410645"/>
      <w:r>
        <w:t>PART I: The Illusion &amp; Its Mechanics</w:t>
      </w:r>
      <w:bookmarkEnd w:id="9"/>
    </w:p>
    <w:p w14:paraId="4075A2E4" w14:textId="77777777" w:rsidR="00E25CED" w:rsidRDefault="00E25CED">
      <w:r>
        <w:t>The introduction described a pattern: smart people, good intentions, disappointing outcomes, repeated without apparent learning. The next four chapters take that pattern apart.</w:t>
      </w:r>
    </w:p>
    <w:p w14:paraId="7BF6EDCD" w14:textId="77777777" w:rsidR="00E25CED" w:rsidRDefault="00E25CED">
      <w:r>
        <w:t>The goal here is mechanical, not moral. These chapters are not interested in who is at fault. They are interested in how the machinery works: the specific cognitive and institutional habits that produce the same failures in different domains, under different leadership, across different decades. The pattern survives personnel changes, budget increases, and political turnover because it is built into how people reason about costs, not into who happens to be reasoning.</w:t>
      </w:r>
    </w:p>
    <w:p w14:paraId="69322E0C" w14:textId="7EC021B9" w:rsidR="00E25CED" w:rsidRDefault="00E25CED">
      <w:pPr>
        <w:sectPr w:rsidR="00E25CED" w:rsidSect="00E25CED">
          <w:footerReference w:type="default" r:id="rId16"/>
          <w:footerReference w:type="first" r:id="rId17"/>
          <w:endnotePr>
            <w:numFmt w:val="decimal"/>
          </w:endnotePr>
          <w:pgSz w:w="12240" w:h="15840"/>
          <w:pgMar w:top="1440" w:right="1440" w:bottom="1440" w:left="1440" w:header="0" w:footer="720" w:gutter="0"/>
          <w:cols w:space="720"/>
          <w:formProt w:val="0"/>
          <w:docGrid w:linePitch="100"/>
        </w:sectPr>
      </w:pPr>
      <w:r>
        <w:t xml:space="preserve">By the end of this </w:t>
      </w:r>
      <w:r w:rsidR="00CA5EF2">
        <w:t>part</w:t>
      </w:r>
      <w:r>
        <w:t>, the pattern should be recognizable. Not as an abstraction, but as something you have watched happen in organizations you have worked for, in decisions you have made yourself. That recognition is the foundation for everything that follows.</w:t>
      </w:r>
    </w:p>
    <w:p w14:paraId="451D75E6" w14:textId="77777777" w:rsidR="00E25CED" w:rsidRDefault="00E25CED">
      <w:pPr>
        <w:pStyle w:val="Heading2"/>
      </w:pPr>
      <w:bookmarkStart w:id="10" w:name="_Toc227410646"/>
      <w:bookmarkStart w:id="11" w:name="_Ref227672541"/>
      <w:r>
        <w:t>The Myth of the Free Lunch</w:t>
      </w:r>
      <w:bookmarkEnd w:id="10"/>
      <w:bookmarkEnd w:id="11"/>
    </w:p>
    <w:p w14:paraId="1640D5D8" w14:textId="67FFCA4D" w:rsidR="00E25CED" w:rsidRDefault="00463E2E">
      <w:r>
        <w:t>"</w:t>
      </w:r>
      <w:r w:rsidR="00E25CED">
        <w:t>There is no such thing as a free lunch.</w:t>
      </w:r>
      <w:r>
        <w:t>"</w:t>
      </w:r>
    </w:p>
    <w:p w14:paraId="5058786A" w14:textId="06202883" w:rsidR="00E25CED" w:rsidRDefault="00E25CED">
      <w:r>
        <w:t xml:space="preserve">In the late nineteenth century, this was not a metaphor. It was a warning about a marketing trap. American saloons advertised a </w:t>
      </w:r>
      <w:r w:rsidR="00463E2E">
        <w:t>"</w:t>
      </w:r>
      <w:r>
        <w:t>free lunch</w:t>
      </w:r>
      <w:r w:rsidR="00463E2E">
        <w:t>"</w:t>
      </w:r>
      <w:r>
        <w:t xml:space="preserve"> to anyone who bought a single drink. But the spread, typically salted ham, crackers, and pickles, was a calculated ruse. The salt ensured the patron would buy three more beers to quench his thirst, and the cost of the food was quietly folded into the price of the alcohol.</w:t>
      </w:r>
      <w:r w:rsidR="00CA696A">
        <w:rPr>
          <w:rStyle w:val="EndnoteReference"/>
        </w:rPr>
        <w:endnoteReference w:id="4"/>
      </w:r>
      <w:r>
        <w:t xml:space="preserve"> The lunch was not free. The cost was simply disguised.</w:t>
      </w:r>
    </w:p>
    <w:p w14:paraId="6D105625" w14:textId="568FD668" w:rsidR="00E25CED" w:rsidRDefault="00E25CED">
      <w:r>
        <w:t xml:space="preserve">The insight proved so durable that it became shorthand for how the world actually works. A 1938 fable by Walter Morrow tells of a king who demanded his advisors distill the whole of economics into a single volume. When that was too long, he demanded a chapter, then a page. Finally, the last surviving economist gave the king the truth in eight words: </w:t>
      </w:r>
      <w:r w:rsidR="00463E2E">
        <w:t>"</w:t>
      </w:r>
      <w:r>
        <w:t xml:space="preserve">There </w:t>
      </w:r>
      <w:proofErr w:type="spellStart"/>
      <w:r>
        <w:t>ain't</w:t>
      </w:r>
      <w:proofErr w:type="spellEnd"/>
      <w:r>
        <w:t xml:space="preserve"> no such thing as free lunch.</w:t>
      </w:r>
      <w:r w:rsidR="00463E2E">
        <w:t>"</w:t>
      </w:r>
      <w:r w:rsidR="003218C7">
        <w:rPr>
          <w:rStyle w:val="EndnoteReference"/>
        </w:rPr>
        <w:endnoteReference w:id="5"/>
      </w:r>
      <w:r>
        <w:t xml:space="preserve"> By midcentury, thinkers from Robert Heinlein to Milton Friedman had turned the phrase into a cultural rallying cry, often shortened to the acronym TANSTAAFL.</w:t>
      </w:r>
      <w:r w:rsidR="00CB3BE7">
        <w:rPr>
          <w:rStyle w:val="EndnoteReference"/>
        </w:rPr>
        <w:endnoteReference w:id="6"/>
      </w:r>
    </w:p>
    <w:p w14:paraId="26C5A8E7" w14:textId="77777777" w:rsidR="00E25CED" w:rsidRDefault="00E25CED">
      <w:r>
        <w:t>The phrase survived because it captures something we keep rediscovering the hard way: costs do not disappear because we choose not to look at them. They can be delayed, shifted onto a neighbor, or pushed into the future, but the bill always arrives.</w:t>
      </w:r>
    </w:p>
    <w:p w14:paraId="07ED6948" w14:textId="77777777" w:rsidR="00E25CED" w:rsidRDefault="00E25CED">
      <w:r>
        <w:t>Yet in our current moment, this phrase has begun to sound almost cruel. It is dismissed as the cynical relic of a less compassionate era, invoked by those who wish to avoid solving problems or helping the vulnerable. We treat the warning about the trap as if it were the problem itself.</w:t>
      </w:r>
    </w:p>
    <w:p w14:paraId="39ECADF2" w14:textId="77777777" w:rsidR="00E25CED" w:rsidRDefault="00E25CED">
      <w:r>
        <w:t>This shift reveals something important.</w:t>
      </w:r>
    </w:p>
    <w:p w14:paraId="3CBE20D9" w14:textId="50A12FE6" w:rsidR="00CF1742" w:rsidRPr="00CF1742" w:rsidRDefault="00CF1742" w:rsidP="00CF1742">
      <w:r w:rsidRPr="00CF1742">
        <w:t xml:space="preserve">When a warning begins to sound cruel, the people it was meant to protect stop hearing it, and the people whose job is to verify stop asking. Bernie Madoff's fund ran on that failure for </w:t>
      </w:r>
      <w:r w:rsidR="00840BB0">
        <w:t>nearly two decades</w:t>
      </w:r>
      <w:r w:rsidRPr="00CF1742">
        <w:t>. It delivered exactly what every investor wanted: consistent, high returns with no apparent risk. It reported gains in up markets and down markets, through recessions and booms, with a steadiness that defied everything known about how financial markets actually work.</w:t>
      </w:r>
    </w:p>
    <w:p w14:paraId="11184D90" w14:textId="1DE72B50" w:rsidR="00E25CED" w:rsidRDefault="00E25CED">
      <w:r>
        <w:t>The institutional gatekeepers (feeder funds, banks, and regulators) had every reason and every resource to ask how this was possible. Most did not. But thousands of Madoff</w:t>
      </w:r>
      <w:r w:rsidR="00463E2E">
        <w:t>'</w:t>
      </w:r>
      <w:r>
        <w:t>s victims never had the chance to ask. Their financial advisors or retirement fund managers had placed their savings with Madoff through intermediaries, often without their knowledge. Retirees, teachers, small business owners, people who had trusted the system to do the due diligence they could not do themselves, lost everything because the people whose job it was to look closely chose to collect the returns instead.</w:t>
      </w:r>
    </w:p>
    <w:p w14:paraId="18C9B820" w14:textId="2A7B6895" w:rsidR="00840BB0" w:rsidRPr="00840BB0" w:rsidRDefault="00840BB0" w:rsidP="00840BB0">
      <w:r w:rsidRPr="00840BB0">
        <w:t>The few analysts who did ask could not make the numbers work. Beginning in 2000, a financial investigator named Harry Markopolos alerted the Securities and Exchange Commission</w:t>
      </w:r>
      <w:r>
        <w:t xml:space="preserve"> (SEC)</w:t>
      </w:r>
      <w:r w:rsidRPr="00840BB0">
        <w:t>. In a November 2005 submission titled "The World's Largest Hedge Fund Is a Fraud," he laid out 29 red flags and showed, mathematically, that the reported returns could not have been generated by any known trading strategy</w:t>
      </w:r>
      <w:r w:rsidR="00E25CED">
        <w:t>.</w:t>
      </w:r>
      <w:r>
        <w:rPr>
          <w:rStyle w:val="EndnoteReference"/>
        </w:rPr>
        <w:endnoteReference w:id="7"/>
      </w:r>
      <w:r w:rsidR="00E25CED">
        <w:t xml:space="preserve"> </w:t>
      </w:r>
      <w:r w:rsidRPr="00840BB0">
        <w:t>The SEC investigated and found nothing actionable</w:t>
      </w:r>
      <w:r w:rsidR="00E25CED">
        <w:t>.</w:t>
      </w:r>
      <w:r>
        <w:rPr>
          <w:rStyle w:val="EndnoteReference"/>
        </w:rPr>
        <w:endnoteReference w:id="8"/>
      </w:r>
      <w:r w:rsidR="00E25CED">
        <w:t xml:space="preserve"> </w:t>
      </w:r>
      <w:r w:rsidRPr="00840BB0">
        <w:t>Markopolos tried again in 2008. The money kept flowing in.</w:t>
      </w:r>
    </w:p>
    <w:p w14:paraId="5E134BAC" w14:textId="0DA96963" w:rsidR="00E25CED" w:rsidRDefault="00E25CED">
      <w:r>
        <w:t>When the scheme collapsed in December 2008, $65 billion in stated value evaporated.</w:t>
      </w:r>
      <w:r w:rsidR="00840BB0">
        <w:rPr>
          <w:rStyle w:val="EndnoteReference"/>
        </w:rPr>
        <w:endnoteReference w:id="9"/>
      </w:r>
      <w:r>
        <w:t xml:space="preserve"> Madoff had not been investing the money at all. He had been paying old investors with new investors</w:t>
      </w:r>
      <w:r w:rsidR="00463E2E">
        <w:t>'</w:t>
      </w:r>
      <w:r>
        <w:t xml:space="preserve"> deposits, the oldest con in finance, executed at unprecedented scale. Charities shut down overnight. At least two investors took their own lives.</w:t>
      </w:r>
      <w:r w:rsidR="00CF1742">
        <w:rPr>
          <w:rStyle w:val="EndnoteReference"/>
        </w:rPr>
        <w:endnoteReference w:id="10"/>
      </w:r>
    </w:p>
    <w:p w14:paraId="254AF401" w14:textId="77777777" w:rsidR="00E25CED" w:rsidRDefault="00E25CED">
      <w:r>
        <w:t>The returns were never real. The costs were always accumulating. The only thing Madoff actually provided was the temporary experience of getting something for nothing and a bill that arrived all at once instead of gradually.</w:t>
      </w:r>
    </w:p>
    <w:p w14:paraId="6D338FEA" w14:textId="77777777" w:rsidR="00767630" w:rsidRDefault="00E25CED">
      <w:r>
        <w:t>Madoff is a dramatic case, but he is not a representative one. Most free lunch thinking does not involve fraud. It involves sincere people in ordinary rooms making sincere arguments that sound like moral necessities. We can provide better healthcare without anyone paying more. We can help people in need without creating incentives that change behavior in ways we did not intend. The people making these arguments are not running a con. They genuinely believe that good intentions can overcome economic constraints, that caring enough about a problem can make the resources to solve it appear from somewhere outside the normal world of limited budgets and competing priorities</w:t>
      </w:r>
      <w:r w:rsidR="00767630">
        <w:t>.</w:t>
      </w:r>
    </w:p>
    <w:p w14:paraId="065555DE" w14:textId="6CBB7FC3" w:rsidR="00E25CED" w:rsidRDefault="00E25CED">
      <w:r>
        <w:t>That belief has become so pervasive that questioning it feels cruel. The economic reality becomes the enemy of moral progress. That is where the real ignorance tax accumulates: not in billion-dollar frauds that eventually collapse under their own weight, but in the daily, invisible, socially enforced refusal to ask what things cost.</w:t>
      </w:r>
    </w:p>
    <w:p w14:paraId="12CBE830" w14:textId="77777777" w:rsidR="00E25CED" w:rsidRDefault="00E25CED">
      <w:r>
        <w:t>That is the myth of the free lunch: not that people are stupid or gullible, but that the desire to believe costs can be avoided is so powerful it overwhelmed the judgment of gatekeepers whose entire job was to ask how, for nearly two decades, while the evidence sat in a filing cabinet at the SEC.</w:t>
      </w:r>
    </w:p>
    <w:p w14:paraId="3397384E" w14:textId="77777777" w:rsidR="00E25CED" w:rsidRDefault="00E25CED">
      <w:r>
        <w:t>This chapter is about that desire: where it operates, what it costs, and why it persists even when the evidence against it is overwhelming.</w:t>
      </w:r>
    </w:p>
    <w:p w14:paraId="4B57CB06" w14:textId="77777777" w:rsidR="00E25CED" w:rsidRDefault="00E25CED">
      <w:pPr>
        <w:pStyle w:val="Heading3"/>
      </w:pPr>
      <w:bookmarkStart w:id="12" w:name="_Toc227410647"/>
      <w:r>
        <w:t>Why No One Believes in Free Lunches Until They Do</w:t>
      </w:r>
      <w:bookmarkEnd w:id="12"/>
    </w:p>
    <w:p w14:paraId="021471FC" w14:textId="77777777" w:rsidR="00E25CED" w:rsidRDefault="00E25CED">
      <w:r>
        <w:t>Before we can talk about free lunches in economic policy, it helps to see how easily the idea sneaks into our thinking. Not as a grand theory, but as a small exception, a reasonable accommodation, or a moment of kindness that quietly teaches the wrong lesson.</w:t>
      </w:r>
    </w:p>
    <w:p w14:paraId="65658AFD" w14:textId="77777777" w:rsidR="00E25CED" w:rsidRDefault="00E25CED">
      <w:r>
        <w:t>When people talk about bailing out failing institutions, they're talking about a government rescue. A large organization like a bank or a car company makes bad decisions, takes massive losses, and faces collapse. The government steps in, guaranteeing debts and buying failing assets. The stated goal is stability. The unstated effect is insulation.</w:t>
      </w:r>
    </w:p>
    <w:p w14:paraId="0391FFD5" w14:textId="77777777" w:rsidR="00E25CED" w:rsidRDefault="00E25CED">
      <w:r>
        <w:t>In a bailout, the institution that made the mistake is spared the full cost of that mistake. Creditors are paid. Executives keep their jobs. Shareholders may take a hit, but the firm survives. The loss does not disappear; it is transferred, spread across taxpayers, future inflation, or public debt. The bill is paid by people who had no role in the decision.</w:t>
      </w:r>
    </w:p>
    <w:p w14:paraId="1310326C" w14:textId="77777777" w:rsidR="00E25CED" w:rsidRDefault="00E25CED">
      <w:r>
        <w:t>Why does this matter? Because risk only disciplines behavior when failure is allowed to occur.</w:t>
      </w:r>
    </w:p>
    <w:p w14:paraId="6F6B1ADE" w14:textId="699350DB" w:rsidR="00E25CED" w:rsidRDefault="00E25CED">
      <w:r>
        <w:t>If sufficiently large mistakes reliably trigger rescue, then risk changes meaning. Taking on more leverage and cutting corners no longer carry the same downside. The upside remains private (profits, bonuses, market share)</w:t>
      </w:r>
      <w:r w:rsidR="00A16C1A">
        <w:t>,</w:t>
      </w:r>
      <w:r>
        <w:t xml:space="preserve"> while the worst consequences are absorbed elsewhere. Over time, institutions respond predictably to this environment. They do not grow more cautious. They grow more aggressive.</w:t>
      </w:r>
    </w:p>
    <w:p w14:paraId="7AF2BB58" w14:textId="77777777" w:rsidR="00E25CED" w:rsidRDefault="00E25CED">
      <w:r>
        <w:t>Economists call this moral hazard. It occurs whenever decision-makers are insulated from the consequences of their choices and therefore have less reason to choose carefully. Bailouts don't just cover losses after the fact. They change behavior before the loss ever occurs. They teach institutions that restraint is optional and that failure, if large enough, will be forgiven.</w:t>
      </w:r>
    </w:p>
    <w:p w14:paraId="4D0A132F" w14:textId="0FE7F5C1" w:rsidR="00E25CED" w:rsidRDefault="00E25CED">
      <w:r>
        <w:t>This is why bailouts are controversial even among people who want financial stability. Once the expectation of rescue sets in, behavior adjusts. Studies have found that large institutions, the ones most confident of rescue, increase their risk-taking accordingly.</w:t>
      </w:r>
      <w:r w:rsidR="00A16C1A">
        <w:rPr>
          <w:rStyle w:val="EndnoteReference"/>
        </w:rPr>
        <w:endnoteReference w:id="11"/>
      </w:r>
      <w:r>
        <w:t xml:space="preserve"> What began as an emergency measure turns into a standing feature of the system.</w:t>
      </w:r>
    </w:p>
    <w:p w14:paraId="168EC16D" w14:textId="1B6A287B" w:rsidR="00E25CED" w:rsidRDefault="00E25CED">
      <w:r>
        <w:t>Ask almost anyone whether taxpayers should cover the losses of a bank that made reckless bets, and the answer is immediate. Ask whether a corporation that cut corners to boost profits deserves a government check when the consequences arrive, and the response is nearly universal.</w:t>
      </w:r>
      <w:r w:rsidR="00A419F8">
        <w:rPr>
          <w:rStyle w:val="EndnoteReference"/>
        </w:rPr>
        <w:endnoteReference w:id="12"/>
      </w:r>
      <w:r>
        <w:t xml:space="preserve"> Left or right, the logic feels obvious: if you remove the penalty for bad decisions, you get more bad decisions.</w:t>
      </w:r>
    </w:p>
    <w:p w14:paraId="7D9F33C8" w14:textId="77777777" w:rsidR="00E25CED" w:rsidRDefault="00E25CED">
      <w:r>
        <w:t>What's striking is not that this logic breaks down when we apply it to people. It doesn't. Everyone understands that shielding someone from the consequences of their choices does not help them improve. Ask any parent whether the neighbor's kid should be bailed out of every mess, and you'll hear the principle stated with perfect clarity. The logic remains fully intact, obvious to everyone.</w:t>
      </w:r>
    </w:p>
    <w:p w14:paraId="5F9280E8" w14:textId="022EC8D7" w:rsidR="00E25CED" w:rsidRDefault="00E25CED">
      <w:r>
        <w:t xml:space="preserve">What changes is the willingness to apply it when you are the one who </w:t>
      </w:r>
      <w:r w:rsidR="008C52D7">
        <w:t>must</w:t>
      </w:r>
      <w:r>
        <w:t xml:space="preserve"> impose the cost. It does not have to be your child. It can be your employee, your student, your department, your program. What matters is that you are the person who </w:t>
      </w:r>
      <w:r w:rsidR="008C52D7">
        <w:t>must</w:t>
      </w:r>
      <w:r>
        <w:t xml:space="preserve"> look at someone and let the consequence land. That is when </w:t>
      </w:r>
      <w:r w:rsidR="00463E2E">
        <w:t>"</w:t>
      </w:r>
      <w:r>
        <w:t>consequences teach lessons</w:t>
      </w:r>
      <w:r w:rsidR="00463E2E">
        <w:t>"</w:t>
      </w:r>
      <w:r>
        <w:t xml:space="preserve"> stops feeling like a principle and starts feeling like something you are doing to someone. The logic hasn't failed. It has been exempted. And the exemption doesn't come from a flaw in reasoning. It comes from the fact that applying the logic </w:t>
      </w:r>
      <w:r w:rsidR="008C52D7" w:rsidRPr="008C52D7">
        <w:t>requires you to be the one who has to sit across from someone and not flinch</w:t>
      </w:r>
      <w:r>
        <w:t>.</w:t>
      </w:r>
    </w:p>
    <w:p w14:paraId="12682ADC" w14:textId="4FD2B78A" w:rsidR="00E25CED" w:rsidRDefault="00E25CED">
      <w:r>
        <w:t>Every parent knows this tension. If a child never experiences the cost of procrastination, carelessness, or poor judgment, they don't learn to manage time, attention, or risk.</w:t>
      </w:r>
      <w:r w:rsidR="008C52D7">
        <w:rPr>
          <w:rStyle w:val="EndnoteReference"/>
        </w:rPr>
        <w:endnoteReference w:id="13"/>
      </w:r>
      <w:r>
        <w:t xml:space="preserve"> Not because they are lazy or malicious, but because nothing in their environment requires it. Experience is the teacher. Consequences are the curriculum. This is not one principle among many. It is the mechanism by which people learn that reality does not negotiate. Remove the consequences and you remove the lesson. Not immediately, and not catastrophically, but steadily. Small mistakes repeat. Small habits harden. And when reality eventually intrudes, the correction is harsher precisely because it was delayed.</w:t>
      </w:r>
    </w:p>
    <w:p w14:paraId="414106F3" w14:textId="20BAF249" w:rsidR="00E25CED" w:rsidRDefault="00E25CED">
      <w:r>
        <w:t>The same dynamic operates, more quietly but more pervasively, in education. When institutions systematically soften consequences, they do not just fail to teach content. They teach something else entirely: that accountability is optional, that outcomes should be adjustable after the fact, and that the connection between choices and results is someone else's problem. That lesson does not stay in school. It follows students into workplaces, civic life, and eventually into the lens through which they judge economic policy. The exemption that began as a kindness in a single classroom becomes the expectation an entire generation carries forward.</w:t>
      </w:r>
      <w:r w:rsidR="008C52D7">
        <w:rPr>
          <w:rStyle w:val="EndnoteReference"/>
        </w:rPr>
        <w:endnoteReference w:id="14"/>
      </w:r>
    </w:p>
    <w:p w14:paraId="76B467A0" w14:textId="77777777" w:rsidR="00E25CED" w:rsidRDefault="00E25CED">
      <w:r>
        <w:t>This is free lunch thinking. Not a theory anyone consciously adopts, but a belief that takes hold when consequences have been absent long enough that costs stop feeling real. Once that belief operates at the level of individual experience, it does not remain there. It becomes the standard by which every proposal, every policy, and every institution is measured.</w:t>
      </w:r>
    </w:p>
    <w:p w14:paraId="01F84CAE" w14:textId="77777777" w:rsidR="00E25CED" w:rsidRDefault="00E25CED">
      <w:pPr>
        <w:pStyle w:val="Heading3"/>
      </w:pPr>
      <w:bookmarkStart w:id="13" w:name="_Toc227410648"/>
      <w:r>
        <w:t>The Appeal of Something for Nothing</w:t>
      </w:r>
      <w:bookmarkEnd w:id="13"/>
    </w:p>
    <w:p w14:paraId="2DA263E3" w14:textId="77777777" w:rsidR="00E25CED" w:rsidRDefault="00E25CED">
      <w:r>
        <w:t>Free lunch thinking feels intuitive because it aligns with how we want the world to work. Nobody wants to live in a universe where helping people requires hurting other people, where doing good requires giving up something else we value. The idea that we can transcend these limitations through better planning, more resources, or stronger commitment appeals to our deepest moral instincts.</w:t>
      </w:r>
    </w:p>
    <w:p w14:paraId="49DEC98B" w14:textId="77777777" w:rsidR="00E25CED" w:rsidRDefault="00E25CED">
      <w:r>
        <w:t>Real suffering sharpens it. When someone is in pain and the right thing to do seems clear, focusing on costs and consequences feels like a distraction at best and an excuse for inaction at worst. The urgency of the need appears to override normal constraints. Asking what a solution costs while people are suffering sounds like looking for a reason not to help, and that framing is nearly impossible to argue against in the moment.</w:t>
      </w:r>
    </w:p>
    <w:p w14:paraId="2199DB83" w14:textId="77777777" w:rsidR="00E2386B" w:rsidRPr="00E2386B" w:rsidRDefault="00E25CED" w:rsidP="00E2386B">
      <w:r>
        <w:t>Free lunches are easy to reject in the abstract. They are much harder to resist when the bill hasn't arrived yet, which explains why promises of something for nothing are so politically irresistible, even when we know better. The persistence runs deeper than politics. Whether this is because people have never been taught that these costs exist or simply find it easier not to think about them, the effect is the same: the costs stay invisible and the moral satisfaction stays intact. We get to be compassionate without being constrained.</w:t>
      </w:r>
      <w:r w:rsidR="00E2386B">
        <w:t xml:space="preserve"> </w:t>
      </w:r>
      <w:r w:rsidR="00E2386B" w:rsidRPr="00E2386B">
        <w:t>The social pressure to maintain that arrangement is the subject of a later section; for now, what matters is that the appeal works on its own.</w:t>
      </w:r>
    </w:p>
    <w:p w14:paraId="1BB305B3" w14:textId="77777777" w:rsidR="00E25CED" w:rsidRDefault="00E25CED">
      <w:pPr>
        <w:pStyle w:val="Heading3"/>
      </w:pPr>
      <w:bookmarkStart w:id="14" w:name="_Toc227410649"/>
      <w:r>
        <w:t>Costs That Don't Look Like Costs</w:t>
      </w:r>
      <w:bookmarkEnd w:id="14"/>
    </w:p>
    <w:p w14:paraId="3DEE6C7C" w14:textId="77777777" w:rsidR="00E25CED" w:rsidRDefault="00E25CED">
      <w:r>
        <w:t>The surest way to maintain the free lunch illusion is to focus exclusively on costs that can be measured in dollars while ignoring costs that show up as time, effort, attention, opportunity, or future constraints. When a policy calls for government spending, that spending gets counted as a cost. But if the same policy forces people to spend hours filling out forms, attending meetings, or dealing with bureaucratic processes, that time disappears from the calculation entirely.</w:t>
      </w:r>
    </w:p>
    <w:p w14:paraId="1993063C" w14:textId="39FD0FB1" w:rsidR="00767630" w:rsidRDefault="00E25CED">
      <w:r>
        <w:t xml:space="preserve">Such selective attention </w:t>
      </w:r>
      <w:r w:rsidR="00B451F7">
        <w:t>can create</w:t>
      </w:r>
      <w:r>
        <w:t xml:space="preserve"> a systematic bias toward solutions that shift costs away from budgets and onto people</w:t>
      </w:r>
      <w:r w:rsidR="00463E2E">
        <w:t>'</w:t>
      </w:r>
      <w:r>
        <w:t>s lives. Hiring additional teachers looks more expensive than requiring existing teachers to work longer hours or take on larger classes. Adding customer service representatives looks more expensive than requiring callers to work through automated phone systems and endure lengthy hold times</w:t>
      </w:r>
      <w:r w:rsidR="00767630">
        <w:t>.</w:t>
      </w:r>
    </w:p>
    <w:p w14:paraId="57D44F8B" w14:textId="1FA2AAC7" w:rsidR="00E25CED" w:rsidRDefault="00E25CED">
      <w:r>
        <w:t xml:space="preserve">These are all examples of time costs, perhaps the most invisible category because time never shows up in anyone's budget. A new workplace policy calls for employees to attend monthly training sessions. The budget shows the price of the trainer and the meeting room. It does not show the </w:t>
      </w:r>
      <w:r w:rsidR="000634F6">
        <w:t>60</w:t>
      </w:r>
      <w:r>
        <w:t xml:space="preserve"> hours of lost productivity when </w:t>
      </w:r>
      <w:r w:rsidR="0015326C">
        <w:t>30</w:t>
      </w:r>
      <w:r>
        <w:t xml:space="preserve"> people spend two hours away from their actual work, time that will need to be made up somehow.</w:t>
      </w:r>
    </w:p>
    <w:p w14:paraId="44C8CA58" w14:textId="77777777" w:rsidR="00767630" w:rsidRDefault="00E25CED">
      <w:r>
        <w:t>Time costs are far from the only category that escapes notice. Several other types of costs remain invisible, not because they're difficult to measure, but because our thinking reliably excludes them from consideration</w:t>
      </w:r>
      <w:r w:rsidR="00767630">
        <w:t>.</w:t>
      </w:r>
    </w:p>
    <w:p w14:paraId="1DAD1535" w14:textId="3862E3C5" w:rsidR="00E25CED" w:rsidRDefault="00E25CED">
      <w:r>
        <w:t>Ask someone to work harder and they rarely call it a cost. Effort reads as a moral good, so it escapes the ledger entirely. A policy that asks people to care more, pay closer attention, or put in longer hours imposes additional burden, yet that burden is treated as a positive side effect. Whether the effort is sustainable rarely enters the discussion.</w:t>
      </w:r>
    </w:p>
    <w:p w14:paraId="14134B21" w14:textId="27973A84" w:rsidR="00E25CED" w:rsidRDefault="00E25CED">
      <w:r>
        <w:t>A policy whose damage arrives years later faces an unfair comparison: concrete gains now versus uncertain losses later. Present benefits feel real. Future costs feel speculative. When a policy creates incentives for behavior that will cause problems years from now, the tendency is to treat those problems as someone else</w:t>
      </w:r>
      <w:r w:rsidR="00463E2E">
        <w:t>'</w:t>
      </w:r>
      <w:r>
        <w:t>s concern.</w:t>
      </w:r>
    </w:p>
    <w:p w14:paraId="4335DF4B" w14:textId="77777777" w:rsidR="00E25CED" w:rsidRDefault="00E25CED">
      <w:r>
        <w:t>How a policy changes behavior is the hardest cost to see. Incentive costs require understanding that people respond to the rules they face, not the intentions behind those rules, and treating those responses as predictable consequences instead of unfortunate surprises. When a well-meaning program creates incentives for people to make decisions that hurt their long-term interests, the damage is rarely traced back to its source.</w:t>
      </w:r>
    </w:p>
    <w:p w14:paraId="04C423D4" w14:textId="77777777" w:rsidR="00E25CED" w:rsidRDefault="00E25CED">
      <w:r>
        <w:t>Then there are the costs that do not count because they cannot be quantified. Policies that ask people to accept uncertainty, give up control, or live with outcomes they did not choose impose real emotional and psychological burdens, but those burdens are dismissed as illegitimate. The assumption is that people should adjust their expectations to fit whatever system produces the best measurable outcomes.</w:t>
      </w:r>
    </w:p>
    <w:p w14:paraId="739F3ED9" w14:textId="77777777" w:rsidR="00E25CED" w:rsidRDefault="00E25CED">
      <w:r>
        <w:t>Perhaps the most pernicious of these hidden costs is opportunity cost. Opportunity costs require imagining alternatives that never existed. A school district that spends money on new technology sees the visible cost in computers and software. The invisible cost is smaller class sizes, better teacher training, improved facilities, everything else that money could have bought. These alternatives never get mentioned because they were never real options people could see and touch.</w:t>
      </w:r>
    </w:p>
    <w:p w14:paraId="3F3B0BEF" w14:textId="55AFF32C" w:rsidR="00E25CED" w:rsidRDefault="00E25CED">
      <w:bookmarkStart w:id="15" w:name="_heading=h.vwu2dm2pdgsa"/>
      <w:bookmarkEnd w:id="15"/>
      <w:r>
        <w:t xml:space="preserve">A movement spreading across American community colleges illustrates how all of these hidden costs can emerge from a single well-intentioned institutional decision. Over a </w:t>
      </w:r>
      <w:r w:rsidR="000634F6">
        <w:t>100</w:t>
      </w:r>
      <w:r>
        <w:t xml:space="preserve"> colleges have adopted some version of what is formally called a </w:t>
      </w:r>
      <w:r w:rsidR="00463E2E">
        <w:t>"</w:t>
      </w:r>
      <w:r>
        <w:t>culture of caring</w:t>
      </w:r>
      <w:r w:rsidR="00463E2E">
        <w:t>"</w:t>
      </w:r>
      <w:r>
        <w:t>, a framework promoted by national research centers and endorsed by organizations like the Aspen Institute.</w:t>
      </w:r>
      <w:r>
        <w:rPr>
          <w:rStyle w:val="EndnoteReference"/>
        </w:rPr>
        <w:endnoteReference w:id="15"/>
      </w:r>
      <w:r>
        <w:t xml:space="preserve"> </w:t>
      </w:r>
    </w:p>
    <w:p w14:paraId="5745A877" w14:textId="77777777" w:rsidR="00E25CED" w:rsidRDefault="00E25CED">
      <w:r>
        <w:t>The idea, at its core, is that students succeed when they feel supported, seen, and connected. Administrators redesign institutional culture around this principle, writing caring-based values into job descriptions, merit evaluations, and strategic plans. Faculty are trained to understand that a student who shows up late may have had a family emergency, and that barriers to success should be identified and removed by the institution, not left for students to overcome on their own. None of this sounds unreasonable. Most of it sounds admirable. The costs are almost entirely invisible.</w:t>
      </w:r>
    </w:p>
    <w:p w14:paraId="265CB280" w14:textId="5F01D273" w:rsidR="00E25CED" w:rsidRDefault="00E25CED">
      <w:r>
        <w:t xml:space="preserve">The incentive costs arrive first. When institutional culture redefines caring as barrier removal, faculty face </w:t>
      </w:r>
      <w:r w:rsidR="00EF4B36">
        <w:t>quiet</w:t>
      </w:r>
      <w:r>
        <w:t xml:space="preserve"> but unmistakable pressure: accommodate or be seen as uncaring. Contract renewals, merit evaluations, and professional standing all flow through an administrative structure that has formally committed itself to this framework. A faculty member who enforces deadlines, holds firm on grading standards, or allows students to experience the natural consequences of poor decisions is not acting within the culture; they are acting against it. The system does not need to explicitly punish accountability. It only needs to reward its absence. Faculty respond to these incentives the same way any rational person does: they adapt. Standards soften. Exceptions multiply. The institution gets the behavior it incentivizes, which is not the same as the outcome it wants.</w:t>
      </w:r>
    </w:p>
    <w:p w14:paraId="4D38A719" w14:textId="77777777" w:rsidR="00E25CED" w:rsidRDefault="00E25CED">
      <w:r>
        <w:t>The emotional and psychological costs fall on the people the framework claims to support. Faculty who can see the long-term damage, who understand that removing every consequence removes every lesson, are forced into a position that conflicts with their professional judgment. They can comply and watch students graduate unprepared, or they can resist and risk their livelihoods. This is not a hypothetical dilemma. Adjunct and contract faculty, who make up a large and growing share of community college instructors, have functionally no job security.</w:t>
      </w:r>
      <w:r>
        <w:rPr>
          <w:rStyle w:val="EndnoteReference"/>
        </w:rPr>
        <w:endnoteReference w:id="16"/>
      </w:r>
      <w:r>
        <w:t xml:space="preserve"> The cost of professional conscience is measured in lost contracts and non-renewed appointments. The institution bears none of this cost. It falls entirely on the individuals the framework expects to deliver its promises.</w:t>
      </w:r>
    </w:p>
    <w:p w14:paraId="116F58AE" w14:textId="77777777" w:rsidR="00E25CED" w:rsidRDefault="00E25CED">
      <w:r>
        <w:t>The opportunity costs are borne by the students themselves, and they are steep. Every softened deadline was a chance to learn that the real world is rarely that accommodating. Every excused absence was a chance to learn that showing up matters even when it is difficult. These are not academic skills. They are the basic mechanics of functioning in a world that does not have a culture of caring, which is to say every environment these students will enter after graduation. The cost is not that students fail to learn content, though that happens too. The cost is that they are deprived of the very experiences that would teach them how cause and effect operate outside of an institution designed to shield them from it.</w:t>
      </w:r>
    </w:p>
    <w:p w14:paraId="431F1422" w14:textId="77777777" w:rsidR="00767630" w:rsidRDefault="00E25CED">
      <w:r>
        <w:t>The future costs are displaced so far downstream that they become nearly impossible to trace back to their source. Students arrive at four-year institutions or workplaces missing the habits of mind that skills are built on. Employers encounter graduates who cannot meet deadlines, accept feedback, or function without external scaffolding, not because they are incapable, but because no institution ever required them to develop these capacities</w:t>
      </w:r>
      <w:r w:rsidR="00767630">
        <w:t>.</w:t>
      </w:r>
    </w:p>
    <w:p w14:paraId="469AB0E2" w14:textId="66075A46" w:rsidR="00E25CED" w:rsidRDefault="00E25CED">
      <w:r>
        <w:t>The correction, when it finally comes, is harsher precisely because it was deferred. And because the gap between the institutional environment and the real one was never made visible, the students experience that correction not as a natural consequence but as an injustice. They were told the world worked one way. It does not. Nobody who told them otherwise understood the cost of the lie, which is exactly what makes it an ignorance tax instead of a deception.</w:t>
      </w:r>
    </w:p>
    <w:p w14:paraId="3780B787" w14:textId="207CBF16" w:rsidR="00E25CED" w:rsidRDefault="00E25CED">
      <w:r>
        <w:t>But before we blame the administrators who designed these frameworks, it is worth asking what pressures they were responding to. That question requires understanding how incentives shape behavior at every level, not just the ones closest to the classroom, a problem we take up in</w:t>
      </w:r>
      <w:r w:rsidR="00E2386B">
        <w:t xml:space="preserve"> a future chapter</w:t>
      </w:r>
      <w:r>
        <w:t>.</w:t>
      </w:r>
    </w:p>
    <w:p w14:paraId="600D7F52" w14:textId="77777777" w:rsidR="00E25CED" w:rsidRDefault="00E25CED">
      <w:pPr>
        <w:pStyle w:val="Heading3"/>
      </w:pPr>
      <w:bookmarkStart w:id="16" w:name="_Toc227410650"/>
      <w:r>
        <w:t>When Limits Become Offensive</w:t>
      </w:r>
      <w:bookmarkEnd w:id="16"/>
    </w:p>
    <w:p w14:paraId="00DA5F5C" w14:textId="436BDBA1" w:rsidR="00E25CED" w:rsidRDefault="00E25CED">
      <w:r>
        <w:t xml:space="preserve">Something changes when people internalize free lunch thinking. Acknowledging that resources are limited stops being a neutral description of reality and becomes a moral failing. Discussing tradeoffs stops being practical wisdom and becomes evidence of bad faith or insufficient commitment to solving problems. The transformation turns economic thinking into a social taboo. In meetings, conversations, and public discussions, the person who asks </w:t>
      </w:r>
      <w:r w:rsidR="00463E2E">
        <w:t>"</w:t>
      </w:r>
      <w:r>
        <w:t>what will this cost?</w:t>
      </w:r>
      <w:r w:rsidR="00463E2E">
        <w:t>"</w:t>
      </w:r>
      <w:r>
        <w:t xml:space="preserve"> or </w:t>
      </w:r>
      <w:r w:rsidR="00463E2E">
        <w:t>"</w:t>
      </w:r>
      <w:r>
        <w:t>what are we giving up?</w:t>
      </w:r>
      <w:r w:rsidR="00463E2E">
        <w:t>"</w:t>
      </w:r>
      <w:r>
        <w:t xml:space="preserve"> is cast as the person who is trying to prevent good things from happening. They are accused of being negative, pessimistic, or obsessed with money at the expense of human welfare.</w:t>
      </w:r>
    </w:p>
    <w:p w14:paraId="5488F57B" w14:textId="77777777" w:rsidR="00E25CED" w:rsidRDefault="00E25CED">
      <w:r>
        <w:t>The accusation is not entirely wrong. Economic thinking does focus on constraints and limitations. It does emphasize what cannot be done over what might be possible. It does treat resources as finite, not expandable through creativity and commitment. From the perspective of someone who believes that moral urgency should override practical constraints, economic thinking does appear to be an obstacle to progress.</w:t>
      </w:r>
    </w:p>
    <w:p w14:paraId="253E5E35" w14:textId="4BD8A196" w:rsidR="00E25CED" w:rsidRDefault="00E25CED">
      <w:r>
        <w:t>A particularly modern form of moral reasoning conflates acknowledging limits with imposing them. The person who points out that a budget is finite becomes responsible for the budget</w:t>
      </w:r>
      <w:r w:rsidR="00463E2E">
        <w:t>'</w:t>
      </w:r>
      <w:r>
        <w:t>s limits. Explaining that helping one group might come at another</w:t>
      </w:r>
      <w:r w:rsidR="00463E2E">
        <w:t>'</w:t>
      </w:r>
      <w:r>
        <w:t>s expense turns the explanation into the motive. Predicting that a well-intentioned policy will create unintended consequences becomes proof of wanting them.</w:t>
      </w:r>
    </w:p>
    <w:p w14:paraId="64B0D31F" w14:textId="77777777" w:rsidR="00E25CED" w:rsidRDefault="00E25CED">
      <w:r>
        <w:t>These pressures operate across different contexts. In professional settings, consistently raising resource constraints gets you labeled as lacking strategic vision or not being a team player. Politically, candidates who acknowledge that helping one group requires reallocating from another typically lose to those who promise universal benefit without sacrifice. In educational settings, students are taught to value what sounds right over what works, rewarded for correct intentions over rigorous thinking about whether those intentions can survive contact with reality. Each environment penalizes the kind of reasoning that makes costs explicit and tradeoffs visible.</w:t>
      </w:r>
    </w:p>
    <w:p w14:paraId="6EA02B1E" w14:textId="77777777" w:rsidR="00E25CED" w:rsidRDefault="00E25CED">
      <w:pPr>
        <w:pStyle w:val="Heading3"/>
      </w:pPr>
      <w:bookmarkStart w:id="17" w:name="_Toc227410651"/>
      <w:r>
        <w:t>Language That Erases Tradeoffs</w:t>
      </w:r>
      <w:bookmarkEnd w:id="17"/>
    </w:p>
    <w:p w14:paraId="2C67BF33" w14:textId="77777777" w:rsidR="00767630" w:rsidRDefault="00E25CED">
      <w:r>
        <w:t>The words we use to discuss policies and solutions have evolved to hide economic realities instead of revealing them. The shift is not accidental. Language that acknowledges costs and tradeoffs makes people uncomfortable, while language that suggests benefits without sacrifice makes people feel hopeful and engaged. Gradually, the comfortable language drives out the accurate language</w:t>
      </w:r>
      <w:r w:rsidR="00767630">
        <w:t>.</w:t>
      </w:r>
    </w:p>
    <w:p w14:paraId="3987600A" w14:textId="3B92AA97" w:rsidR="00E25CED" w:rsidRDefault="00E25CED">
      <w:r>
        <w:t xml:space="preserve">The word </w:t>
      </w:r>
      <w:r w:rsidR="00463E2E">
        <w:t>"</w:t>
      </w:r>
      <w:r>
        <w:t>investment</w:t>
      </w:r>
      <w:r w:rsidR="00463E2E">
        <w:t>"</w:t>
      </w:r>
      <w:r>
        <w:t xml:space="preserve"> has replaced the word </w:t>
      </w:r>
      <w:r w:rsidR="00463E2E">
        <w:t>"</w:t>
      </w:r>
      <w:r>
        <w:t>spending</w:t>
      </w:r>
      <w:r w:rsidR="00463E2E">
        <w:t>"</w:t>
      </w:r>
      <w:r>
        <w:t xml:space="preserve"> in most policy discussions. The substitution is not neutral. Spending implies that money goes away when you use it. Investment implies that money grows when you use it. When every government program becomes an </w:t>
      </w:r>
      <w:r w:rsidR="00463E2E">
        <w:t>"</w:t>
      </w:r>
      <w:r>
        <w:t>investment in our future,</w:t>
      </w:r>
      <w:r w:rsidR="00463E2E">
        <w:t>"</w:t>
      </w:r>
      <w:r>
        <w:t xml:space="preserve"> the idea that public spending requires giving up other things becomes impossible to express.</w:t>
      </w:r>
    </w:p>
    <w:p w14:paraId="197C2791" w14:textId="2BC3760D" w:rsidR="00E25CED" w:rsidRDefault="00E25CED">
      <w:r>
        <w:t xml:space="preserve">The word </w:t>
      </w:r>
      <w:r w:rsidR="00463E2E">
        <w:t>"</w:t>
      </w:r>
      <w:r>
        <w:t>access</w:t>
      </w:r>
      <w:r w:rsidR="00463E2E">
        <w:t>"</w:t>
      </w:r>
      <w:r>
        <w:t xml:space="preserve"> has replaced more specific language about who gets what and who pays for it. Politicians who talk about </w:t>
      </w:r>
      <w:r w:rsidR="00463E2E">
        <w:t>"</w:t>
      </w:r>
      <w:r>
        <w:t>access to healthcare</w:t>
      </w:r>
      <w:r w:rsidR="00463E2E">
        <w:t>"</w:t>
      </w:r>
      <w:r>
        <w:t xml:space="preserve"> or </w:t>
      </w:r>
      <w:r w:rsidR="00463E2E">
        <w:t>"</w:t>
      </w:r>
      <w:r>
        <w:t>access to education</w:t>
      </w:r>
      <w:r w:rsidR="00463E2E">
        <w:t>"</w:t>
      </w:r>
      <w:r>
        <w:t xml:space="preserve"> avoid specifying whether they mean that these services will be free, subsidized, or simply available for purchase. Barriers are being removed, the word suggests, without acknowledging that someone must pay to remove them. Then there is </w:t>
      </w:r>
      <w:r w:rsidR="00463E2E">
        <w:t>"</w:t>
      </w:r>
      <w:r>
        <w:t>fully funded,</w:t>
      </w:r>
      <w:r w:rsidR="00463E2E">
        <w:t>"</w:t>
      </w:r>
      <w:r>
        <w:t xml:space="preserve"> which implies that the current level of funding represents a choice to provide inadequate resources, not a recognition that resources are limited and must be divided among competing priorities. The phrase suggests that more money is always available if people care enough to provide it.</w:t>
      </w:r>
    </w:p>
    <w:p w14:paraId="3585F26A" w14:textId="77777777" w:rsidR="000A6067" w:rsidRDefault="00E25CED">
      <w:r>
        <w:t xml:space="preserve">The phrase </w:t>
      </w:r>
      <w:r w:rsidR="00463E2E">
        <w:t>"</w:t>
      </w:r>
      <w:r>
        <w:t>fair share</w:t>
      </w:r>
      <w:r w:rsidR="00463E2E">
        <w:t>"</w:t>
      </w:r>
      <w:r>
        <w:t xml:space="preserve"> allows advocates to demand more revenue without specifying what level of taxation would be sufficient, what behaviors it might change, or what costs it might impose elsewhere in the system. It converts a complex question about incentives, revenue needs, and economic tradeoffs into a moral assertion that cannot be disagreed with without sounding unethical</w:t>
      </w:r>
      <w:r w:rsidR="000A6067">
        <w:t>.</w:t>
      </w:r>
    </w:p>
    <w:p w14:paraId="4B06A78A" w14:textId="1F525B51" w:rsidR="00E25CED" w:rsidRDefault="00463E2E">
      <w:r>
        <w:t>"</w:t>
      </w:r>
      <w:r w:rsidR="00E25CED">
        <w:t>Evidence-based</w:t>
      </w:r>
      <w:r>
        <w:t>"</w:t>
      </w:r>
      <w:r w:rsidR="00E25CED">
        <w:t xml:space="preserve"> works the same territory from the other direction. Where </w:t>
      </w:r>
      <w:r>
        <w:t>"</w:t>
      </w:r>
      <w:r w:rsidR="00E25CED">
        <w:t>fair share</w:t>
      </w:r>
      <w:r>
        <w:t>"</w:t>
      </w:r>
      <w:r w:rsidR="00E25CED">
        <w:t xml:space="preserve"> converts economics into morality, </w:t>
      </w:r>
      <w:r>
        <w:t>"</w:t>
      </w:r>
      <w:r w:rsidR="00E25CED">
        <w:t>evidence-based</w:t>
      </w:r>
      <w:r>
        <w:t>"</w:t>
      </w:r>
      <w:r w:rsidR="00E25CED">
        <w:t xml:space="preserve"> converts value judgments into technical certainty. Advocates who describe their preferred policies as </w:t>
      </w:r>
      <w:r>
        <w:t>"</w:t>
      </w:r>
      <w:r w:rsidR="00E25CED">
        <w:t>evidence-based</w:t>
      </w:r>
      <w:r>
        <w:t>"</w:t>
      </w:r>
      <w:r w:rsidR="00E25CED">
        <w:t xml:space="preserve"> imply that opposition comes from ignorance or ideology, not from legitimate disagreement about priorities. Policy choices become technical problems with objectively correct answers, and the value judgments embedded in every cost-benefit calculation vanish from view.</w:t>
      </w:r>
    </w:p>
    <w:p w14:paraId="59562602" w14:textId="63E74F04" w:rsidR="00E25CED" w:rsidRDefault="00B03731">
      <w:r>
        <w:t>One pattern is not limited to one side of the political spectrum. 'Tax cuts pay for themselves' promises growth so robust that reduced rates will generate equal or greater revenue. No sacrifice required. Kansas would later demonstrate the slogan's costs in detail, a story we return to in a later chapter. The same magical thinking operates: we can have lower taxes and the same services, more defense spending without deficits, tougher enforcement without new prisons. The free lunch crosses party lines</w:t>
      </w:r>
      <w:r w:rsidR="00E25CED">
        <w:t>.</w:t>
      </w:r>
    </w:p>
    <w:p w14:paraId="58FD0280" w14:textId="77777777" w:rsidR="00E25CED" w:rsidRDefault="00E25CED">
      <w:r>
        <w:t>These linguistic changes are not merely cosmetic. They shape how people think about problems and solutions. Language that erases costs makes it impossible to calculate them. Hidden tradeoffs cannot be evaluated. If resources sound unlimited, priority-setting disappears.</w:t>
      </w:r>
    </w:p>
    <w:p w14:paraId="7D55D84A" w14:textId="77777777" w:rsidR="00E25CED" w:rsidRDefault="00E25CED">
      <w:r>
        <w:t>A vocabulary emerges that sounds sophisticated and compassionate but prevents clear thinking about practical problems. People learn to speak in ways that signal good intentions while avoiding commitments that can be measured and evaluated. The language supports the broader cultural shift toward free lunch thinking by making it socially unacceptable to use words that acknowledge economic reality.</w:t>
      </w:r>
    </w:p>
    <w:p w14:paraId="61578F62" w14:textId="77777777" w:rsidR="00E25CED" w:rsidRDefault="00E25CED">
      <w:pPr>
        <w:pStyle w:val="Heading3"/>
      </w:pPr>
      <w:bookmarkStart w:id="18" w:name="_Toc227410652"/>
      <w:r>
        <w:t>Why Reality Feels Unfair</w:t>
      </w:r>
      <w:bookmarkEnd w:id="18"/>
    </w:p>
    <w:p w14:paraId="77249038" w14:textId="77777777" w:rsidR="00E25CED" w:rsidRDefault="00E25CED">
      <w:r>
        <w:t>Once people accept that costs and tradeoffs should be avoidable, and that good intentions should be sufficient to overcome any obstacle, the normal functioning of economic reality begins to feel like a moral outrage. The fact that resources are limited appears to be a failure of imagination, not a basic feature of existence. The fact that choices have consequences appears to be a design flaw in the universe, not a constraint on human action.</w:t>
      </w:r>
    </w:p>
    <w:p w14:paraId="50BDAA94" w14:textId="51FE28AB" w:rsidR="00E25CED" w:rsidRDefault="00E25CED">
      <w:r>
        <w:t>A persistent sense of injustice follows, one that no practical action can resolve. The assumption that resources shouldn</w:t>
      </w:r>
      <w:r w:rsidR="00463E2E">
        <w:t>'</w:t>
      </w:r>
      <w:r>
        <w:t>t constrain our response to suffering guarantees that whatever we spend will feel insufficient.</w:t>
      </w:r>
    </w:p>
    <w:p w14:paraId="6D9F9F88" w14:textId="77777777" w:rsidR="00767630" w:rsidRDefault="00E25CED">
      <w:r>
        <w:t>People start looking for villains. When programs fail to achieve their intended results, the failure gets attributed to insufficient funding, political interference, or opposition from people who do not share the right values. The possibility that the original assumptions were wrong rarely enters the discussion, because raising it would mean questioning the free lunch</w:t>
      </w:r>
      <w:r w:rsidR="00767630">
        <w:t>.</w:t>
      </w:r>
    </w:p>
    <w:p w14:paraId="6EF76714" w14:textId="231EBF5A" w:rsidR="00E25CED" w:rsidRDefault="00E25CED">
      <w:r>
        <w:t>None of this changes how the real economy operates. Businesses have no choice but to face economic constraints: ignore costs long enough and you cease to exist. Customers reward the lowest price without asking how it was achieved, which supplier was squeezed, which corner was cut, which cost was pushed onto workers or communities that never appear on the receipt. Politicians face a different reality. Voters shaped by free lunch thinking reward candidates who promise outcomes without sacrifice and punish those who acknowledge tradeoffs. The rules that emerge from this environment are written by people who got elected by ignoring the constraints that the people living under those rules cannot afford to ignore.</w:t>
      </w:r>
    </w:p>
    <w:p w14:paraId="243A4B26" w14:textId="77777777" w:rsidR="00E25CED" w:rsidRDefault="00E25CED">
      <w:r>
        <w:t>But the pattern, once visible, carries its own corrective. Free lunch thinking survives by keeping one side of every decision hidden. A program is proposed and its benefits are described, but the other things those same resources could have bought are never mentioned. A policy is adopted and its goals are celebrated, but the alternatives silently discarded never enter the conversation.</w:t>
      </w:r>
    </w:p>
    <w:p w14:paraId="6B61C565" w14:textId="77777777" w:rsidR="00E25CED" w:rsidRDefault="00E25CED">
      <w:r>
        <w:t>Every dollar, every hour that goes toward one thing is a dollar or hour that cannot go toward something else. This is not a theory. It is opportunity cost. It is arithmetic. But free lunch thinking depends on never doing the arithmetic.</w:t>
      </w:r>
    </w:p>
    <w:p w14:paraId="20DEB6AB" w14:textId="5EE6BC1F" w:rsidR="00E25CED" w:rsidRDefault="00E25CED">
      <w:r>
        <w:t xml:space="preserve">The corrective starts with two questions: </w:t>
      </w:r>
      <w:r>
        <w:rPr>
          <w:i/>
          <w:iCs/>
        </w:rPr>
        <w:t>what does this cost</w:t>
      </w:r>
      <w:r>
        <w:t xml:space="preserve">, and </w:t>
      </w:r>
      <w:r w:rsidR="00056C0B" w:rsidRPr="00056C0B">
        <w:rPr>
          <w:i/>
          <w:iCs/>
        </w:rPr>
        <w:t>what are we not buying instead</w:t>
      </w:r>
      <w:r>
        <w:t xml:space="preserve">? The first forces </w:t>
      </w:r>
      <w:r w:rsidR="003309F5">
        <w:t>cost</w:t>
      </w:r>
      <w:r>
        <w:t xml:space="preserve"> out of hiding. The second forces the hidden choice into view. A program can be valuable and not worth its cost. A policy can be beneficial and still be the wrong choice if a different policy would produce more benefit for the same resources. These are not contradictions. They are the ordinary reality of a world where everything costs something. Separate the value of a thing from what it takes to get it, and decisions that sounded obvious a moment ago suddenly require actual thought.</w:t>
      </w:r>
    </w:p>
    <w:p w14:paraId="64D46C85" w14:textId="77777777" w:rsidR="00A975B0" w:rsidRDefault="003309F5">
      <w:r>
        <w:t xml:space="preserve">Every decision is actually two decisions: the thing chosen and the thing given up. But the thing given up almost never gets named. The conference attended is also the weekend not spent with family. The program funded is also the other program left unfunded or never launched. The regulation imposed is also the flexibility eliminated. Most bad decisions are not made by </w:t>
      </w:r>
      <w:r w:rsidR="00056C0B">
        <w:t>people who choose</w:t>
      </w:r>
      <w:r>
        <w:t xml:space="preserve"> badly. They are made by people who never saw the second choice at all. </w:t>
      </w:r>
    </w:p>
    <w:p w14:paraId="4E967A93" w14:textId="77777777" w:rsidR="00A975B0" w:rsidRDefault="003309F5">
      <w:r>
        <w:t xml:space="preserve">Once you train yourself to see both, the whole habit compresses into a single question you can carry anywhere: </w:t>
      </w:r>
      <w:r w:rsidRPr="003309F5">
        <w:rPr>
          <w:i/>
          <w:iCs/>
        </w:rPr>
        <w:t>compared to what</w:t>
      </w:r>
      <w:r>
        <w:t>?</w:t>
      </w:r>
      <w:r w:rsidR="00A975B0">
        <w:t xml:space="preserve"> </w:t>
      </w:r>
      <w:r w:rsidR="00E25CED">
        <w:t>Occasionally, someone asks</w:t>
      </w:r>
      <w:r w:rsidR="00056C0B">
        <w:t xml:space="preserve"> that very question</w:t>
      </w:r>
      <w:r w:rsidR="00E25CED">
        <w:t xml:space="preserve">. </w:t>
      </w:r>
    </w:p>
    <w:p w14:paraId="5529B654" w14:textId="77777777" w:rsidR="00C161D5" w:rsidRDefault="00E25CED">
      <w:r>
        <w:t>In 1989, Oregon's Medicaid program covered the full range of medical treatments for some of the poor and nothing at all for a hundred thousand others.</w:t>
      </w:r>
      <w:r w:rsidR="00A975B0">
        <w:rPr>
          <w:rStyle w:val="EndnoteReference"/>
        </w:rPr>
        <w:endnoteReference w:id="17"/>
      </w:r>
      <w:r>
        <w:t xml:space="preserve"> A state senator and former emergency room physician named John Kitzhaber forced both choices into view: the state could keep offering comprehensive coverage to fewer people, or it could cover more people by making the tradeoff explicit. Oregon chose visible. </w:t>
      </w:r>
    </w:p>
    <w:p w14:paraId="30882AA1" w14:textId="576191F8" w:rsidR="00E25CED" w:rsidRDefault="00E25CED">
      <w:r>
        <w:t xml:space="preserve">The legislature ranked every condition and treatment by effectiveness and cost, drew a funding line each session, and published the result. Above the line, covered. Below it, not. The state's uninsured rate dropped from </w:t>
      </w:r>
      <w:r w:rsidR="000634F6">
        <w:t>18</w:t>
      </w:r>
      <w:r>
        <w:t xml:space="preserve"> percent to under eleven within six years. The system has operated continuously for more than </w:t>
      </w:r>
      <w:r w:rsidR="000634F6">
        <w:t>30</w:t>
      </w:r>
      <w:r>
        <w:t xml:space="preserve"> years, revised, contested, politically uncomfortable, because a structure built on visible tradeoffs turned out to be harder to dismantle than one built on hidden ones.</w:t>
      </w:r>
    </w:p>
    <w:p w14:paraId="72D83E93" w14:textId="77777777" w:rsidR="00E25CED" w:rsidRDefault="00E25CED">
      <w:r>
        <w:t>The refusal to ask is the foundation on which every subsequent chapter of this book rests. The willingness to ask is where the foundation cracks.</w:t>
      </w:r>
    </w:p>
    <w:p w14:paraId="6CE5704E" w14:textId="77777777" w:rsidR="00E25CED" w:rsidRDefault="00E25CED">
      <w:pPr>
        <w:sectPr w:rsidR="00E25CED" w:rsidSect="00E25CED">
          <w:footerReference w:type="even" r:id="rId18"/>
          <w:footerReference w:type="default" r:id="rId19"/>
          <w:footerReference w:type="first" r:id="rId20"/>
          <w:endnotePr>
            <w:numFmt w:val="decimal"/>
          </w:endnotePr>
          <w:pgSz w:w="12240" w:h="15840"/>
          <w:pgMar w:top="1440" w:right="1440" w:bottom="1440" w:left="1440" w:header="0" w:footer="720" w:gutter="0"/>
          <w:cols w:space="720"/>
          <w:formProt w:val="0"/>
          <w:titlePg/>
          <w:docGrid w:linePitch="100"/>
        </w:sectPr>
      </w:pPr>
      <w:r>
        <w:t>The pattern does not stop here. Free lunch thinking is the most visible failure mode this book examines, but it is not the only one. The chapters ahead trace failures that work through different machinery: predictions about behavior dismissed as moral accusations, coordination problems that goodwill cannot solve, accountability that dissolves inside institutions until no one is responsible for anything, beliefs that fuse with identity until questioning them feels indistinguishable from attacking the person who holds them. The thread connecting all of them arrives at the end of the book.</w:t>
      </w:r>
    </w:p>
    <w:p w14:paraId="3912578C" w14:textId="77777777" w:rsidR="00E25CED" w:rsidRDefault="00E25CED">
      <w:pPr>
        <w:pStyle w:val="Heading2"/>
      </w:pPr>
      <w:bookmarkStart w:id="19" w:name="_Toc227410653"/>
      <w:r>
        <w:t>No One Would Do That</w:t>
      </w:r>
      <w:bookmarkEnd w:id="19"/>
    </w:p>
    <w:p w14:paraId="0FB56F67" w14:textId="77777777" w:rsidR="00E25CED" w:rsidRDefault="00E25CED">
      <w:r>
        <w:t>In the late nineteenth century, British colonial authorities in Delhi had a cobra problem. The solution seemed straightforward: offer a bounty for every dead cobra brought to a government office. Citizens would kill cobras, collect the reward, and the snake population would decline. The logic was clean, the incentive was clear, and no one in the colonial administration paused to consider what would happen next.</w:t>
      </w:r>
    </w:p>
    <w:p w14:paraId="3E7F7838" w14:textId="7DC13158" w:rsidR="00E25CED" w:rsidRDefault="00E25CED">
      <w:r>
        <w:t>What happened next was that people started breeding cobras.</w:t>
      </w:r>
      <w:r w:rsidR="00424BB7">
        <w:rPr>
          <w:rStyle w:val="FootnoteReference"/>
        </w:rPr>
        <w:footnoteReference w:id="1"/>
      </w:r>
    </w:p>
    <w:p w14:paraId="3B33BFDB" w14:textId="77777777" w:rsidR="00E25CED" w:rsidRDefault="00E25CED">
      <w:r>
        <w:t>The bounty made dead cobras valuable, and enterprising residents realized it was easier to raise cobras than to hunt them. When the British discovered the farms and canceled the program, the breeders released their now-worthless inventory into the streets. Delhi ended up with more cobras than it started with. The program designed to reduce the snake population had instead created a financial incentive to increase it.</w:t>
      </w:r>
    </w:p>
    <w:p w14:paraId="4B540149" w14:textId="77777777" w:rsidR="00E25CED" w:rsidRDefault="00E25CED">
      <w:r>
        <w:t>Every person involved behaved rationally. The breeders were not villains. They assessed the costs and benefits of the situation the government had created and made a perfectly logical decision. The failure was not in the behavior but in the assumption that preceded it: that people would respond to the bounty in only the way the designers intended, and in no other way. The colonial administrators looked at their policy and concluded that no one would do that. They were wrong, and the policy produced the opposite of what it promised.</w:t>
      </w:r>
    </w:p>
    <w:p w14:paraId="70C2275B" w14:textId="77777777" w:rsidR="00E25CED" w:rsidRDefault="00E25CED">
      <w:r>
        <w:t>The cobra story is famous enough to have a name in economics: the Cobra Effect.</w:t>
      </w:r>
      <w:r>
        <w:rPr>
          <w:rStyle w:val="EndnoteReference"/>
        </w:rPr>
        <w:endnoteReference w:id="18"/>
      </w:r>
      <w:r>
        <w:t xml:space="preserve"> It endures because the pattern it illustrates has never stopped repeating. Incentives shape behavior. When you change what a decision costs or what it rewards, you change how people decide. This is not a claim about moral character. It is a description of how human beings process the options in front of them. But in policy discussion after policy discussion, this basic observation lands as an accusation, not a tool.</w:t>
      </w:r>
    </w:p>
    <w:p w14:paraId="6CDA143F" w14:textId="77777777" w:rsidR="008E161E" w:rsidRDefault="00E25CED">
      <w:r>
        <w:t xml:space="preserve">The British administrators in Delhi never even considered that people would respond to the bounty in unintended ways. The failure was one of imagination. </w:t>
      </w:r>
      <w:r w:rsidR="008E161E" w:rsidRPr="008E161E">
        <w:t>In the modern version, the warning is raised and dismissed.</w:t>
      </w:r>
    </w:p>
    <w:p w14:paraId="5EF86042" w14:textId="7BFE7BA3" w:rsidR="00E25CED" w:rsidRDefault="00E25CED">
      <w:r>
        <w:t xml:space="preserve">In March 2020, when Congress debated adding a $600 weekly supplement to unemployment benefits, several </w:t>
      </w:r>
      <w:r w:rsidR="00A467C0">
        <w:t>s</w:t>
      </w:r>
      <w:r>
        <w:t xml:space="preserve">enators raised a behavioral concern: the payment would exceed many workers' prior wages, potentially creating a disincentive to return to work. Treasury Secretary Steven Mnuchin dismissed the </w:t>
      </w:r>
      <w:r w:rsidR="006B5179">
        <w:t>concern</w:t>
      </w:r>
      <w:r>
        <w:t xml:space="preserve"> outright: </w:t>
      </w:r>
      <w:r w:rsidR="00463E2E">
        <w:t>"</w:t>
      </w:r>
      <w:r>
        <w:t>I don't think it'll create incentives. Most Americans, what they want, they want to keep their jobs.</w:t>
      </w:r>
      <w:r w:rsidR="00463E2E">
        <w:t>"</w:t>
      </w:r>
      <w:r>
        <w:t xml:space="preserve"> Commentators went further, characterizing the concern as </w:t>
      </w:r>
      <w:r w:rsidR="00463E2E">
        <w:t>"</w:t>
      </w:r>
      <w:r>
        <w:t>the myth that people, at their core, are lazy and unwilling to work,</w:t>
      </w:r>
      <w:r w:rsidR="00463E2E">
        <w:t>"</w:t>
      </w:r>
      <w:r>
        <w:t xml:space="preserve"> language that framed the prediction not as an analytical question but as a moral failing in those who raised it.</w:t>
      </w:r>
      <w:r>
        <w:rPr>
          <w:rStyle w:val="EndnoteReference"/>
        </w:rPr>
        <w:endnoteReference w:id="19"/>
      </w:r>
    </w:p>
    <w:p w14:paraId="7991A023" w14:textId="3D13521D" w:rsidR="00E25CED" w:rsidRDefault="00E25CED">
      <w:r>
        <w:t>When 26 states ended the enhanced benefits early in summer 2021, researchers found measurable increases in employment transitions. The effect was real, though economists debated its scale relative to other factors driving the recovery.</w:t>
      </w:r>
      <w:r w:rsidR="008E161E">
        <w:rPr>
          <w:rStyle w:val="EndnoteReference"/>
        </w:rPr>
        <w:endnoteReference w:id="20"/>
      </w:r>
      <w:r>
        <w:t xml:space="preserve"> What was not debatable was the direction: when the incentives changed, behavior changed. The original concern had been a legitimate empirical question worth investigating, not a character judgment to be dismissed.</w:t>
      </w:r>
    </w:p>
    <w:p w14:paraId="62B94896" w14:textId="77777777" w:rsidR="00E25CED" w:rsidRDefault="00E25CED">
      <w:pPr>
        <w:pStyle w:val="Heading3"/>
      </w:pPr>
      <w:bookmarkStart w:id="20" w:name="_Toc227410654"/>
      <w:r>
        <w:t>The Refusal to Expect Behavior</w:t>
      </w:r>
      <w:bookmarkEnd w:id="20"/>
    </w:p>
    <w:p w14:paraId="4954E05D" w14:textId="77777777" w:rsidR="00D208A2" w:rsidRPr="00D208A2" w:rsidRDefault="00D208A2" w:rsidP="00D208A2">
      <w:r w:rsidRPr="00D208A2">
        <w:t>Predicting behavior feels like passing judgment. As the previous chapter described, observations about how reality works often get heard as accusations about how people are. The same dynamic operates here in a slightly different form. When someone suggests that a policy will create certain behavioral responses, listeners hear that as a claim that people lack moral fiber or good intentions. The prediction becomes an insult, and rejecting it becomes a way of defending human dignity against assumptions that feel unfair.</w:t>
      </w:r>
    </w:p>
    <w:p w14:paraId="58301AF0" w14:textId="77777777" w:rsidR="00D208A2" w:rsidRPr="00D208A2" w:rsidRDefault="00D208A2" w:rsidP="00D208A2">
      <w:r w:rsidRPr="00D208A2">
        <w:t>In professional settings, this plays out constantly. A manager who predicts that employees will respond to poorly designed incentives faces accusations of distrusting the team. Point out that students will optimize for grades over learning, and you hear that you have a negative view of young people. Explain that program participants will make decisions based on the tradeoffs a program offers, and you wind up labeled as someone who thinks poorly of the people you serve.</w:t>
      </w:r>
    </w:p>
    <w:p w14:paraId="48864A25" w14:textId="77777777" w:rsidR="00D208A2" w:rsidRPr="00D208A2" w:rsidRDefault="00D208A2" w:rsidP="00D208A2">
      <w:r w:rsidRPr="00D208A2">
        <w:t>The social pressure this generates is real, and self-reinforcing. Most people prefer to be seen as trusting and optimistic, not suspicious and cynical. There is strong incentive to avoid making predictions that sound like character judgments, even when they are necessary for designing policies that work.</w:t>
      </w:r>
    </w:p>
    <w:p w14:paraId="75CCF5CB" w14:textId="48A0569C" w:rsidR="00E25CED" w:rsidRDefault="00E25CED">
      <w:r>
        <w:t xml:space="preserve">A </w:t>
      </w:r>
      <w:r w:rsidR="00840CA0">
        <w:t xml:space="preserve">different kind of </w:t>
      </w:r>
      <w:r>
        <w:t xml:space="preserve">systematic bias </w:t>
      </w:r>
      <w:r w:rsidR="00D208A2">
        <w:t>can develop</w:t>
      </w:r>
      <w:r>
        <w:t xml:space="preserve">. </w:t>
      </w:r>
      <w:r w:rsidR="00D208A2" w:rsidRPr="00D208A2">
        <w:t>Organizations often avoid structural constraints that would acknowledge how people respond to incentives, because such acknowledgment can feel like distrust.</w:t>
      </w:r>
      <w:r w:rsidR="00D208A2">
        <w:t xml:space="preserve"> </w:t>
      </w:r>
      <w:r>
        <w:t>Instead, they design around the assumption that people will act in ways that align with the organization</w:t>
      </w:r>
      <w:r w:rsidR="00463E2E">
        <w:t>'</w:t>
      </w:r>
      <w:r>
        <w:t>s goals, as long as those goals are clearly communicated and the moral case is well made.</w:t>
      </w:r>
    </w:p>
    <w:p w14:paraId="52FE5DF6" w14:textId="77777777" w:rsidR="00E25CED" w:rsidRDefault="00E25CED">
      <w:r>
        <w:t>At the heart of this pattern is a confusion between describing how people act and prescribing how people should act. Acknowledging that people respond to incentives doesn't mean endorsing that response as good or inevitable. It means recognizing that when you change the costs and benefits of different choices, you change the distribution of those choices. Someone can simultaneously believe that people ought to act without regard to personal benefit and recognize that most people, most of the time, don't actually ignore incentive structures when making decisions.</w:t>
      </w:r>
    </w:p>
    <w:p w14:paraId="036791E5" w14:textId="7F08CD96" w:rsidR="00E25CED" w:rsidRDefault="00E25CED">
      <w:r>
        <w:t xml:space="preserve">That distinction vanishes in discussions where any acknowledgment of self-interested behavior feels like moral endorsement of selfishness. </w:t>
      </w:r>
      <w:r w:rsidR="008D526F" w:rsidRPr="008D526F">
        <w:t>The proposition that people are self-interested is one almost no one disputes when stated plainly. I have asked rooms full of students whether they disagree, and no hand has ever gone up. But the same students will treat any policy analysis built on that observation as suspect, almost insulting. Acknowledging self-interest in the abstract is costless. Acknowledging it about the people a policy is meant to serve feels like an accusation against them.</w:t>
      </w:r>
      <w:r w:rsidR="008D526F">
        <w:t xml:space="preserve"> </w:t>
      </w:r>
      <w:r>
        <w:t xml:space="preserve">Actual </w:t>
      </w:r>
      <w:r w:rsidR="008D526F">
        <w:t xml:space="preserve">policy </w:t>
      </w:r>
      <w:r>
        <w:t xml:space="preserve">results wind up attributed to exceptional circumstances, poor implementation, or external interference, not to predictable responses to the incentive structures the policy built. When a policy yields disappointing outcomes, the explanations focus on everything except the most obvious one: people responded exactly as you would expect them to respond to the </w:t>
      </w:r>
      <w:r w:rsidR="00767630">
        <w:t>tradeoff</w:t>
      </w:r>
      <w:r>
        <w:t>s the policy created.</w:t>
      </w:r>
    </w:p>
    <w:p w14:paraId="3754A468" w14:textId="0F633D31" w:rsidR="00E25CED" w:rsidRDefault="00E25CED">
      <w:r>
        <w:t>This makes learning from experience nearly impossible. Each failure gets explained in ways that preserve the assumption that people will act according to moral aspirations, not according to incentives. The next policy gets built on the same flawed assumptions, leading to the same failures, which get explained in the same ways.</w:t>
      </w:r>
    </w:p>
    <w:p w14:paraId="4533F5AF" w14:textId="2989EE55" w:rsidR="00E25CED" w:rsidRDefault="008D526F">
      <w:r w:rsidRPr="008D526F">
        <w:t>Refusing to expect predictable behavior actually shows less respect for human intelligence than acknowledging that people respond to incentives</w:t>
      </w:r>
      <w:r>
        <w:t xml:space="preserve">. </w:t>
      </w:r>
      <w:r w:rsidR="00E25CED">
        <w:t>When we avoid designing for behavioral responses, we're treating people as too unsophisticated to notice when a system rewards certain choices and penalizes others. When we acknowledge that people will respond to incentives, we treat them as intelligent agents who can evaluate their options and make strategic decisions based on the information available to them. The approach that sounds cynical is the one that credits people with being able to think strategically about their circumstances.</w:t>
      </w:r>
    </w:p>
    <w:p w14:paraId="7565147C" w14:textId="300F550A" w:rsidR="00E25CED" w:rsidRDefault="00E25CED">
      <w:r>
        <w:t>Deeper still, the refusal to expect behavior also prevents designing policies that work with human decision-making instead of against it. Pretending that incentive structures don</w:t>
      </w:r>
      <w:r w:rsidR="00463E2E">
        <w:t>'</w:t>
      </w:r>
      <w:r>
        <w:t>t matter means accidentally rewarding behaviors you want to discourage and failing to reward behaviors you want to encourage. A system built on realistic expectations about behavioral responses can align incentives so that it becomes easier for people to act in ways that benefit themselves and others. A system built on aspirational assumptions often makes beneficial behaviors costly and problematic behaviors rewarding, then remains surprised when people respond accordingly.</w:t>
      </w:r>
    </w:p>
    <w:p w14:paraId="41CFD80D" w14:textId="77777777" w:rsidR="00E25CED" w:rsidRDefault="00E25CED">
      <w:pPr>
        <w:pStyle w:val="Heading3"/>
      </w:pPr>
      <w:bookmarkStart w:id="21" w:name="_Toc227410655"/>
      <w:r>
        <w:t>Moral Assumptions as Design</w:t>
      </w:r>
      <w:bookmarkEnd w:id="21"/>
    </w:p>
    <w:p w14:paraId="5DA04011" w14:textId="77777777" w:rsidR="00E25CED" w:rsidRDefault="00E25CED">
      <w:r>
        <w:t>Beyond simply refusing to predict behavior, many institutions actively design systems around the assumption that good people will naturally do good things when given the opportunity. The underlying philosophy treats virtue as self-sustaining, something that emerges automatically in the absence of corrupting influences. The design goal becomes removing barriers to virtue instead of building structures that make beneficial behaviors less costly than harmful ones.</w:t>
      </w:r>
    </w:p>
    <w:p w14:paraId="46E6E250" w14:textId="0657C9E5" w:rsidR="00BC6347" w:rsidRDefault="00E25CED" w:rsidP="00BC6347">
      <w:r>
        <w:t xml:space="preserve">When institutions design around moral aspirations instead of behavioral incentives, the policies that result often function more as statements of values than as practical mechanisms for achieving goals. </w:t>
      </w:r>
      <w:r w:rsidR="00BC6347" w:rsidRPr="00BC6347">
        <w:t xml:space="preserve">The word </w:t>
      </w:r>
      <w:r w:rsidR="00463E2E">
        <w:t>"</w:t>
      </w:r>
      <w:r w:rsidR="00BC6347" w:rsidRPr="00BC6347">
        <w:t>incentive</w:t>
      </w:r>
      <w:r w:rsidR="00463E2E">
        <w:t>"</w:t>
      </w:r>
      <w:r w:rsidR="00BC6347" w:rsidRPr="00BC6347">
        <w:t xml:space="preserve"> is doing two jobs in this chapter: sometimes it means the formal reward structure someone designed into a system, and sometimes it means the cost-benefit calculation that shapes how anyone responds to any situation, designed or not.</w:t>
      </w:r>
      <w:r w:rsidR="00BC6347">
        <w:t xml:space="preserve"> An employee handbook reads like a declaration of trust and shared responsibility, yet says nothing about what happens when individual benefit conflicts with organizational goals.</w:t>
      </w:r>
    </w:p>
    <w:p w14:paraId="28684B54" w14:textId="2A8160C9" w:rsidR="006D6F8E" w:rsidRPr="006D6F8E" w:rsidRDefault="006D6F8E" w:rsidP="006D6F8E">
      <w:r w:rsidRPr="006D6F8E">
        <w:t>Government programs designed to move people toward self-sufficiency routinely build benefit structures that penalize the transition. A 2023 Federal Reserve Bank of Atlanta case study modeled a single adult with one child living in Washington, DC. At an earned income of $11,000, the family qualified for roughly $68,000 in government support. At an earned income of $65,000, that support fell to about $22,000, while federal and local tax liability rose from $842 to nearly $13,000. The $54,000 raise produced no net gain. Across an income range that, in any other context, would mark the difference between poverty and the middle class, earning more left the family in the same place.</w:t>
      </w:r>
      <w:r w:rsidR="005239C5">
        <w:rPr>
          <w:rStyle w:val="EndnoteReference"/>
        </w:rPr>
        <w:endnoteReference w:id="21"/>
      </w:r>
      <w:r w:rsidRPr="006D6F8E">
        <w:t xml:space="preserve"> The program's stated goal is independence. Its actual incentive structure makes independence the most expensive choice available.</w:t>
      </w:r>
    </w:p>
    <w:p w14:paraId="441EA337" w14:textId="1A77A787" w:rsidR="006D6F8E" w:rsidRPr="006D6F8E" w:rsidRDefault="006D6F8E" w:rsidP="005239C5">
      <w:r w:rsidRPr="006D6F8E">
        <w:t xml:space="preserve">The single mother in the DC model is not failing to be motivated. She is doing the math the program's designers didn't do. </w:t>
      </w:r>
      <w:r w:rsidR="005239C5" w:rsidRPr="005239C5">
        <w:t>A 2025 study from Washington University's Center for Social Development found that 22 percent of low-wage workers enrolled in public benefits programs had taken at least one deliberate step to avoid losing those benefits: turning down raises or promotions, declining extra hours, refusing job offers, or keeping savings below program limits.</w:t>
      </w:r>
      <w:r w:rsidR="005239C5">
        <w:t xml:space="preserve"> </w:t>
      </w:r>
      <w:r w:rsidRPr="006D6F8E">
        <w:t>A statewide survey in Utah found that 43 percent of safety-net participants had limited their income to stay eligible, and 62 percent reported feeling stuck in low-income jobs because the financial loss from earning more would outweigh the gain.</w:t>
      </w:r>
      <w:r w:rsidR="00755582">
        <w:rPr>
          <w:rStyle w:val="EndnoteReference"/>
        </w:rPr>
        <w:endnoteReference w:id="22"/>
      </w:r>
    </w:p>
    <w:p w14:paraId="66685CAE" w14:textId="77777777" w:rsidR="006D6F8E" w:rsidRPr="006D6F8E" w:rsidRDefault="006D6F8E" w:rsidP="006D6F8E">
      <w:r w:rsidRPr="006D6F8E">
        <w:t>The same pattern repeats across institutions: educational systems that reward completion over learning, managers who end up policing the spirit of policies because the policies reward something other than what they claim to. In each case, the gap between stated goals and actual incentive structures is not a mystery to the people living inside it. It is a mystery only to the people who designed it without asking how anyone would actually respond.</w:t>
      </w:r>
    </w:p>
    <w:p w14:paraId="345B1FBC" w14:textId="77777777" w:rsidR="00755582" w:rsidRPr="00755582" w:rsidRDefault="00755582" w:rsidP="00755582">
      <w:r w:rsidRPr="00755582">
        <w:t>The moral framing also locks policies in after they're implemented. A program built as an expression of trust cannot be modified to account for behavioral responses without reading as a withdrawal of that trust. Resistance intensifies when the policy serves people understood as vulnerable, where any proposal to address incentive responses sounds like blaming them for responding rationally to the structure they face. The framing that made the policy appealing in the first place becomes the obstacle to fixing it once it is operating.</w:t>
      </w:r>
    </w:p>
    <w:p w14:paraId="3FF1A724" w14:textId="77777777" w:rsidR="009A73C8" w:rsidRDefault="009A73C8">
      <w:r w:rsidRPr="009A73C8">
        <w:t>Such programs keep falling short of their goals. The explanations focus on external factors: political opposition, insufficient resources, societal prejudice. The program's own incentive structure rarely enters the discussion.</w:t>
      </w:r>
    </w:p>
    <w:p w14:paraId="0E21B10B" w14:textId="7EBF8905" w:rsidR="00E25CED" w:rsidRDefault="00E25CED">
      <w:r>
        <w:t xml:space="preserve">Equally damaging, this logic prevents learning from institutions that achieve better results through different approaches. </w:t>
      </w:r>
      <w:r w:rsidR="00C5316F" w:rsidRPr="00C5316F">
        <w:t>When another organization succeeds by explicitly designing around behavioral incentives, observers credit the people: more motivated staff, less challenging circumstances, a different culture. The possibility that the design itself produced the result rarely registers.</w:t>
      </w:r>
      <w:r>
        <w:t xml:space="preserve"> The assumption that moral commitment should be sufficient makes it threatening to acknowledge that practical design might matter more.</w:t>
      </w:r>
    </w:p>
    <w:p w14:paraId="3D91B5E8" w14:textId="77777777" w:rsidR="00E25CED" w:rsidRDefault="00E25CED">
      <w:r>
        <w:t>What follows is a paradox. Organizations that care most about achieving beneficial outcomes often build systems that make those outcomes less likely, because the design process prioritizes signaling moral commitment over constructing functional incentive structures. Meanwhile, organizations that straightforwardly acknowledge behavioral responses and plan accordingly can achieve better results while being characterized as less idealistic or less committed to the mission. In both cases, people respond to the incentives that actually exist, not the ones the designers wished existed.</w:t>
      </w:r>
    </w:p>
    <w:p w14:paraId="19FC66FE" w14:textId="77777777" w:rsidR="00E25CED" w:rsidRDefault="00E25CED">
      <w:pPr>
        <w:pStyle w:val="Heading3"/>
      </w:pPr>
      <w:bookmarkStart w:id="22" w:name="_Toc227410656"/>
      <w:r>
        <w:t>When Predictions Come True</w:t>
      </w:r>
      <w:bookmarkEnd w:id="22"/>
    </w:p>
    <w:p w14:paraId="5D378DBB" w14:textId="1F3BD7F7" w:rsidR="00E25CED" w:rsidRDefault="002478B8">
      <w:r w:rsidRPr="002478B8">
        <w:t>The reaction to disappointing results is rarely recognition. It is genuine surprise. That surprise is diagnostic. It reveals a framework in which intentions are treated as primary and behavioral responses to incentives as secondary, or invisible entirely. When people respond to the incentive structure a policy creates rather than to the purpose its designers had in mind, the response registers as an anomaly requiring special explanation rather than as the predictable result of the policy's own architecture</w:t>
      </w:r>
      <w:r w:rsidR="00E25CED">
        <w:t>.</w:t>
      </w:r>
    </w:p>
    <w:p w14:paraId="337F2609" w14:textId="15BD9500" w:rsidR="00E8240A" w:rsidRDefault="00E8240A" w:rsidP="00E8240A">
      <w:r w:rsidRPr="00E8240A">
        <w:t>A learning problem follows. When something surprises you, your explanation focuses on factors you didn't anticipate. But if your framework consistently excludes consideration of incentive responses, then those responses will reliably count as unanticipated factors. When rent control produces disappointing results, the common explanation is not that reducing the return on rental housing investment reduces rental housing investment; it is that landlords are greedy</w:t>
      </w:r>
      <w:r>
        <w:t>.</w:t>
      </w:r>
      <w:r>
        <w:rPr>
          <w:rStyle w:val="EndnoteReference"/>
        </w:rPr>
        <w:endnoteReference w:id="23"/>
      </w:r>
      <w:r>
        <w:t xml:space="preserve"> </w:t>
      </w:r>
      <w:r w:rsidRPr="00E8240A">
        <w:t>When a minimum wage increase produces disappointing results, the common explanation is not that making labor more expensive makes employers buy less of it; it is that employers are heartless</w:t>
      </w:r>
      <w:r>
        <w:t>.</w:t>
      </w:r>
      <w:r>
        <w:rPr>
          <w:rStyle w:val="EndnoteReference"/>
        </w:rPr>
        <w:endnoteReference w:id="24"/>
      </w:r>
      <w:r>
        <w:t xml:space="preserve"> </w:t>
      </w:r>
      <w:r w:rsidRPr="00E8240A">
        <w:t>The explanation preserves the framework by attributing causation to moral failures in others, not to responses to the tradeoffs the policy built</w:t>
      </w:r>
      <w:r>
        <w:t>.</w:t>
      </w:r>
    </w:p>
    <w:p w14:paraId="74FBDCC0" w14:textId="670D9E64" w:rsidR="00E25CED" w:rsidRDefault="00E25CED">
      <w:r>
        <w:t>Beyond economic policy, the same logic holds. Abstinence-only sex education assumed that telling teenagers not to have sex would cause them not to have sex. The largest federally mandated evaluation, conducted over nine years, found no evidence that it did. Teens in abstinence-only programs showed no reduction in sexual activity and had the same average age of first intercourse as those in the control group. What changed was contraceptive use: students in these programs were less likely to use contraception when they became sexually active. The program did not change the behavior it targeted. It changed the precaution taken when that behavior occurred anyway.</w:t>
      </w:r>
      <w:r>
        <w:rPr>
          <w:rStyle w:val="EndnoteReference"/>
        </w:rPr>
        <w:endnoteReference w:id="25"/>
      </w:r>
    </w:p>
    <w:p w14:paraId="7D50B22C" w14:textId="5ECB02DC" w:rsidR="00E25CED" w:rsidRDefault="00D8104D">
      <w:r w:rsidRPr="00D8104D">
        <w:t>Being proved right doesn't reverse the social cost. The senators who warned that enhanced unemployment benefits would reduce the incentive to return to work were not vindicated when 26 states proved them directionally right. They were still the people who had shown insufficient faith in American workers. The person who warned of the failure might even get blamed for causing the problems, or for being insufficiently supportive of efforts to make the policy work despite its structural problems. The people who maintained faith in the approach, despite its flaws, come away looking more dedicated to the mission, even though their analysis proved less accurate</w:t>
      </w:r>
      <w:r w:rsidR="00E25CED">
        <w:t>.</w:t>
      </w:r>
    </w:p>
    <w:p w14:paraId="1BD04F14" w14:textId="77777777" w:rsidR="00E25CED" w:rsidRDefault="00E25CED">
      <w:pPr>
        <w:pStyle w:val="Heading3"/>
      </w:pPr>
      <w:bookmarkStart w:id="23" w:name="_Toc227410657"/>
      <w:r>
        <w:t>Learning Without Blame</w:t>
      </w:r>
      <w:bookmarkEnd w:id="23"/>
    </w:p>
    <w:p w14:paraId="217666F1" w14:textId="7345D100" w:rsidR="00E25CED" w:rsidRDefault="006848C1">
      <w:r>
        <w:t>As was discussed in the first chapter, s</w:t>
      </w:r>
      <w:r w:rsidR="00E25CED">
        <w:t>urprise at predictable outcomes connects to a broader difficulty: when policies fail, the response typically assigns blame in ways that protect the underlying assumptions that produced the failure. Instead of examining whether the policy's incentive structure made disappointing results likely, the analysis focuses on individual character flaws, external circumstances, or political interference. Factors that allow the design philosophy to remain intact.</w:t>
      </w:r>
    </w:p>
    <w:p w14:paraId="5657F9A0" w14:textId="6703EEAE" w:rsidR="00E25CED" w:rsidRDefault="00E25CED">
      <w:r>
        <w:t>When policies fail in these ways, the response focuses on the people inside the system, not on what the system makes costly or rewarding. The students are characterized as too focused on grades, the program participants as too comfortable with assistance. These characterizations aren't entirely wrong: people are responding to grades, avoiding collaboration costs, making financially rational choices about program participation. But framing these responses as character issues instead of reactions to incentive structures prevents recognizing that different structures would produce different behavior.</w:t>
      </w:r>
    </w:p>
    <w:p w14:paraId="0810534F" w14:textId="6BAC092F" w:rsidR="00E25CED" w:rsidRDefault="006848C1">
      <w:r w:rsidRPr="006848C1">
        <w:t>As noted earlier</w:t>
      </w:r>
      <w:r>
        <w:t>, l</w:t>
      </w:r>
      <w:r w:rsidR="00E25CED">
        <w:t>earning from failure grows harder when consequences take time to materialize. Policies that create problems gradually over years or decades can attribute current difficulties to factors far removed from the policy itself. By the time housing becomes scarce, educational achievement declines, or program costs grow unsustainable, enough time has passed that blame can be distributed across many factors. The original policy design remains protected because its consequences manifested slowly enough to become entangled with many other changes.</w:t>
      </w:r>
    </w:p>
    <w:p w14:paraId="7558AB8D" w14:textId="2D806770" w:rsidR="00E25CED" w:rsidRDefault="00E25CED">
      <w:r>
        <w:t>Slow consequences also prevent recognizing repeated failures as a pattern. The policy yields disappointing results, those results are attributed to factors other than incentive structure, the policy is tried again in a different context, and the cycle repeats. Each iteration generates similar outcomes, but because the outcomes are explained through context-specific factors, not through the common element of incentive structure, the pattern never registers as a pattern</w:t>
      </w:r>
      <w:r w:rsidR="006848C1">
        <w:t xml:space="preserve"> at all</w:t>
      </w:r>
      <w:r>
        <w:t>.</w:t>
      </w:r>
    </w:p>
    <w:p w14:paraId="65BA46B8" w14:textId="77777777" w:rsidR="00E25CED" w:rsidRDefault="00E25CED">
      <w:r>
        <w:t>How blame falls also shapes what changes seem possible. If policy failure stems from political opposition, the solution is political coalition-building. If it stems from insufficient resources, the solution is increased funding. If it stems from societal prejudice, the solution is cultural change. These are all genuine factors that can matter. But if the primary cause is that the policy's incentive structure makes the desired outcomes unlikely, then no amount of political will, funding, or cultural change will produce success. The policy needs structural redesign to align incentives with goals.</w:t>
      </w:r>
    </w:p>
    <w:p w14:paraId="18123A25" w14:textId="08FE1499" w:rsidR="00E25CED" w:rsidRDefault="00E25CED">
      <w:r>
        <w:t xml:space="preserve">Breaking this cycle requires separating two things that routinely get confused: the moral commitment that defines what we're trying to achieve, and the structural analysis that determines whether we're likely to achieve it. Moral commitment tells you what to aim for, not how to get there. And getting there honestly means acknowledging that most people, most of the time, respond to the costs and benefits of different choices. Someone can sincerely value helping others while also making decisions based on what those decisions cost them personally. A student can value learning while responding strategically to what gets rewarded. </w:t>
      </w:r>
      <w:r w:rsidR="002E021E" w:rsidRPr="002E021E">
        <w:t>This is not cynicism; it is the starting point for designing systems where personal incentives and the outcomes you actually want line up instead of pulling against each other</w:t>
      </w:r>
      <w:r>
        <w:t>.</w:t>
      </w:r>
    </w:p>
    <w:p w14:paraId="0E4D60A8" w14:textId="47F698E8" w:rsidR="00E25CED" w:rsidRDefault="00E25CED">
      <w:r>
        <w:t xml:space="preserve">Start with the people the plan depends on: </w:t>
      </w:r>
      <w:r>
        <w:rPr>
          <w:i/>
          <w:iCs/>
        </w:rPr>
        <w:t>What does this person gain if they do what the plan needs them to do? What do they lose? What do they gain if they do something different instead?</w:t>
      </w:r>
      <w:r>
        <w:t xml:space="preserve"> A bridge engineer asks what loads the structure will bear, not because she distrusts gravity, but because gravity does not care about her intentions.</w:t>
      </w:r>
    </w:p>
    <w:p w14:paraId="4981BDE2" w14:textId="1E098EE9" w:rsidR="00E25CED" w:rsidRDefault="00E25CED">
      <w:r>
        <w:t xml:space="preserve">Then ask about timing: </w:t>
      </w:r>
      <w:r>
        <w:rPr>
          <w:i/>
          <w:iCs/>
        </w:rPr>
        <w:t>When do the rewards for compliance arrive: immediately or eventually? When do the costs of noncompliance arrive?</w:t>
      </w:r>
      <w:r>
        <w:t xml:space="preserve"> If following the plan produces delayed benefits but immediate costs, expect most people to drift toward noncompliance regardless of their stated commitment. This is not about character. It is about the weight of time on human decision-making.</w:t>
      </w:r>
    </w:p>
    <w:p w14:paraId="115E716E" w14:textId="77777777" w:rsidR="00E25CED" w:rsidRDefault="00E25CED">
      <w:r>
        <w:t xml:space="preserve">Finally, ask: </w:t>
      </w:r>
      <w:r>
        <w:rPr>
          <w:i/>
          <w:iCs/>
        </w:rPr>
        <w:t>What happens to someone who does exactly what the system was designed to encourage? Does the system actually reward them? Or does it reward something else while claiming to reward them?</w:t>
      </w:r>
      <w:r>
        <w:t xml:space="preserve"> When the answer to that question is honest, the gap between intention and design becomes visible, and closable.</w:t>
      </w:r>
    </w:p>
    <w:p w14:paraId="6F3232C5" w14:textId="6352C7AB" w:rsidR="00E25CED" w:rsidRDefault="00E25CED">
      <w:r>
        <w:t xml:space="preserve">The </w:t>
      </w:r>
      <w:r w:rsidR="00A467C0">
        <w:t>26</w:t>
      </w:r>
      <w:r>
        <w:t xml:space="preserve"> governors who ended the enhanced unemployment supplement early in 2021 were running this exercise whether they called it that or not. The first question had a clear answer: the supplement paid more than many of the jobs it was supposed to bridge people back to. The timing question had a clear answer too: benefits arrived immediately, while the returns to re-employment were uncertain and delayed. The path of least resistance led away from work. When those states changed the incentive structure, employment transitions increased. The workers who returned were not suddenly more motivated. They were the same people, navigating a different set of costs.</w:t>
      </w:r>
    </w:p>
    <w:p w14:paraId="73D2970A" w14:textId="77777777" w:rsidR="00E25CED" w:rsidRDefault="00E25CED">
      <w:pPr>
        <w:sectPr w:rsidR="00E25CED" w:rsidSect="00E25CED">
          <w:footerReference w:type="default" r:id="rId21"/>
          <w:footerReference w:type="first" r:id="rId22"/>
          <w:footnotePr>
            <w:numFmt w:val="chicago"/>
          </w:footnotePr>
          <w:endnotePr>
            <w:numFmt w:val="decimal"/>
          </w:endnotePr>
          <w:pgSz w:w="12240" w:h="15840"/>
          <w:pgMar w:top="1440" w:right="1440" w:bottom="1440" w:left="1440" w:header="0" w:footer="720" w:gutter="0"/>
          <w:cols w:space="720"/>
          <w:formProt w:val="0"/>
          <w:docGrid w:linePitch="100"/>
        </w:sectPr>
      </w:pPr>
      <w:r>
        <w:t>These questions do not guarantee good design. But they make design failures visible before they become outcome failures, which is when they are cheapest to fix and most possible to correct.</w:t>
      </w:r>
    </w:p>
    <w:p w14:paraId="70F954FD" w14:textId="77777777" w:rsidR="00E25CED" w:rsidRDefault="00E25CED">
      <w:pPr>
        <w:pStyle w:val="Heading2"/>
      </w:pPr>
      <w:bookmarkStart w:id="24" w:name="_Toc227410658"/>
      <w:r>
        <w:t>Good Intentions Are Not a System</w:t>
      </w:r>
      <w:bookmarkEnd w:id="24"/>
    </w:p>
    <w:p w14:paraId="66BC5216" w14:textId="7474D716" w:rsidR="00094D76" w:rsidRPr="00094D76" w:rsidRDefault="00094D76" w:rsidP="00094D76">
      <w:r w:rsidRPr="00094D76">
        <w:t>On January 12, 2010, a 7.0 magnitude earthquake struck Haiti, killing over 200,000 people and displacing more than 1 million.</w:t>
      </w:r>
      <w:r w:rsidR="003A6424">
        <w:rPr>
          <w:rStyle w:val="EndnoteReference"/>
        </w:rPr>
        <w:endnoteReference w:id="26"/>
      </w:r>
      <w:r w:rsidRPr="00094D76">
        <w:t xml:space="preserve"> The international response was immediate and enormous. Governments, </w:t>
      </w:r>
      <w:r w:rsidR="002755FF">
        <w:t xml:space="preserve">non-governmental organizations or </w:t>
      </w:r>
      <w:r w:rsidRPr="00094D76">
        <w:t>NGOs, and private donors mobilized billions of dollars in relief funding. The American Red Cross alone raised nearly $500 million.</w:t>
      </w:r>
      <w:r>
        <w:rPr>
          <w:rStyle w:val="EndnoteReference"/>
        </w:rPr>
        <w:endnoteReference w:id="27"/>
      </w:r>
      <w:r w:rsidRPr="00094D76">
        <w:t xml:space="preserve"> Celebrities held telethons. Corporations pledged matching contributions. The goodwill was real, the money was real, and the suffering was urgent enough to cut through every competing priority on earth.</w:t>
      </w:r>
    </w:p>
    <w:p w14:paraId="61A6148B" w14:textId="680059E4" w:rsidR="00094D76" w:rsidRPr="00094D76" w:rsidRDefault="00094D76" w:rsidP="00094D76">
      <w:r w:rsidRPr="00094D76">
        <w:t>Five years later, a joint investigation by ProPublica and NPR tried to answer a simple question: what did the Red Cross build with that half-billion dollars? The answer was six permanent homes. Not six thousand. Six. The rest of the money had been consumed by overhead, internal transfers between divisions, contracts with outside organizations that produced little accountable work, and a housing project in which the Red Cross tried to build new neighborhoods in a country where it did not understand the land-title system, the building codes, or the local construction economy. The organization spent millions developing plans for a new neighborhood in Port-au-Prince under a program it called LAMIKA, held press conferences, and ultimately built none of it.</w:t>
      </w:r>
      <w:r w:rsidR="00615D41">
        <w:rPr>
          <w:rStyle w:val="EndnoteReference"/>
        </w:rPr>
        <w:endnoteReference w:id="28"/>
      </w:r>
    </w:p>
    <w:p w14:paraId="3B6F10AF" w14:textId="7541EBD8" w:rsidR="00094D76" w:rsidRPr="00094D76" w:rsidRDefault="00094D76" w:rsidP="00094D76">
      <w:r w:rsidRPr="00094D76">
        <w:t>The Red Cross was not corrupt. Its employees were not indifferent. Investigations found no evidence of fraud or embezzlement on any meaningful scale.</w:t>
      </w:r>
      <w:r w:rsidR="00615D41">
        <w:rPr>
          <w:rStyle w:val="EndnoteReference"/>
        </w:rPr>
        <w:endnoteReference w:id="29"/>
      </w:r>
      <w:r w:rsidRPr="00094D76">
        <w:t xml:space="preserve"> What they found was an organization that had world-class fundraising infrastructure and almost no implementation infrastructure. It could collect money from millions of donors with extraordinary efficiency. It could not turn that money into houses, hospitals, or water systems because it had no mechanism for doing so in a country it did not understand, working through local systems it had never mapped, on problems that required sustained coordination it was not structured to provide.</w:t>
      </w:r>
    </w:p>
    <w:p w14:paraId="71C4ACB8" w14:textId="77777777" w:rsidR="00E25CED" w:rsidRDefault="00E25CED">
      <w:r>
        <w:t>Haiti became the most expensive demonstration in modern history of a principle that operates in every struggling organization, school district, government agency, and workplace: good intentions are not a system. The desire to help and the capacity to help are entirely different things, and treating the first as evidence of the second is how billions of dollars, millions of hours, and incalculable human suffering get wasted while everyone involved feels virtuous about the effort.</w:t>
      </w:r>
    </w:p>
    <w:p w14:paraId="0493A132" w14:textId="65D54AC4" w:rsidR="00F903B1" w:rsidRPr="00F903B1" w:rsidRDefault="00F903B1" w:rsidP="00F903B1">
      <w:r w:rsidRPr="00F903B1">
        <w:t>The assumption underneath is that caring about a problem and knowing how to solve it are the same thing, that if intentions are good, methods will be effective, that if the motivation is compassion, the results will be compassionate. This assumption treats systems as neutral instruments that will produce whatever outcomes the people using them want to produce. It is wrong, and it is wrong in a specific, diagnosable way. Organizations built on this assumption feel virtuous while producing disappointing outcomes, because everyone inside them can maintain their sense of moral purpose even as the institution fails at its actual mission. When results disappoint, the explanation</w:t>
      </w:r>
      <w:r>
        <w:t xml:space="preserve">, as you will learn, is almost </w:t>
      </w:r>
      <w:r w:rsidRPr="00F903B1">
        <w:t>always external: insufficient funding, political interference, not enough time. The possibility that the design itself is the problem rarely gets considered, because that would mean admitting that wanting to help was never the same thing as being able to.</w:t>
      </w:r>
    </w:p>
    <w:p w14:paraId="55DD5585" w14:textId="77777777" w:rsidR="00E25CED" w:rsidRDefault="00E25CED">
      <w:pPr>
        <w:pStyle w:val="Heading3"/>
      </w:pPr>
      <w:bookmarkStart w:id="25" w:name="_Toc227410659"/>
      <w:r>
        <w:t>Why Goodwill Works Only Up Close</w:t>
      </w:r>
      <w:bookmarkEnd w:id="25"/>
    </w:p>
    <w:p w14:paraId="2726BDC3" w14:textId="34C35236" w:rsidR="00E25CED" w:rsidRDefault="00E25CED">
      <w:r>
        <w:t xml:space="preserve">In small settings where everyone knows everyone else, informal goodwill can coordinate behavior reasonably well. By </w:t>
      </w:r>
      <w:r w:rsidR="00463E2E">
        <w:t>"</w:t>
      </w:r>
      <w:r>
        <w:t>goodwill</w:t>
      </w:r>
      <w:r w:rsidR="00463E2E">
        <w:t>"</w:t>
      </w:r>
      <w:r>
        <w:t xml:space="preserve"> I mean informal trust and reciprocity enforced by reputation and social pressure rather than by formal rules. When you work closely with a handful of people, the social costs of shirking responsibilities or breaking promises are immediate and visible. You will have to keep dealing with the same people tomorrow, next week, and next month. That creates practical pressure to behave well even when formal enforcement is weak or absent.</w:t>
      </w:r>
    </w:p>
    <w:p w14:paraId="144AB1A4" w14:textId="77777777" w:rsidR="00E25CED" w:rsidRDefault="00E25CED">
      <w:r>
        <w:t>Goodwill can make a workplace function tolerably well even when the underlying incentive structure is badly designed. People often help each other, cover for mistakes, and adjust their behavior to maintain relationships. The group can muddle through despite misaligned incentives, unclear authority, or poorly defined responsibilities.</w:t>
      </w:r>
    </w:p>
    <w:p w14:paraId="108DA537" w14:textId="595BF236" w:rsidR="00E25CED" w:rsidRDefault="00E25CED">
      <w:r>
        <w:t xml:space="preserve">But goodwill is a ceiling, not a foundation. It does not solve underlying problems; it merely makes them more bearable in the most favorable conditions. Work </w:t>
      </w:r>
      <w:r w:rsidR="00237443">
        <w:t xml:space="preserve">may </w:t>
      </w:r>
      <w:r>
        <w:t xml:space="preserve">still </w:t>
      </w:r>
      <w:proofErr w:type="spellStart"/>
      <w:r>
        <w:t>gets</w:t>
      </w:r>
      <w:proofErr w:type="spellEnd"/>
      <w:r>
        <w:t xml:space="preserve"> misdirected, resources still get wasted, and good people still burn out compensating for structural dysfunction. The question is what happens when conditions become less favorable. Scale destroys the feedback loops that make goodwill sustainable. As organizations grow in size and complexity, individual contributions become invisible in the statistical aggregate. The connection between any one person's effort and the organization's overall success stretches so thin that moral appeals lose their practical force. When hundreds or thousands of people contribute to a collective outcome, the relationship between individual behavior and collective consequences disappears into noise.</w:t>
      </w:r>
    </w:p>
    <w:p w14:paraId="2507F125" w14:textId="108256D8" w:rsidR="00E25CED" w:rsidRDefault="00E25CED">
      <w:r>
        <w:t>Anonymity compounds the problem by removing the reputational consequences that enforce informal cooperation. In a small team, everyone knows if you underperform. In a large organization, your immediate supervisor might notice, but most people affected by your work will never know who you are. The social pressure that makes goodwill work in small groups evaporates when most interactions are with strangers or happen through impersonal systems.</w:t>
      </w:r>
    </w:p>
    <w:p w14:paraId="3CBADAD4" w14:textId="16F6FF86" w:rsidR="00E25CED" w:rsidRDefault="00E25CED">
      <w:r>
        <w:t xml:space="preserve">Time delays </w:t>
      </w:r>
      <w:r w:rsidR="00237443">
        <w:t xml:space="preserve">can </w:t>
      </w:r>
      <w:r>
        <w:t>make the problem worse by separating actions from consequences, preventing learning and adjustment. When feedback arrives months or years after decisions are made, it becomes nearly impossible to connect specific behaviors to specific outcomes. A school might prioritize student satisfaction over student learning, but the consequences, students unprepared for college or careers, appear years later, long after satisfaction surveys shaped policy. A policymaker might design a program with perverse incentives, then move to a different position before the predictable consequences materialize.</w:t>
      </w:r>
    </w:p>
    <w:p w14:paraId="6769CE4E" w14:textId="0B38F1F1" w:rsidR="00E25CED" w:rsidRDefault="00E25CED">
      <w:r>
        <w:t xml:space="preserve">The combination of scale, anonymity, and time delays produces an environment where expressing the right sentiments becomes more rewarding than producing actual </w:t>
      </w:r>
      <w:r w:rsidR="00F903B1">
        <w:t>outcomes</w:t>
      </w:r>
      <w:r>
        <w:t>.</w:t>
      </w:r>
    </w:p>
    <w:p w14:paraId="611C77A0" w14:textId="77777777" w:rsidR="00E25CED" w:rsidRDefault="00E25CED">
      <w:r>
        <w:t>The result is counterintuitive: organizations that emphasize values and mission statements sometimes perform worse than organizations that focus on clear expectations and measurable outcomes.</w:t>
      </w:r>
      <w:r>
        <w:rPr>
          <w:rStyle w:val="EndnoteReference"/>
        </w:rPr>
        <w:endnoteReference w:id="30"/>
      </w:r>
      <w:r>
        <w:t xml:space="preserve"> The values-focused approach can attract people drawn more to feeling virtuous about their work than to the harder task of producing results. Over time, the culture begins to prioritize the expression of proper sentiment over practical problem-solving.</w:t>
      </w:r>
    </w:p>
    <w:p w14:paraId="1C26278B" w14:textId="0DC9E165" w:rsidR="00E25CED" w:rsidRDefault="00E25CED">
      <w:r>
        <w:t>Successful large organizations develop formal systems that make individual contributions visible, connect effort to consequences, and align individual incentives with collective goals. They do this not by assuming people are selfish or lazy, but by acknowledging a basic asymmetry: at small scale, social feedback mechanisms can sustain cooperation despite misaligned incentives. At large scale, cooperation requires systems that make good behavior strategically rational instead of costly.</w:t>
      </w:r>
    </w:p>
    <w:p w14:paraId="7EC7C0FB" w14:textId="77777777" w:rsidR="00E25CED" w:rsidRDefault="00E25CED">
      <w:pPr>
        <w:pStyle w:val="Heading3"/>
      </w:pPr>
      <w:bookmarkStart w:id="26" w:name="_Toc227410660"/>
      <w:r>
        <w:t>Coordination Without Mechanism</w:t>
      </w:r>
      <w:bookmarkEnd w:id="26"/>
    </w:p>
    <w:p w14:paraId="504353F2" w14:textId="67FC30FB" w:rsidR="00E25CED" w:rsidRDefault="00E25CED">
      <w:r>
        <w:t xml:space="preserve">A persistent fantasy in organizational design is believing that shared goals will produce coordinated action without any formal mechanism for coordination. This assumption appears everywhere: in businesses where departments are expected to </w:t>
      </w:r>
      <w:r w:rsidR="00463E2E">
        <w:t>"</w:t>
      </w:r>
      <w:r>
        <w:t>work together</w:t>
      </w:r>
      <w:r w:rsidR="00463E2E">
        <w:t>"</w:t>
      </w:r>
      <w:r>
        <w:t xml:space="preserve"> without clear processes for resolving conflicts, in schools where teachers are told to </w:t>
      </w:r>
      <w:r w:rsidR="00463E2E">
        <w:t>"</w:t>
      </w:r>
      <w:r>
        <w:t>align their instruction</w:t>
      </w:r>
      <w:r w:rsidR="00463E2E">
        <w:t>"</w:t>
      </w:r>
      <w:r>
        <w:t xml:space="preserve"> without common standards or mutual accountability.</w:t>
      </w:r>
    </w:p>
    <w:p w14:paraId="0FDA9F89" w14:textId="77777777" w:rsidR="00017F47" w:rsidRDefault="00E25CED">
      <w:r>
        <w:t xml:space="preserve">I learned what this looks like from the inside. I was teaching high school and college math at an urban high school in one of the largest districts in the state. It was my first year at the school, and I noticed my honor and dual credit students, the school's best, struggling with concepts that required basic arithmetic. So I gave them a diagnostic: </w:t>
      </w:r>
      <w:r w:rsidR="005A5779">
        <w:t>45</w:t>
      </w:r>
      <w:r>
        <w:t xml:space="preserve"> questions, nothing but adding and subtracting integers between negative </w:t>
      </w:r>
      <w:r w:rsidR="00767630">
        <w:t>10</w:t>
      </w:r>
      <w:r>
        <w:t xml:space="preserve"> and positive </w:t>
      </w:r>
      <w:r w:rsidR="00767630">
        <w:t>10</w:t>
      </w:r>
      <w:r>
        <w:t xml:space="preserve">. Third-grade operations. The results were catastrophic. </w:t>
      </w:r>
    </w:p>
    <w:p w14:paraId="41F84102" w14:textId="65DAA436" w:rsidR="00E25CED" w:rsidRDefault="00E25CED">
      <w:r>
        <w:t xml:space="preserve">Many of the students who were carrying A's in honors courses could not reliably add single-digit numbers. I brought the results to the principal, expecting alarm. What I got was a question: </w:t>
      </w:r>
      <w:r w:rsidR="00463E2E">
        <w:t>"</w:t>
      </w:r>
      <w:r>
        <w:t>What are you going to do about this?</w:t>
      </w:r>
      <w:r w:rsidR="00463E2E">
        <w:t>"</w:t>
      </w:r>
      <w:r>
        <w:t xml:space="preserve"> Not </w:t>
      </w:r>
      <w:r>
        <w:rPr>
          <w:i/>
          <w:iCs/>
        </w:rPr>
        <w:t>we</w:t>
      </w:r>
      <w:r>
        <w:t xml:space="preserve">. Not </w:t>
      </w:r>
      <w:r>
        <w:rPr>
          <w:i/>
          <w:iCs/>
        </w:rPr>
        <w:t>the school</w:t>
      </w:r>
      <w:r>
        <w:t>. Me. The system had been graduating students without functional math skills for years, and the person in charge of that system treated the discovery as my problem for having noticed it. There was no mechanism for escalation, no process for remediation, no institutional response at all. The goodwill was everywhere. The mechanism was nowhere.</w:t>
      </w:r>
    </w:p>
    <w:p w14:paraId="6BE2B840" w14:textId="27C5DD7F" w:rsidR="00E25CED" w:rsidRDefault="00E25CED">
      <w:r>
        <w:t xml:space="preserve">The coordination fantasy feels plausible because it works in very small groups. Three people planning a camping trip can coordinate through conversation. They talk, negotiate, adjust, and reach agreement. But </w:t>
      </w:r>
      <w:r w:rsidR="005A5779">
        <w:t>300</w:t>
      </w:r>
      <w:r>
        <w:t xml:space="preserve"> people cannot coordinate the same way. The number of potential interactions grows exponentially while each person's capacity to track relationships, remember commitments, and process information remains constant.</w:t>
      </w:r>
    </w:p>
    <w:p w14:paraId="73C356DF" w14:textId="2697566D" w:rsidR="00E25CED" w:rsidRDefault="00E25CED">
      <w:r>
        <w:t>Without formal coordination mechanisms, large organizations</w:t>
      </w:r>
      <w:r w:rsidR="00017F47">
        <w:t xml:space="preserve"> often</w:t>
      </w:r>
      <w:r>
        <w:t xml:space="preserve"> fragment into subgroups that develop their own priorities and work at cross purposes. Each subgroup optimizes for local goals that may undermine the organization's broader mission. This is not a failure of goodwill or cooperation; it is the rational response to an environment where coordination mechanisms are missing.</w:t>
      </w:r>
    </w:p>
    <w:p w14:paraId="12030EA2" w14:textId="77777777" w:rsidR="00017F47" w:rsidRPr="00017F47" w:rsidRDefault="00017F47" w:rsidP="00017F47">
      <w:r w:rsidRPr="00017F47">
        <w:t>The fragmentation problem becomes more severe when different parts of an organization answer to different accountability structures. Each department gets measured on different metrics: revenue for sales, efficiency for production, risk exposure for finance, pipeline potential for research. Each unit responds rationally to the constraints it faces, and those rational responses collide. The sales team, under pressure to close deals, commits to delivery timelines or product features that production cannot actually provide. Production, optimizing for cost and consistency, resists the variations that sales needs to compete. Similar collisions play out between finance and research, between compliance and innovation, between HR and operations. These conflicts reflect genuine tradeoffs between legitimate organizational priorities, not failures of cooperation.</w:t>
      </w:r>
    </w:p>
    <w:p w14:paraId="1F0D1BA6" w14:textId="0449B3D0" w:rsidR="00F84219" w:rsidRPr="00F84219" w:rsidRDefault="00F84219" w:rsidP="00F84219">
      <w:r w:rsidRPr="00F84219">
        <w:t>Such conflicts cannot be resolved through moral appeals or better communication. They require formal authority structures and decision-making processes that can adjudicate between competing goals. The tradeoff between customer satisfaction and operational efficiency is real. Innovation fights financial stability; speed erodes quality. Pretending these tensions dissolve in goodwill just ensures they get resolved by default, through political maneuvering or sheer exhaustion. Persuasive people get their projects funded; persistent people outlast their opponents; the rest just give in. Actual priorities get determined by accident, not intention.</w:t>
      </w:r>
    </w:p>
    <w:p w14:paraId="40B8C177" w14:textId="581B81A8" w:rsidR="00E25CED" w:rsidRDefault="00E25CED" w:rsidP="00237443">
      <w:r>
        <w:t xml:space="preserve">Consistent learning becomes </w:t>
      </w:r>
      <w:r w:rsidR="00F84219">
        <w:t xml:space="preserve">virtually </w:t>
      </w:r>
      <w:r>
        <w:t xml:space="preserve">impossible too. </w:t>
      </w:r>
      <w:r w:rsidR="00237443" w:rsidRPr="00237443">
        <w:t>When there are no clear records of who decided what and why, no one can determine what went wrong when problems appear.</w:t>
      </w:r>
      <w:r w:rsidR="00237443">
        <w:t xml:space="preserve"> </w:t>
      </w:r>
      <w:r>
        <w:t>The organization cannot learn from mistakes because it has no way to reconstruct what decisions produced which consequences.</w:t>
      </w:r>
    </w:p>
    <w:p w14:paraId="0AE2C1A8" w14:textId="77777777" w:rsidR="00E25CED" w:rsidRDefault="00E25CED">
      <w:r>
        <w:t>The alternative is not eliminating the need for goodwill and cooperation. It is making them practical at scale through formal systems that provide shared information, standard processes, and clear authority.</w:t>
      </w:r>
    </w:p>
    <w:p w14:paraId="382C1230" w14:textId="589229DB" w:rsidR="00E25CED" w:rsidRDefault="00E25CED">
      <w:r>
        <w:t xml:space="preserve">But here is what those formal systems cannot do: they cannot create the initial desire to cooperate. What they can do is channel that desire into productive action. The question is whether an organization's design makes cooperation easy or hard, cheap or expensive, rewarding or punishing. Systems that leave coordination to goodwill make it unnecessarily difficult for people who genuinely want to work together to </w:t>
      </w:r>
      <w:r w:rsidR="00F84219">
        <w:t>do</w:t>
      </w:r>
      <w:r>
        <w:t xml:space="preserve"> so.</w:t>
      </w:r>
    </w:p>
    <w:p w14:paraId="0DC29235" w14:textId="77777777" w:rsidR="00E25CED" w:rsidRDefault="00E25CED">
      <w:pPr>
        <w:pStyle w:val="Heading3"/>
      </w:pPr>
      <w:bookmarkStart w:id="27" w:name="_Toc227410661"/>
      <w:r>
        <w:t>Intentions Without Enforcement</w:t>
      </w:r>
      <w:bookmarkEnd w:id="27"/>
    </w:p>
    <w:p w14:paraId="2903B001" w14:textId="77777777" w:rsidR="009F4B40" w:rsidRPr="009F4B40" w:rsidRDefault="009F4B40" w:rsidP="009F4B40">
      <w:r w:rsidRPr="009F4B40">
        <w:t>Even well-designed coordination systems run into a separate problem: stated rules do not, on their own, produce rule-following behavior. The illusion that they do operates in mission statements that proclaim values without creating incentives to uphold them, and in regulations that prohibit behavior without detecting or punishing violations.</w:t>
      </w:r>
    </w:p>
    <w:p w14:paraId="2D32FC48" w14:textId="0F440535" w:rsidR="009F4B40" w:rsidRPr="009F4B40" w:rsidRDefault="009F4B40" w:rsidP="009F4B40">
      <w:r w:rsidRPr="009F4B40">
        <w:t xml:space="preserve">The illusion persists because it aligns with appealing beliefs about human nature. People prefer to think of themselves as fair, cooperative, and rule-following, and most are willing to behave that way when nothing much is at stake. But humans are also self-interested. That is not a flaw to be argued around; </w:t>
      </w:r>
      <w:r w:rsidR="00AB3C02" w:rsidRPr="00AB3C02">
        <w:t xml:space="preserve">it is how </w:t>
      </w:r>
      <w:r w:rsidR="00AB3C02">
        <w:t>we</w:t>
      </w:r>
      <w:r w:rsidR="00AB3C02" w:rsidRPr="00AB3C02">
        <w:t xml:space="preserve"> are built</w:t>
      </w:r>
      <w:r w:rsidRPr="009F4B40">
        <w:t>. Even when stated values are sincere, they often run into immediate incentives that pull the other way, and when the two conflict, immediate incentives usually win.</w:t>
      </w:r>
    </w:p>
    <w:p w14:paraId="50666090" w14:textId="5F0557E9" w:rsidR="00F74A86" w:rsidRPr="00F74A86" w:rsidRDefault="00F74A86" w:rsidP="00F74A86">
      <w:r>
        <w:t>Colleagues</w:t>
      </w:r>
      <w:r w:rsidRPr="00F74A86">
        <w:t xml:space="preserve"> value honesty, but they lie when telling the truth is too costly. Employees value teamwork, </w:t>
      </w:r>
      <w:r>
        <w:t>but</w:t>
      </w:r>
      <w:r w:rsidRPr="00F74A86">
        <w:t xml:space="preserve"> focus on individual performance when promotions reward individual metrics. Students want to learn, but cheat when grades matter more than understanding, and detection is unlikely. The conflict is not between good people and bad people; it is between sincere intentions, and the actual incentives people face in specific situations.</w:t>
      </w:r>
    </w:p>
    <w:p w14:paraId="531BC40F" w14:textId="77777777" w:rsidR="00AB3C02" w:rsidRPr="00AB3C02" w:rsidRDefault="00AB3C02" w:rsidP="00AB3C02">
      <w:r w:rsidRPr="00AB3C02">
        <w:t>The conflict sharpens when benefits are delayed, uncertain, or shared while costs are immediate, certain, and individual. An employee who reports violations faces near-certain retaliation for a diffuse collective benefit that may never materialize. A politician who acknowledges tradeoffs faces electoral risk with no guaranteed payoff. An educator who pushes back against institutional drift faces immediate professional friction for reforms that may take years.</w:t>
      </w:r>
    </w:p>
    <w:p w14:paraId="650194B8" w14:textId="50F92501" w:rsidR="00E25CED" w:rsidRDefault="00E25CED">
      <w:r>
        <w:t>Without enforcement mechanisms that make rule-following less immediately costly than rule-breaking, statements of values and intentions become exercises in wishful thinking. They describe what the organization aspires to be without changing any of the conditions that determine how its people behave.</w:t>
      </w:r>
    </w:p>
    <w:p w14:paraId="1DF95BFA" w14:textId="77777777" w:rsidR="00AB3C02" w:rsidRPr="00AB3C02" w:rsidRDefault="00AB3C02" w:rsidP="00AB3C02">
      <w:r w:rsidRPr="00AB3C02">
        <w:t>Stated intentions without enforcement also breed institutionalized unfairness that gradually undermines voluntary compliance. The honest taxpayer pays more than the tax evader. In workplaces and civic life, this unfairness eventually produces a rational recalculation: conscientious people watch rule-breakers succeed, decide that playing by the rules is costing them more than it's worth, and quietly stop. The erosion is slow, visible, and in principle reversible. An organization that begins enforcing its rules can rebuild compliance over time. So can a community.</w:t>
      </w:r>
    </w:p>
    <w:p w14:paraId="44B30EB1" w14:textId="38B0AA43" w:rsidR="00F506E0" w:rsidRPr="00F506E0" w:rsidRDefault="00F506E0" w:rsidP="00F506E0">
      <w:r w:rsidRPr="00F506E0">
        <w:t xml:space="preserve">The dynamic takes root in the classroom, where it operates faster and cuts deeper. When a teacher establishes rules but the institution does not support enforcement, or actively discourages it, students register the gap immediately. The student who disrupts class without consequence has taught every other student in the room that the stated rules are decorative. But unlike the adult employee making a calculated adjustment, many of these students lack the cognitive and emotional maturity to articulate that the implicit contract between authority and order has been broken. They feel it—something is wrong, the space is not safe. And that feeling has nowhere productive to go. For many students, it surfaces as acting out, withdrawal, or hostility that looks like a behavior problem but is </w:t>
      </w:r>
      <w:r w:rsidR="00F74A86">
        <w:t>a rational</w:t>
      </w:r>
      <w:r w:rsidRPr="00F506E0">
        <w:t xml:space="preserve"> response to an environment that has stopped making sense.</w:t>
      </w:r>
    </w:p>
    <w:p w14:paraId="3544F4A5" w14:textId="09E11D53" w:rsidR="00EA0C61" w:rsidRPr="00EA0C61" w:rsidRDefault="00E25CED" w:rsidP="00F74A86">
      <w:r>
        <w:t xml:space="preserve">The acting out is visible. The deeper cost is not. </w:t>
      </w:r>
      <w:r w:rsidR="00F74A86" w:rsidRPr="00F74A86">
        <w:t xml:space="preserve">Students in these environments are learning a lesson about how institutions work. It is not the lesson anyone </w:t>
      </w:r>
      <w:r w:rsidR="00F74A86">
        <w:t>wanted them to learn</w:t>
      </w:r>
      <w:r w:rsidR="00F74A86" w:rsidRPr="00F74A86">
        <w:t>.</w:t>
      </w:r>
      <w:r w:rsidR="00F74A86">
        <w:t xml:space="preserve"> </w:t>
      </w:r>
      <w:r>
        <w:t xml:space="preserve">The cost here is not just lost productivity in the classroom. It is developmental. Students are learning that </w:t>
      </w:r>
      <w:r w:rsidR="004D0108" w:rsidRPr="004D0108">
        <w:t>rules do not actually govern behavior</w:t>
      </w:r>
      <w:r>
        <w:t>, that the loudest or most disruptive person sets the terms. And because they are learning this during the years when their understanding of how systems function is still forming, the lesson is not easily unlearned.</w:t>
      </w:r>
      <w:r>
        <w:rPr>
          <w:rStyle w:val="EndnoteReference"/>
        </w:rPr>
        <w:endnoteReference w:id="31"/>
      </w:r>
      <w:r>
        <w:t xml:space="preserve"> The adult employee who watches a colleague cut corners loses morale. </w:t>
      </w:r>
      <w:r w:rsidR="00EA0C61" w:rsidRPr="00EA0C61">
        <w:t xml:space="preserve">The student who watches a classroom lose its structure loses </w:t>
      </w:r>
      <w:r w:rsidR="00EA0C61">
        <w:t>one of the few</w:t>
      </w:r>
      <w:r w:rsidR="00EA0C61" w:rsidRPr="00EA0C61">
        <w:t xml:space="preserve"> chance</w:t>
      </w:r>
      <w:r w:rsidR="00EA0C61">
        <w:t>s</w:t>
      </w:r>
      <w:r w:rsidR="00EA0C61" w:rsidRPr="00EA0C61">
        <w:t xml:space="preserve"> she </w:t>
      </w:r>
      <w:r w:rsidR="00EA0C61">
        <w:t>will have</w:t>
      </w:r>
      <w:r w:rsidR="00EA0C61" w:rsidRPr="00EA0C61">
        <w:t xml:space="preserve"> to see one functioning at all.</w:t>
      </w:r>
    </w:p>
    <w:p w14:paraId="6262A6F1" w14:textId="77777777" w:rsidR="00445D68" w:rsidRPr="00445D68" w:rsidRDefault="00445D68" w:rsidP="00445D68">
      <w:r w:rsidRPr="00445D68">
        <w:t>This matters beyond the classroom. Every institution a young person will later encounter operates on the assumption that adults entering it have already learned to treat rules as consequential. If a generation learns instead during its formative years that rules describe aspirations and enforcement is optional, that lesson travels with them. Organizational reversibility still holds in principle, but the population these institutions now operate on has changed. The design failure here is upstream of both teachers and students, who are responding rationally to a system that does not back its own rules. The downstream cost is not only paid inside the classroom. It is paid inside every workplace, institution, and relationship that student will later enter as an adult. Each of them will need her to take rules seriously. Her schooling never taught her how.</w:t>
      </w:r>
    </w:p>
    <w:p w14:paraId="4BBD54EE" w14:textId="75CCFFA2" w:rsidR="00F506E0" w:rsidRPr="00F506E0" w:rsidRDefault="00F506E0" w:rsidP="00F506E0">
      <w:r w:rsidRPr="00F506E0">
        <w:t xml:space="preserve">The organization inherits what the classroom produced, and the erosion now operates at a scale no single institution </w:t>
      </w:r>
      <w:r w:rsidR="001F403F">
        <w:t>can contain</w:t>
      </w:r>
      <w:r w:rsidRPr="00F506E0">
        <w:t>. The erosion creates a trap: like the classroom, the organization needs enforcement, but implementing enforcement feels like admitting moral failure. If we truly valued the right things and hired the right people, we would not need monitoring, detection, and punishment. The presence of enforcement seems to signal distrust or cynicism about human nature. So the organization keeps relying on stated values, the unfairness intensifies, and voluntary compliance continues eroding.</w:t>
      </w:r>
    </w:p>
    <w:p w14:paraId="61E02E84" w14:textId="6E4D1D77" w:rsidR="00E25CED" w:rsidRDefault="00E25CED">
      <w:r>
        <w:t xml:space="preserve">What enforcement actually does, when properly designed, is align immediate individual incentives with long-term </w:t>
      </w:r>
      <w:r w:rsidR="001F403F">
        <w:t>organizational</w:t>
      </w:r>
      <w:r>
        <w:t xml:space="preserve"> interests. It removes the competitive disadvantage of good behavior by ensuring that rule-breaking is detected and carries consequences. In an environment where everyone knows that violations are caught and punished, following the rules becomes strategically rational even for people tempted to break them. This makes stated values practical, not merely aspirational.</w:t>
      </w:r>
    </w:p>
    <w:p w14:paraId="7065760F" w14:textId="77777777" w:rsidR="00E25CED" w:rsidRDefault="00E25CED">
      <w:r>
        <w:t>Think of it this way: when a company creates clear monitoring systems, consistent consequences, and fair processes, it does something generous for people trying to behave well. It removes the penalty they would otherwise pay for their integrity. The most compassionate approach is not assuming everyone will voluntarily behave well. It is creating conditions that make good behavior sustainable.</w:t>
      </w:r>
    </w:p>
    <w:p w14:paraId="7F6F242B" w14:textId="77777777" w:rsidR="00E25CED" w:rsidRDefault="00E25CED">
      <w:pPr>
        <w:pStyle w:val="Heading3"/>
      </w:pPr>
      <w:bookmarkStart w:id="28" w:name="_Toc227410662"/>
      <w:r>
        <w:t>Responsibility Dissolves</w:t>
      </w:r>
      <w:bookmarkEnd w:id="28"/>
    </w:p>
    <w:p w14:paraId="65CB763D" w14:textId="3BF1D405" w:rsidR="00E25CED" w:rsidRDefault="002948B6">
      <w:r w:rsidRPr="002948B6">
        <w:t>Visit any large institution producing disappointing outcomes and you will find the same pattern</w:t>
      </w:r>
      <w:r w:rsidR="00E25CED">
        <w:t>. Ask who is responsible for results. You will find that responsibility has been distributed so thoroughly that accountability has evaporated. The patient blames the nurse, the nurse blames the doctor, the doctor blames the administrators, the administrators blame the insurers, the insurers blame policymakers, and policymakers blame local implementation.</w:t>
      </w:r>
    </w:p>
    <w:p w14:paraId="4983DC4C" w14:textId="77777777" w:rsidR="00E25CED" w:rsidRDefault="00E25CED">
      <w:r>
        <w:t>Distributing responsibility feels natural, even fair. Complex outcomes depend on many people making many decisions under many constraints. Holding any single person fully accountable seems unreasonable when so many factors lie beyond their control. But distributing responsibility across many people does not preserve accountability—it eliminates it. When everyone is responsible, no one is responsible.</w:t>
      </w:r>
    </w:p>
    <w:p w14:paraId="62A73D27" w14:textId="77777777" w:rsidR="00E25CED" w:rsidRDefault="00E25CED">
      <w:r>
        <w:t>In its place comes the illusion of accountability, ensuring that failure triggers blame-shifting instead of problem-solving. Everyone in the chain can accurately point to real constraints they face, real decisions made by others, real factors they cannot change. All these claims can be simultaneously true while the system as a whole produces terrible results.</w:t>
      </w:r>
    </w:p>
    <w:p w14:paraId="44E1F070" w14:textId="77777777" w:rsidR="00E25CED" w:rsidRDefault="00E25CED">
      <w:r>
        <w:t>Learning collapses along with accountability. When authority and consequence are separated, when the people making decisions do not bear the results of those decisions, and the people bearing the results lack authority to change them, there is no strong incentive for anyone to identify problems, experiment with solutions, or make difficult changes. The same separation makes it impossible to learn from success, since good outcomes get attributed to luck or favorable circumstances, not to specific decisions that could be replicated.</w:t>
      </w:r>
    </w:p>
    <w:p w14:paraId="2AD1C86A" w14:textId="6DB14AAD" w:rsidR="00E25CED" w:rsidRDefault="00E25CED">
      <w:r>
        <w:t xml:space="preserve">Separating authority from consequence tilts decisions toward short-term comfort and long-term damage. The healthcare executive who cuts costs by reducing follow-up care may move to another organization before readmission rates spike. The executive who cuts </w:t>
      </w:r>
      <w:r w:rsidR="002948B6">
        <w:t>research and development (R&amp;D)</w:t>
      </w:r>
      <w:r>
        <w:t xml:space="preserve"> spending to boost quarterly earnings may be promoted before the product pipeline dries up. The decision-makers do not experience the consequences; the people experiencing the consequences did not make the decisions.</w:t>
      </w:r>
    </w:p>
    <w:p w14:paraId="4D02482C" w14:textId="68B50E98" w:rsidR="00E25CED" w:rsidRDefault="00E25CED">
      <w:r>
        <w:t xml:space="preserve">Arguably the most insidious effect is how dissolved responsibility transforms institutional failure from a learning opportunity into an occasion for moral theater. When something goes wrong, the response is not </w:t>
      </w:r>
      <w:r w:rsidR="00463E2E">
        <w:t>"</w:t>
      </w:r>
      <w:r>
        <w:t>what specific decision by what specific person produced this outcome, and what authority do they have to do something different?</w:t>
      </w:r>
      <w:r w:rsidR="00463E2E">
        <w:t>"</w:t>
      </w:r>
      <w:r>
        <w:t xml:space="preserve"> The response is </w:t>
      </w:r>
      <w:r w:rsidR="00463E2E">
        <w:t>"</w:t>
      </w:r>
      <w:r>
        <w:t>who failed to care enough, communicate enough, or try hard enough?</w:t>
      </w:r>
      <w:r w:rsidR="00463E2E">
        <w:t>"</w:t>
      </w:r>
      <w:r>
        <w:t xml:space="preserve"> The ensuing conversations generate expressions of renewed commitment, promises to do better, and calls for everyone to work together, none of which address the structural problems that produced the failure.</w:t>
      </w:r>
    </w:p>
    <w:p w14:paraId="6B97ACA1" w14:textId="0FA0F853" w:rsidR="00E25CED" w:rsidRDefault="00E25CED">
      <w:r>
        <w:t xml:space="preserve">What would accountability require? Not the ceremonial kind, where everyone pledges renewed commitment after each failure. Real accountability requires someone with sufficient authority, information, and incentive to identify problems and make changes, </w:t>
      </w:r>
      <w:r w:rsidR="002948B6">
        <w:t xml:space="preserve">and </w:t>
      </w:r>
      <w:r>
        <w:t>who actually bears the consequences of whether those changes work. It means making responsibility singular, not because only one person contributes to outcomes, but because improvement demands someone with clear authority to act and clear consequences that force them to learn from results.</w:t>
      </w:r>
    </w:p>
    <w:p w14:paraId="34C684DD" w14:textId="77777777" w:rsidR="00E25CED" w:rsidRDefault="00E25CED">
      <w:r>
        <w:t>Many people contribute to student outcomes, but if a principal has clear authority over curriculum, hiring, and discipline, and her continued employment depends on whether students learn, she has strong incentives to identify what is not working and try something different. Many people contribute to surgical outcomes, but if a surgical director has clear authority over protocols, scheduling, and staffing, and his reputation depends on infection rates and recovery times, he has strong incentives to experiment and improve.</w:t>
      </w:r>
    </w:p>
    <w:p w14:paraId="3EE3ED2C" w14:textId="77777777" w:rsidR="00E25CED" w:rsidRDefault="00E25CED">
      <w:r>
        <w:t>None of this means pretending individuals control everything. It means identifying who has the most authority over the most important decisions and ensuring that person cannot escape the consequences of whether those decisions produce results. One person cannot solve every problem, but one person with clear authority and inescapable consequences can make the institution significantly better. Diffused responsibility prevents exactly that.</w:t>
      </w:r>
    </w:p>
    <w:p w14:paraId="490E977C" w14:textId="727BB744" w:rsidR="00E25CED" w:rsidRDefault="00E25CED">
      <w:pPr>
        <w:pStyle w:val="Heading3"/>
      </w:pPr>
      <w:bookmarkStart w:id="29" w:name="_Toc227410663"/>
      <w:r>
        <w:t xml:space="preserve">What Would Have to </w:t>
      </w:r>
      <w:r w:rsidR="005A5779">
        <w:t>B</w:t>
      </w:r>
      <w:r>
        <w:t>e True</w:t>
      </w:r>
      <w:bookmarkEnd w:id="29"/>
    </w:p>
    <w:p w14:paraId="4FD65C78" w14:textId="77777777" w:rsidR="00E25CED" w:rsidRDefault="00E25CED">
      <w:r>
        <w:t>There is a simple reason that good intentions are not a system: they cannot create the coordination mechanisms, enforcement structures, and accountability frameworks that make good outcomes possible at scale. Goodwill sustains cooperation in small groups with strong social ties. But scale, anonymity, and time delays destroy the feedback loops that make goodwill sustainable. Shared goals motivate action but do not coordinate it. Stated values express ideals but do not enforce them. Distributed responsibility feels fair but eliminates accountability.</w:t>
      </w:r>
    </w:p>
    <w:p w14:paraId="6DA63B10" w14:textId="77777777" w:rsidR="00E25CED" w:rsidRDefault="00E25CED">
      <w:r>
        <w:t>The pattern that runs through all these failures is the same: the assumption that wanting good outcomes is the same as creating conditions that produce them.</w:t>
      </w:r>
    </w:p>
    <w:p w14:paraId="1D34BBFE" w14:textId="2D634F09" w:rsidR="00E25CED" w:rsidRDefault="00E25CED">
      <w:r>
        <w:t>None of this requires assuming that people are selfish, lazy, or incapable of moral motivation. The most compassionate approach to institutional design is the one that helps people by creating systems that make it easier, not harder, for well-intentioned people to produce the outcomes everyone claims to want.</w:t>
      </w:r>
    </w:p>
    <w:p w14:paraId="0B1CB766" w14:textId="77777777" w:rsidR="00E25CED" w:rsidRDefault="00E25CED">
      <w:r>
        <w:t>The same pattern shapes how we design public policy. If good intentions feel sufficient for organizations, they feel even more sufficient when the stakes are moral and the beneficiaries sympathetic. The instinct to ask what might go wrong (what adaptations people might make, what consequences might follow) gets treated not as prudent analysis but as opposition to helping people. And so policies get designed the same way organizations get managed: with confident assumptions about intended effects and no serious examination of likely ones.</w:t>
      </w:r>
    </w:p>
    <w:p w14:paraId="67B47967" w14:textId="77777777" w:rsidR="00E25CED" w:rsidRDefault="00E25CED">
      <w:r>
        <w:t>The distinction between intention and mechanism suggests a practical test, one that can be applied to any proposal, program, or plan before resources get committed.</w:t>
      </w:r>
    </w:p>
    <w:p w14:paraId="11A24AD9" w14:textId="77777777" w:rsidR="00E25CED" w:rsidRDefault="00E25CED">
      <w:r>
        <w:t xml:space="preserve">Ask what would have to be true about human behavior for this approach to work. Not what the designers hope will be true. What would </w:t>
      </w:r>
      <w:r>
        <w:rPr>
          <w:i/>
          <w:iCs/>
        </w:rPr>
        <w:t>have</w:t>
      </w:r>
      <w:r>
        <w:t xml:space="preserve"> to be true. The after-school program assumes parents will consistently arrange transportation. The compliance system assumes employees will report their own violations. The community initiative assumes volunteers will sustain effort without recognition or compensation for years. Each assumption is a load-bearing wall. If it fails, the structure fails with it.</w:t>
      </w:r>
    </w:p>
    <w:p w14:paraId="1A1E25ED" w14:textId="77777777" w:rsidR="00E25CED" w:rsidRDefault="00E25CED">
      <w:r>
        <w:t xml:space="preserve">Then ask whether the proposal has specific mechanisms for each critical function or whether it relies on people simply doing the right thing. A genuine solution identifies specific obstacles and designs specific structures to address them. An attractive fantasy acknowledges obstacles exist but treats them as details that will be worked out during implementation. The difference is visible in the language: genuine solutions use words like </w:t>
      </w:r>
      <w:r>
        <w:rPr>
          <w:i/>
          <w:iCs/>
        </w:rPr>
        <w:t>who</w:t>
      </w:r>
      <w:r>
        <w:t xml:space="preserve">, </w:t>
      </w:r>
      <w:r>
        <w:rPr>
          <w:i/>
          <w:iCs/>
        </w:rPr>
        <w:t>when</w:t>
      </w:r>
      <w:r>
        <w:t xml:space="preserve">, </w:t>
      </w:r>
      <w:r>
        <w:rPr>
          <w:i/>
          <w:iCs/>
        </w:rPr>
        <w:t>how much</w:t>
      </w:r>
      <w:r>
        <w:t xml:space="preserve">, and </w:t>
      </w:r>
      <w:r>
        <w:rPr>
          <w:i/>
          <w:iCs/>
        </w:rPr>
        <w:t>what happens if</w:t>
      </w:r>
      <w:r>
        <w:t xml:space="preserve">. Attractive fantasies use words like </w:t>
      </w:r>
      <w:r>
        <w:rPr>
          <w:i/>
          <w:iCs/>
        </w:rPr>
        <w:t>hopefully</w:t>
      </w:r>
      <w:r>
        <w:t xml:space="preserve">, </w:t>
      </w:r>
      <w:r>
        <w:rPr>
          <w:i/>
          <w:iCs/>
        </w:rPr>
        <w:t>should</w:t>
      </w:r>
      <w:r>
        <w:t xml:space="preserve">, </w:t>
      </w:r>
      <w:r>
        <w:rPr>
          <w:i/>
          <w:iCs/>
        </w:rPr>
        <w:t>ideally</w:t>
      </w:r>
      <w:r>
        <w:t xml:space="preserve">, and </w:t>
      </w:r>
      <w:r>
        <w:rPr>
          <w:i/>
          <w:iCs/>
        </w:rPr>
        <w:t>eventually</w:t>
      </w:r>
      <w:r>
        <w:t>.</w:t>
      </w:r>
    </w:p>
    <w:p w14:paraId="11A1A654" w14:textId="77777777" w:rsidR="00E25CED" w:rsidRDefault="00E25CED">
      <w:r>
        <w:t>The test is not whether a plan is optimistic. Ambition requires optimism. The test is whether the plan's optimism is located in its goals or in its mechanisms. Optimistic goals with realistic mechanisms produce imperfect but genuine progress. Realistic goals with optimistic mechanisms produce elegant plans that collapse on contact with human behavior.</w:t>
      </w:r>
    </w:p>
    <w:p w14:paraId="0176A4F5" w14:textId="155DAA09" w:rsidR="00E25CED" w:rsidRDefault="00E25CED">
      <w:r>
        <w:t>One additional marker separates proposals that will work from those that will not: how they handle the question of what happens when things go wrong. Every plan encounters problems. Genuine solutions specify what feedback will look like, who will notice it, what authority they have to adjust course, and what adjustment options exist. Attractive fantasies treat problems as evidence that the plan was not implemented with sufficient enthusiasm or commitment and prescribe more of the same as the remedy.</w:t>
      </w:r>
    </w:p>
    <w:p w14:paraId="3FA30692" w14:textId="77777777" w:rsidR="00E25CED" w:rsidRDefault="00E25CED">
      <w:pPr>
        <w:sectPr w:rsidR="00E25CED" w:rsidSect="00E25CED">
          <w:footerReference w:type="default" r:id="rId23"/>
          <w:footerReference w:type="first" r:id="rId24"/>
          <w:endnotePr>
            <w:numFmt w:val="decimal"/>
          </w:endnotePr>
          <w:pgSz w:w="12240" w:h="15840"/>
          <w:pgMar w:top="1440" w:right="1440" w:bottom="1440" w:left="1440" w:header="0" w:footer="720" w:gutter="0"/>
          <w:cols w:space="720"/>
          <w:formProt w:val="0"/>
          <w:docGrid w:linePitch="100"/>
        </w:sectPr>
      </w:pPr>
      <w:r>
        <w:t xml:space="preserve">The difference between a system and a wish is that a system has already answered the question: </w:t>
      </w:r>
      <w:r>
        <w:rPr>
          <w:i/>
          <w:iCs/>
        </w:rPr>
        <w:t>What happens when people don't do what we hoped they would?</w:t>
      </w:r>
    </w:p>
    <w:p w14:paraId="6C3FF863" w14:textId="77777777" w:rsidR="00E25CED" w:rsidRDefault="00E25CED">
      <w:pPr>
        <w:pStyle w:val="Heading2"/>
      </w:pPr>
      <w:bookmarkStart w:id="30" w:name="_Toc227410664"/>
      <w:r>
        <w:t>The Fantasy of Consequence-Free Policy</w:t>
      </w:r>
      <w:bookmarkEnd w:id="30"/>
    </w:p>
    <w:p w14:paraId="6D28E21A" w14:textId="77777777" w:rsidR="00E25CED" w:rsidRDefault="00E25CED">
      <w:r>
        <w:t>In 1965, Daniel Patrick Moynihan, a mid-level Labor Department official, wrote an internal report documenting a trend he believed would deepen poverty in black communities if left unaddressed: the rapid rise of single-parent households and its correlation with unemployment, educational failure, and welfare dependency. The data was straightforward. The projections were cautious. The report was intended to inform policy, not to become policy itself.</w:t>
      </w:r>
    </w:p>
    <w:p w14:paraId="5476EE43" w14:textId="77777777" w:rsidR="00E25CED" w:rsidRDefault="00E25CED">
      <w:r>
        <w:t>It became something else entirely. Civil rights leaders accused Moynihan of blaming black families for systemic racism. Academics called the report a sophisticated form of victim-blaming. The criticism wasn't primarily about whether Moynihan's numbers were accurate. Most of it never engaged the data at all. The charge was that raising the subject revealed something about Moynihan's values, his motives, and his understanding of race in America. The analysis became a character test, and Moynihan failed it.</w:t>
      </w:r>
      <w:r>
        <w:rPr>
          <w:rStyle w:val="EndnoteReference"/>
        </w:rPr>
        <w:endnoteReference w:id="32"/>
      </w:r>
    </w:p>
    <w:p w14:paraId="1CDD425E" w14:textId="77777777" w:rsidR="00767630" w:rsidRDefault="00E25CED">
      <w:r>
        <w:t>How much of that reaction was genuine moral conviction and how much was political positioning is a question historians still debate. What isn't debatable is the effect</w:t>
      </w:r>
      <w:r w:rsidR="00767630">
        <w:t>.</w:t>
      </w:r>
    </w:p>
    <w:p w14:paraId="76A79A76" w14:textId="4E0B0A73" w:rsidR="007029B6" w:rsidRPr="007029B6" w:rsidRDefault="00C04EB4" w:rsidP="007029B6">
      <w:r w:rsidRPr="00C04EB4">
        <w:t>For about two decades</w:t>
      </w:r>
      <w:r>
        <w:t xml:space="preserve">, </w:t>
      </w:r>
      <w:r w:rsidR="007029B6" w:rsidRPr="007029B6">
        <w:t>mainstream social science avoided studying the relationship between family structure and poverty.</w:t>
      </w:r>
      <w:r>
        <w:rPr>
          <w:rStyle w:val="EndnoteReference"/>
        </w:rPr>
        <w:endnoteReference w:id="33"/>
      </w:r>
      <w:r w:rsidR="007029B6" w:rsidRPr="007029B6">
        <w:t xml:space="preserve"> Researchers who might have built on Moynihan's work had watched what happened to him and chose other topics. The political cost of asking his question had been made vivid enough that an entire field steered around it, and the lesson stuck. When the topic resurfaced in the 1980s through scholars like William Julius Wilson, whose politics were harder to dismiss,</w:t>
      </w:r>
      <w:r w:rsidR="007029B6">
        <w:rPr>
          <w:rStyle w:val="EndnoteReference"/>
        </w:rPr>
        <w:endnoteReference w:id="34"/>
      </w:r>
      <w:r w:rsidR="007029B6" w:rsidRPr="007029B6">
        <w:t xml:space="preserve"> the trend Moynihan had identified hadn't just continued. </w:t>
      </w:r>
      <w:r w:rsidR="00B842A5">
        <w:t>It</w:t>
      </w:r>
      <w:r w:rsidR="007029B6" w:rsidRPr="007029B6">
        <w:t xml:space="preserve"> had accelerated</w:t>
      </w:r>
      <w:r w:rsidR="00B842A5">
        <w:t>,</w:t>
      </w:r>
      <w:r w:rsidR="007029B6" w:rsidRPr="007029B6">
        <w:t xml:space="preserve"> precisely as he'd warned they would,</w:t>
      </w:r>
      <w:r w:rsidR="007029B6">
        <w:rPr>
          <w:rStyle w:val="EndnoteReference"/>
        </w:rPr>
        <w:endnoteReference w:id="35"/>
      </w:r>
      <w:r w:rsidR="007029B6" w:rsidRPr="007029B6">
        <w:t xml:space="preserve"> through two decades when nobody in a position to design better policy was allowed to say so. The pattern did not end with Moynihan. Researchers who have asked similar questions in the decades since have met similar fates,</w:t>
      </w:r>
      <w:r w:rsidR="007029B6">
        <w:rPr>
          <w:rStyle w:val="EndnoteReference"/>
        </w:rPr>
        <w:endnoteReference w:id="36"/>
      </w:r>
      <w:r w:rsidR="007029B6" w:rsidRPr="007029B6">
        <w:t xml:space="preserve"> and each episode has reinforced the lesson the profession learned the first time.</w:t>
      </w:r>
    </w:p>
    <w:p w14:paraId="4FA5B18F" w14:textId="77777777" w:rsidR="00E25CED" w:rsidRDefault="00E25CED">
      <w:r>
        <w:t>The people who paid for that silence were not Moynihan, who went on to serve four terms in the Senate as a New York Democrat, and not his critics, whose careers suffered nothing from the controversy. The people who paid were the families living inside the trends that nobody was permitted to study honestly, the ones whose problems went unaddressed not because the evidence was missing but because discussing the evidence had been made professionally radioactive.</w:t>
      </w:r>
    </w:p>
    <w:p w14:paraId="225CFC28" w14:textId="34BB9E5C" w:rsidR="00D30CF7" w:rsidRDefault="00E25CED" w:rsidP="00AB0AE8">
      <w:r>
        <w:t>This chapter is about that cost. Not the cost of getting policy wrong, but the cost of making it dangerous to ask whether a policy might go wrong at all.</w:t>
      </w:r>
      <w:r w:rsidR="001A21FB">
        <w:t xml:space="preserve"> </w:t>
      </w:r>
      <w:r w:rsidR="00AB0AE8" w:rsidRPr="00AB0AE8">
        <w:t>A year after the Moynihan Report, the Coleman Report found that school resources explained less of the variance in student achievement than family and peer effects.</w:t>
      </w:r>
      <w:r w:rsidR="00AB0AE8">
        <w:rPr>
          <w:rStyle w:val="EndnoteReference"/>
        </w:rPr>
        <w:endnoteReference w:id="37"/>
      </w:r>
      <w:r w:rsidR="00AB0AE8" w:rsidRPr="00AB0AE8">
        <w:t xml:space="preserve"> The finding was unacceptable to the education establishment, and the report suffered the same treatment.</w:t>
      </w:r>
      <w:r w:rsidR="001F3FED">
        <w:rPr>
          <w:rStyle w:val="EndnoteReference"/>
        </w:rPr>
        <w:endnoteReference w:id="38"/>
      </w:r>
    </w:p>
    <w:p w14:paraId="7F38C680" w14:textId="15596AA5" w:rsidR="00AB0AE8" w:rsidRPr="00AB0AE8" w:rsidRDefault="00AB0AE8" w:rsidP="00AB0AE8">
      <w:r w:rsidRPr="00AB0AE8">
        <w:t>We have developed a cultural expectation that good policies should work exactly as intended, that unintended consequences represent implementation failures rather than predictable features of complex systems, and that raising the possibility of failure constitutes opposition to helping people. The expectation is not random. It serves a function. Policy discussions that acknowledge potential negative consequences feel pessimistic and obstructionist. Discussions that focus exclusively on intended benefits feel optimistic and constructive. The incentive structure reliably favors unrealistic optimism over realistic analysis, because optimism signals the right values while realism suggests insufficient commitment.</w:t>
      </w:r>
    </w:p>
    <w:p w14:paraId="6BB918C1" w14:textId="77777777" w:rsidR="00E25CED" w:rsidRDefault="00E25CED">
      <w:r>
        <w:t>The result is a chronic blindness to the gap between what policies are supposed to accomplish and what they actually accomplish when they encounter the real world. That blindness operates through four interlocking patterns, each reinforcing the others, each making correction harder.</w:t>
      </w:r>
    </w:p>
    <w:p w14:paraId="36F78D8A" w14:textId="77777777" w:rsidR="00E25CED" w:rsidRDefault="00E25CED">
      <w:pPr>
        <w:pStyle w:val="Heading3"/>
      </w:pPr>
      <w:bookmarkStart w:id="31" w:name="_Toc227410665"/>
      <w:r>
        <w:t>Judging Policies at Launch</w:t>
      </w:r>
      <w:bookmarkEnd w:id="31"/>
    </w:p>
    <w:p w14:paraId="51FDB07D" w14:textId="10FB8906" w:rsidR="00E25CED" w:rsidRDefault="00E25CED" w:rsidP="007A5A71">
      <w:r>
        <w:t xml:space="preserve">What reveals itself most starkly in modern policy evaluation is how quickly we decide whether initiatives are successful or failing. </w:t>
      </w:r>
      <w:r w:rsidR="007A5A71" w:rsidRPr="007A5A71">
        <w:t>Political judgment of policy usually arrives within weeks or months of implementation, driven largely by whether the policy appears to be moving in the right direction rather than by whether it will achieve its stated goals over time</w:t>
      </w:r>
      <w:r>
        <w:t>.</w:t>
      </w:r>
      <w:r w:rsidR="00840CA0">
        <w:rPr>
          <w:rStyle w:val="EndnoteReference"/>
        </w:rPr>
        <w:endnoteReference w:id="39"/>
      </w:r>
      <w:r>
        <w:t xml:space="preserve"> A program that helps some people immediately is declared successful, even when the long-term effects of that help might be counterproductive. An intervention that produces visible activity is praised for its effectiveness, even when that activity does not translate into progress on the problem the policy was designed to solve.</w:t>
      </w:r>
    </w:p>
    <w:p w14:paraId="0C687E96" w14:textId="77777777" w:rsidR="00E25CED" w:rsidRDefault="00E25CED">
      <w:r>
        <w:t>At the heart of this tendency is a confusion between policy outputs and policy outcomes. Outputs are the immediate, visible activities that policies generate: more people receiving services, more money being spent on programs, more regulations being enforced. These outputs are easy to measure, quick to appear, and politically satisfying because they demonstrate that something is being done to address important problems. They provide concrete evidence that policymakers are taking action, not ignoring issues that voters care about.</w:t>
      </w:r>
    </w:p>
    <w:p w14:paraId="1FCCE56F" w14:textId="77777777" w:rsidR="00E25CED" w:rsidRDefault="00E25CED">
      <w:r>
        <w:t>Outcomes tell a different story. Fewer people living in poverty, better educational achievement among disadvantaged students, reduced crime rates in troubled neighborhoods: these are the actual changes policies were designed to produce, and they are difficult to measure, slow to appear, and politically risky because they might not materialize even when policies are working exactly as designed. Measuring them requires patience, sophisticated analysis, and willingness to acknowledge that good intentions do not guarantee good results.</w:t>
      </w:r>
    </w:p>
    <w:p w14:paraId="128A9BDC" w14:textId="660AD97C" w:rsidR="00E25CED" w:rsidRDefault="00E25CED">
      <w:r>
        <w:t>Policies that generate impressive immediate activity draw more support regardless of long-term effectiveness. A job training program that enrolls thousands of participants draws more political support than a program that actually helps participants find better employment, because enrollment numbers arrive in months while employment outcomes take years to measure. Activity is rewarded over achievement, good intentions over good results.</w:t>
      </w:r>
    </w:p>
    <w:p w14:paraId="6A89F3CD" w14:textId="77777777" w:rsidR="00E25CED" w:rsidRDefault="00E25CED">
      <w:bookmarkStart w:id="32" w:name="_heading=h.itbrcf4ea83c"/>
      <w:bookmarkEnd w:id="32"/>
      <w:r>
        <w:t>Consider what happens when policies create immediate benefits for visible constituencies while imposing delayed costs on invisible ones. Rent control produces immediate gratitude from current tenants while reducing housing availability for future ones.</w:t>
      </w:r>
      <w:r>
        <w:rPr>
          <w:rStyle w:val="EndnoteReference"/>
        </w:rPr>
        <w:endnoteReference w:id="40"/>
      </w:r>
      <w:r>
        <w:t xml:space="preserve"> A minimum wage increase wins support from workers who keep their jobs while reducing opportunities for those who would have been hired at lower wages.</w:t>
      </w:r>
      <w:r>
        <w:rPr>
          <w:rStyle w:val="EndnoteReference"/>
        </w:rPr>
        <w:endnoteReference w:id="41"/>
      </w:r>
      <w:r>
        <w:t xml:space="preserve"> In both cases, the immediate beneficiaries are visible and grateful; the people who pay the cost are invisible and voiceless.</w:t>
      </w:r>
    </w:p>
    <w:p w14:paraId="495AF81B" w14:textId="77777777" w:rsidR="00E25CED" w:rsidRDefault="00E25CED">
      <w:r>
        <w:t>Policies that impose immediate costs for long-term benefits face even steeper odds. A politician who proposes cutting spending to reduce long-term debt faces immediate criticism from people who lose benefits, while the future taxpayers who would benefit from lower debt are not around to push back. A school administrator who tightens academic standards faces the same problem: immediate complaints from parents whose children struggle with the new requirements, while the future employers who need better-prepared graduates have no seat at the table.</w:t>
      </w:r>
    </w:p>
    <w:p w14:paraId="41ED0E95" w14:textId="56F89E8D" w:rsidR="00E25CED" w:rsidRDefault="00E25CED">
      <w:r>
        <w:t xml:space="preserve">The bias </w:t>
      </w:r>
      <w:r w:rsidR="0016097A">
        <w:t>favors</w:t>
      </w:r>
      <w:r>
        <w:t xml:space="preserve"> policies that feel good immediately but create problems later, and against policies that require short-term sacrifice for long-term improvement. The political system rewards policymakers who can point to immediate positive results, regardless of whether those results will last or will create larger problems down the road. The evaluation timeframe makes it rational for politicians to support policies that will fail eventually, as long as the failure occurs after the next election cycle.</w:t>
      </w:r>
    </w:p>
    <w:p w14:paraId="3E553DC0" w14:textId="77777777" w:rsidR="00E25CED" w:rsidRDefault="00E25CED">
      <w:r>
        <w:t>Learning from failure becomes nearly impossible under this system because the failures typically become apparent long after the political moment when they could inform better decisions. By the time a policy's negative consequences become undeniable, the people who designed and implemented that policy have moved on to other positions where they can repeat the same mistakes with different programs.</w:t>
      </w:r>
    </w:p>
    <w:p w14:paraId="672EBD7F" w14:textId="28EC80FD" w:rsidR="00E25CED" w:rsidRDefault="00E25CED">
      <w:r>
        <w:t xml:space="preserve">Institutional memory erodes through personnel turnover and political cycles. Each new generation of policymakers inherits less knowledge than the one before, an erosion that makes each cycle's starting point lower than the last. The same approaches that failed in previous decades are tried again with slight modifications, producing the same disappointing results for the same predictable reasons. </w:t>
      </w:r>
      <w:r w:rsidR="008337F3">
        <w:t>Each</w:t>
      </w:r>
      <w:r>
        <w:t xml:space="preserve"> policy experiment is treated as a unique event instead of part of a larger learning process that could inform better decisions.</w:t>
      </w:r>
    </w:p>
    <w:p w14:paraId="0728ADAC" w14:textId="77777777" w:rsidR="00E25CED" w:rsidRDefault="00E25CED">
      <w:pPr>
        <w:pStyle w:val="Heading3"/>
      </w:pPr>
      <w:bookmarkStart w:id="33" w:name="_Toc227410666"/>
      <w:r>
        <w:t>Why Adaptation Looks Like Sabotage</w:t>
      </w:r>
      <w:bookmarkEnd w:id="33"/>
    </w:p>
    <w:p w14:paraId="3E9B4E9D" w14:textId="77777777" w:rsidR="00E25CED" w:rsidRDefault="00E25CED">
      <w:r>
        <w:t>When policies produce different results than their designers intended, the explanation almost never focuses on how the policy changed incentives for the people it was supposed to help. The assumption is that policies would work perfectly if only people responded the way policymakers hoped, not the way they actually do when facing the new costs, benefits, and constraints the policy creates.</w:t>
      </w:r>
    </w:p>
    <w:p w14:paraId="619E505D" w14:textId="4D3D6816" w:rsidR="00E25CED" w:rsidRDefault="00487E95">
      <w:bookmarkStart w:id="34" w:name="_heading=h.odsl7nkwul7i"/>
      <w:bookmarkEnd w:id="34"/>
      <w:r w:rsidRPr="00487E95">
        <w:t>Zero-tolerance discipline offers a clean illustration. When the policies</w:t>
      </w:r>
      <w:r>
        <w:t xml:space="preserve"> produced </w:t>
      </w:r>
      <w:r w:rsidR="00E25CED">
        <w:t>racially disproportionate outcomes,</w:t>
      </w:r>
      <w:r w:rsidR="00E25CED">
        <w:rPr>
          <w:rStyle w:val="EndnoteReference"/>
        </w:rPr>
        <w:endnoteReference w:id="42"/>
      </w:r>
      <w:r w:rsidR="00E25CED">
        <w:t xml:space="preserve"> despite their effectiveness at maintaining classroom order,</w:t>
      </w:r>
      <w:r w:rsidR="00E25CED">
        <w:rPr>
          <w:rStyle w:val="EndnoteReference"/>
        </w:rPr>
        <w:endnoteReference w:id="43"/>
      </w:r>
      <w:r w:rsidR="00E25CED">
        <w:t xml:space="preserve"> the immediate explanation was racially biased enforcement. </w:t>
      </w:r>
      <w:r w:rsidR="00B849C5">
        <w:t>B</w:t>
      </w:r>
      <w:r w:rsidR="00E25CED">
        <w:t>lack students were four times more likely to receive out-of-school suspensions than white students.</w:t>
      </w:r>
      <w:r w:rsidR="006039AF">
        <w:rPr>
          <w:rStyle w:val="EndnoteReference"/>
        </w:rPr>
        <w:endnoteReference w:id="44"/>
      </w:r>
      <w:r w:rsidR="00E25CED">
        <w:t xml:space="preserve"> Fifteen states suspended more than </w:t>
      </w:r>
      <w:r w:rsidR="00B849C5">
        <w:t>15</w:t>
      </w:r>
      <w:r w:rsidR="00E25CED">
        <w:t xml:space="preserve"> percent of their black K–12 population in </w:t>
      </w:r>
      <w:r w:rsidR="003107FE">
        <w:t>the 2013-14 school year</w:t>
      </w:r>
      <w:r w:rsidR="00E25CED">
        <w:t>.</w:t>
      </w:r>
      <w:r w:rsidR="00E25CED">
        <w:rPr>
          <w:rStyle w:val="EndnoteReference"/>
        </w:rPr>
        <w:endnoteReference w:id="45"/>
      </w:r>
      <w:r w:rsidR="00E25CED">
        <w:t xml:space="preserve"> The numbers were stark, and the conclusion felt obvious: the adults applying these policies must be applying them unequally.</w:t>
      </w:r>
    </w:p>
    <w:p w14:paraId="117DDEA6" w14:textId="131CC5EC" w:rsidR="00E25CED" w:rsidRDefault="00E25CED">
      <w:r>
        <w:t>But the research couldn't establish bias as the primary driver.</w:t>
      </w:r>
      <w:r w:rsidR="00567876">
        <w:rPr>
          <w:rStyle w:val="EndnoteReference"/>
        </w:rPr>
        <w:endnoteReference w:id="46"/>
      </w:r>
      <w:r>
        <w:t xml:space="preserve"> What it consistently showed was that poor students, regardless of race, were suspended at substantially higher rates than non-poor students; poverty, family structure, and neighborhood conditions were much stronger predictors of both behavioral differences and discipline rates across all racial groups.</w:t>
      </w:r>
      <w:r w:rsidR="00363427">
        <w:rPr>
          <w:rStyle w:val="EndnoteReference"/>
        </w:rPr>
        <w:endnoteReference w:id="47"/>
      </w:r>
      <w:r>
        <w:t xml:space="preserve"> The disparities were real. </w:t>
      </w:r>
      <w:r w:rsidR="005B680B" w:rsidRPr="005B680B">
        <w:t>The comfortable explanation just pointed at the wrong cause, treating the disparity as proof of a discriminatory system rather than a downstream signal of upstream conditions that no discipline policy could repair</w:t>
      </w:r>
      <w:r>
        <w:t>.</w:t>
      </w:r>
    </w:p>
    <w:p w14:paraId="3308562E" w14:textId="77777777" w:rsidR="00767630" w:rsidRDefault="00E25CED">
      <w:r>
        <w:t>That misdirection had consequences. In 2014, the Departments of Education and Justice warned school districts that racial disparities in suspension rates could constitute evidence of unlawful discrimination, even if policies were race-neutral and applied evenhandedly.</w:t>
      </w:r>
      <w:r>
        <w:rPr>
          <w:rStyle w:val="EndnoteReference"/>
        </w:rPr>
        <w:endnoteReference w:id="48"/>
      </w:r>
      <w:r>
        <w:t xml:space="preserve"> Districts responded</w:t>
      </w:r>
      <w:r w:rsidR="00767630">
        <w:t>.</w:t>
      </w:r>
    </w:p>
    <w:p w14:paraId="561D422C" w14:textId="76AD4970" w:rsidR="00E25CED" w:rsidRDefault="00F83536" w:rsidP="00F83536">
      <w:r w:rsidRPr="00F83536">
        <w:t>Between 2003 and 2015, Los Angeles cut suspension rates by over 90 percent. Test scores declined, GPAs fell, student absences increased, and teacher turnover rose, particularly among inexperienced teachers, the ones least equipped to manage classrooms without the tools they'd just lost.</w:t>
      </w:r>
      <w:r w:rsidR="00DD5331">
        <w:rPr>
          <w:rStyle w:val="EndnoteReference"/>
        </w:rPr>
        <w:endnoteReference w:id="49"/>
      </w:r>
      <w:r w:rsidRPr="00F83536">
        <w:t xml:space="preserve"> </w:t>
      </w:r>
      <w:r w:rsidR="00487E95" w:rsidRPr="00487E95">
        <w:t>Philadelphia prohibited suspensions for low-level misbehavior; Black students actually spent more days out of school, with suspensions shifting toward more serious infractions that escalated without earlier intervention</w:t>
      </w:r>
      <w:r w:rsidRPr="00F83536">
        <w:t>.</w:t>
      </w:r>
      <w:r w:rsidR="00DD5331">
        <w:rPr>
          <w:rStyle w:val="EndnoteReference"/>
        </w:rPr>
        <w:endnoteReference w:id="50"/>
      </w:r>
      <w:r w:rsidRPr="00F83536">
        <w:t xml:space="preserve"> Pittsburgh implemented restorative </w:t>
      </w:r>
      <w:r w:rsidR="00DD5331">
        <w:t>practices</w:t>
      </w:r>
      <w:r w:rsidRPr="00F83536">
        <w:t xml:space="preserve"> as a replacement.</w:t>
      </w:r>
      <w:r w:rsidR="00DD5331">
        <w:rPr>
          <w:rStyle w:val="EndnoteReference"/>
        </w:rPr>
        <w:endnoteReference w:id="51"/>
      </w:r>
      <w:r w:rsidRPr="00F83536">
        <w:t xml:space="preserve"> In Illinois, after statewide suspension reductions, only 14 percent of teachers reported a positive impact on their schools, while nearly half reported that both student behavior and school climate had worsened.</w:t>
      </w:r>
      <w:r w:rsidR="00E25CED">
        <w:rPr>
          <w:rStyle w:val="EndnoteReference"/>
        </w:rPr>
        <w:endnoteReference w:id="52"/>
      </w:r>
      <w:r w:rsidR="00DD5331">
        <w:t xml:space="preserve"> </w:t>
      </w:r>
      <w:r w:rsidR="00DD5331" w:rsidRPr="00F83536">
        <w:t>In each case, outcomes got worse for the students the reforms were supposed to protect.</w:t>
      </w:r>
    </w:p>
    <w:p w14:paraId="56A578DE" w14:textId="77777777" w:rsidR="00F55D77" w:rsidRPr="00F55D77" w:rsidRDefault="00F55D77" w:rsidP="00F55D77">
      <w:r w:rsidRPr="00F55D77">
        <w:t>The pattern completed its own loop: disparate outcomes showed up in the data; the blame went to the people closest to them, not the conditions producing them; the fix targeted those people; and the students the fix was meant to help paid the price because the comfortable explanation had aimed the reform at the wrong target. The behavioral adaptation was real, but it wasn't sabotage. Students, teachers, and administrators all responded predictably to the new incentive structures the reforms created. Calling those responses evidence of bias or resistance prevented anyone from asking whether the reform was aimed at the right problem.</w:t>
      </w:r>
    </w:p>
    <w:p w14:paraId="67841A27" w14:textId="77777777" w:rsidR="00D878CC" w:rsidRDefault="00D878CC" w:rsidP="00D878CC">
      <w:r>
        <w:t>This sabotage narrative is easiest to see where the full cycle has already played out: the misdirected blame not only missed the real cause but produced a fix that made things worse.</w:t>
      </w:r>
    </w:p>
    <w:p w14:paraId="4ABAB80C" w14:textId="77777777" w:rsidR="00E25CED" w:rsidRDefault="00E25CED">
      <w:r>
        <w:t>These explanations treat behavioral adaptation as a character flaw, not a predictable response to changed incentives. They assume that people should ignore the new costs and benefits that policies create and continue behaving exactly as they did before those policies were implemented.</w:t>
      </w:r>
    </w:p>
    <w:p w14:paraId="783370DC" w14:textId="77777777" w:rsidR="00E25CED" w:rsidRDefault="00E25CED">
      <w:r>
        <w:t>When people respond rationally to the incentive structures they actually face, not the structures policymakers wish they would face, this rational response is read as moral failure or deliberate opposition to policy goals.</w:t>
      </w:r>
    </w:p>
    <w:p w14:paraId="687D9338" w14:textId="77777777" w:rsidR="00E25CED" w:rsidRDefault="00E25CED">
      <w:r>
        <w:t>Blame sharpens when it aligns with political narratives about conflicts between social groups. Policies that reduce employment opportunities, despite being designed to help workers, are blamed on heartless employers who refuse to pay fair wages. Policies that reduce educational quality, despite being designed to help students, are blamed on selfish teachers who resist accountability for student learning.</w:t>
      </w:r>
    </w:p>
    <w:p w14:paraId="3485A961" w14:textId="77777777" w:rsidR="00E25CED" w:rsidRDefault="00E25CED">
      <w:r>
        <w:t>Group-based blame like this blocks recognition that the same behavioral responses would occur regardless of the moral character of the people involved. Generous, community-minded employers still face the same economic constraints that make it difficult to hire workers when labor costs exceed the value those workers produce. Compassionate, civic-minded taxpayers still face the same budget limitations that make it impossible to fund every program that might help people in need. Dedicated, student-focused teachers still work within institutional structures that may reward behaviors that do not improve student learning.</w:t>
      </w:r>
    </w:p>
    <w:p w14:paraId="06BFC682" w14:textId="77777777" w:rsidR="00E25CED" w:rsidRDefault="00E25CED">
      <w:r>
        <w:t>Focusing on character instead of incentives also makes it impossible to design policies that work with human nature instead of against it. When policymakers assume that disappointing results reflect moral failures by the people affected, they conclude that the solution is to find better people or change their values instead of redesigning the incentive structures that shape their choices. This leads to policy reforms that focus on education, moral appeals, and cultural change instead of structural modifications that make the right behavior more rewarding than the wrong one.</w:t>
      </w:r>
    </w:p>
    <w:p w14:paraId="062F1BA8" w14:textId="77777777" w:rsidR="00E25CED" w:rsidRDefault="00E25CED">
      <w:r>
        <w:t>Policymakers also lose the ability to learn from successful examples, cases where similar policies achieved better results by aligning incentives with desired outcomes. When a school choice program succeeds in improving educational outcomes, the success is attributed to better parents or better schools instead of the incentive structures that reward schools for attracting and retaining students. When a welfare reform reduces dependency while maintaining assistance for people who need it, the improvement is credited to a stronger economy instead of the benefit structures that made work more rewarding.</w:t>
      </w:r>
    </w:p>
    <w:p w14:paraId="5844B8DF" w14:textId="57F40D8E" w:rsidR="00E25CED" w:rsidRDefault="00E25CED">
      <w:r>
        <w:t>Policy design stays stuck. Each new policy is designed with the same optimistic assumptions about how people will respond to new incentives, and each disappointing outcome is explained through the same pessimistic assumptions about people</w:t>
      </w:r>
      <w:r w:rsidR="00463E2E">
        <w:t>'</w:t>
      </w:r>
      <w:r>
        <w:t>s moral character. The cycle continues because the analytical framework makes it impossible to acknowledge that good people facing bad incentives will often produce bad outcomes, while good people facing good incentives will typically produce good outcomes.</w:t>
      </w:r>
    </w:p>
    <w:p w14:paraId="6ED0D478" w14:textId="77777777" w:rsidR="0026588A" w:rsidRPr="0026588A" w:rsidRDefault="0026588A" w:rsidP="0026588A">
      <w:r w:rsidRPr="0026588A">
        <w:t>Underneath the misdiagnosis sits one assumption: the policy changed and everyone affected by it would not. Students, teachers, administrators, families were expected to keep behaving as they did before, as if a rule change were an operation on the rules without any effect on the people facing them. They never do hold still. What gets called sabotage is usually behavior responding to a structure policymakers failed to imagine.</w:t>
      </w:r>
    </w:p>
    <w:p w14:paraId="5DF19720" w14:textId="77777777" w:rsidR="00673D13" w:rsidRDefault="00673D13" w:rsidP="00673D13">
      <w:pPr>
        <w:pStyle w:val="Heading3"/>
      </w:pPr>
      <w:r w:rsidRPr="00673D13">
        <w:t>How the Cost Moves Downstream</w:t>
      </w:r>
    </w:p>
    <w:p w14:paraId="5F752FBB" w14:textId="42F03B20" w:rsidR="00E25CED" w:rsidRDefault="00E25CED">
      <w:r>
        <w:t xml:space="preserve">The community college example introduced in </w:t>
      </w:r>
      <w:r w:rsidR="00673D13" w:rsidRPr="00673D13">
        <w:rPr>
          <w:i/>
          <w:iCs/>
        </w:rPr>
        <w:fldChar w:fldCharType="begin"/>
      </w:r>
      <w:r w:rsidR="00673D13" w:rsidRPr="00673D13">
        <w:rPr>
          <w:i/>
          <w:iCs/>
        </w:rPr>
        <w:instrText xml:space="preserve"> REF _Ref227672541 \h </w:instrText>
      </w:r>
      <w:r w:rsidR="00673D13">
        <w:rPr>
          <w:i/>
          <w:iCs/>
        </w:rPr>
        <w:instrText xml:space="preserve"> \* MERGEFORMAT </w:instrText>
      </w:r>
      <w:r w:rsidR="00673D13" w:rsidRPr="00673D13">
        <w:rPr>
          <w:i/>
          <w:iCs/>
        </w:rPr>
      </w:r>
      <w:r w:rsidR="00673D13" w:rsidRPr="00673D13">
        <w:rPr>
          <w:i/>
          <w:iCs/>
        </w:rPr>
        <w:fldChar w:fldCharType="separate"/>
      </w:r>
      <w:r w:rsidR="00673D13" w:rsidRPr="00673D13">
        <w:rPr>
          <w:i/>
          <w:iCs/>
        </w:rPr>
        <w:t>The Myth of the Free Lunch</w:t>
      </w:r>
      <w:r w:rsidR="00673D13" w:rsidRPr="00673D13">
        <w:rPr>
          <w:i/>
          <w:iCs/>
        </w:rPr>
        <w:fldChar w:fldCharType="end"/>
      </w:r>
      <w:r>
        <w:t xml:space="preserve"> reveals what this pattern looks like when it cascades through multiple levels. Recall the </w:t>
      </w:r>
      <w:r w:rsidR="00463E2E">
        <w:t>"</w:t>
      </w:r>
      <w:r>
        <w:t>culture of caring</w:t>
      </w:r>
      <w:r w:rsidR="00463E2E">
        <w:t>"</w:t>
      </w:r>
      <w:r>
        <w:t xml:space="preserve"> frameworks now spreading across more than </w:t>
      </w:r>
      <w:r w:rsidR="00F95389">
        <w:t>100</w:t>
      </w:r>
      <w:r>
        <w:t xml:space="preserve"> institutions, the ones that redefine faculty success as barrier removal and measure institutional commitment by how few students are allowed to fail. The downstream effects are visible: faculty pressured to lower standards, students graduating without foundational skills, a correction deferred until it lands on people who have no idea it was coming. But the downstream effects are not where the chain begins.</w:t>
      </w:r>
    </w:p>
    <w:p w14:paraId="2DB50847" w14:textId="0F06FF0B" w:rsidR="00E25CED" w:rsidRDefault="00E25CED">
      <w:r>
        <w:t>It begins with state legislatures. Over the past several decades, state funding for community colleges has fallen in real terms relative to four-year institutions, a pattern that accelerates during recessions and never fully recovers during expansions.</w:t>
      </w:r>
      <w:r>
        <w:rPr>
          <w:rStyle w:val="EndnoteReference"/>
        </w:rPr>
        <w:endnoteReference w:id="53"/>
      </w:r>
      <w:r>
        <w:t xml:space="preserve"> At the same time, many states have shifted to performance-based funding formulas that tie institutional budgets to measurable outcomes like retention rates, completion numbers, credentials awarded.</w:t>
      </w:r>
      <w:r>
        <w:rPr>
          <w:rStyle w:val="EndnoteReference"/>
        </w:rPr>
        <w:endnoteReference w:id="54"/>
      </w:r>
      <w:r>
        <w:t xml:space="preserve"> The stated purpose of these formulas is accountability. The actual effect is to make enrollment and retention the financial lifeblood of institutions that have fewer and fewer alternative revenue sources.</w:t>
      </w:r>
      <w:r>
        <w:rPr>
          <w:rStyle w:val="EndnoteReference"/>
        </w:rPr>
        <w:endnoteReference w:id="55"/>
      </w:r>
      <w:r>
        <w:t xml:space="preserve"> When your budget depends on how many students stay enrolled and how many complete credentials, every student who drops out or fails a course is not just an educational concern. It is a</w:t>
      </w:r>
      <w:r w:rsidR="00AB77FF">
        <w:t xml:space="preserve">n existential </w:t>
      </w:r>
      <w:r>
        <w:t>threat to institutional survival.</w:t>
      </w:r>
    </w:p>
    <w:p w14:paraId="0E1A9135" w14:textId="77777777" w:rsidR="00836442" w:rsidRDefault="00E25CED">
      <w:r>
        <w:t>Administrators who respond to this pressure by adopting frameworks that prioritize student retention over academic rigor are not conspiring to destroy educational quality. They are solving the problem they were given. The legislature cut their funding and told them to demonstrate results on metrics that reward throughput. The administrators designed systems that maximize throughput. The faculty, whose contract renewals flow through those administrative systems, adjusted their expectations to match what the institution now rewards. The students, who were never told that the rules had changed, received credentials that represented less than they appeared to</w:t>
      </w:r>
      <w:r w:rsidR="00767630">
        <w:t>.</w:t>
      </w:r>
      <w:r w:rsidR="00836442">
        <w:t xml:space="preserve"> </w:t>
      </w:r>
    </w:p>
    <w:p w14:paraId="70CE0EF4" w14:textId="6C82F481" w:rsidR="00E25CED" w:rsidRDefault="00836442">
      <w:r w:rsidRPr="00836442">
        <w:t>Funding that once followed enrollment now follows completion. Colleges that used to be paid for who showed up are now paid for who finishes.</w:t>
      </w:r>
      <w:r w:rsidR="002B2566">
        <w:t xml:space="preserve"> </w:t>
      </w:r>
      <w:r w:rsidR="00F64B73" w:rsidRPr="00F64B73">
        <w:t>At no point in this chain did anyone act irrationally. At no point did anyone intend the final outcome. What failed was the assumption shared across the chain—that you could change the incentives facing an institution and expect the institution to continue performing exactly as it did before, as if the rules of the game had no effect on how the game got played</w:t>
      </w:r>
      <w:r w:rsidR="00E25CED">
        <w:t>.</w:t>
      </w:r>
      <w:r w:rsidR="00855B6E">
        <w:t xml:space="preserve"> </w:t>
      </w:r>
      <w:r w:rsidR="00855B6E" w:rsidRPr="00855B6E">
        <w:t>This pattern is familiar enough to have a name. Economists call it Goodhart's Law: once a measure becomes a target, it stops measuring what it used to.</w:t>
      </w:r>
      <w:r w:rsidR="00855B6E">
        <w:rPr>
          <w:rStyle w:val="EndnoteReference"/>
        </w:rPr>
        <w:endnoteReference w:id="56"/>
      </w:r>
    </w:p>
    <w:p w14:paraId="2C2093AA" w14:textId="77777777" w:rsidR="00E25CED" w:rsidRDefault="00E25CED">
      <w:r>
        <w:t>The legislators did not set out to produce graduates who cannot do basic arithmetic. They set out to balance state budgets, redirect resources to other priorities, and impose accountability on institutions they believed were underperforming. Every one of those goals is defensible in isolation. But the cascade that followed was not a mystery. It was predictable, and in many cases it was predicted. The people who warned that this pressure would force institutions to redefine success downward were dismissed as defenders of a broken status quo. Their analysis was treated as obstruction, not foresight, which is precisely the pattern this section has traced.</w:t>
      </w:r>
    </w:p>
    <w:p w14:paraId="78CD9F52" w14:textId="09752C57" w:rsidR="00E25CED" w:rsidRDefault="00E25CED">
      <w:r>
        <w:t>But the chain doesn</w:t>
      </w:r>
      <w:r w:rsidR="00463E2E">
        <w:t>'</w:t>
      </w:r>
      <w:r>
        <w:t>t begin with the legislators either, as they are responding to voters who demand more from government</w:t>
      </w:r>
      <w:r>
        <w:rPr>
          <w:rStyle w:val="EndnoteReference"/>
        </w:rPr>
        <w:endnoteReference w:id="57"/>
      </w:r>
      <w:r>
        <w:t xml:space="preserve"> while refusing to fund it,</w:t>
      </w:r>
      <w:r w:rsidR="00F64B73">
        <w:rPr>
          <w:rStyle w:val="EndnoteReference"/>
        </w:rPr>
        <w:endnoteReference w:id="58"/>
      </w:r>
      <w:r>
        <w:t xml:space="preserve"> who tell pollsters that the federal government spends too little on healthcare, Social Security, and education even though those categories already consume the majority of the federal budget.</w:t>
      </w:r>
      <w:r w:rsidR="00F64B73">
        <w:rPr>
          <w:rStyle w:val="EndnoteReference"/>
        </w:rPr>
        <w:endnoteReference w:id="59"/>
      </w:r>
      <w:r>
        <w:t xml:space="preserve"> The money comes from wherever is least politically defended. The result is a loop with no natural exit: each pass produces graduates less equipped to recognize the tradeoff thinking that might break the cycle, which makes the next pass more likely.</w:t>
      </w:r>
    </w:p>
    <w:p w14:paraId="21E3D7CF" w14:textId="77777777" w:rsidR="00767630" w:rsidRDefault="00E25CED">
      <w:r>
        <w:t>Blaming people protects policies from revision even when they consistently fail to achieve their stated goals. The policies can be defended as morally necessary responses to important problems, while their failures are attributed to external factors that cannot be controlled through policy design. This allows the same ineffective approaches to be repeated indefinitely while maintaining the illusion that they would work if only other people behaved better</w:t>
      </w:r>
      <w:r w:rsidR="00767630">
        <w:t>.</w:t>
      </w:r>
    </w:p>
    <w:p w14:paraId="7B2773F3" w14:textId="0A636344" w:rsidR="00E25CED" w:rsidRDefault="00E25CED">
      <w:r>
        <w:t>Recognizing adaptation as a normal response to policy changes, not evidence of sabotage, opens different possibilities. When policymakers acknowledge that people will respond to the incentives policies create, they can design those incentives to encourage behaviors that support policy goals instead of undermining them. Accepting that people will adapt to new rules and regulations, they can anticipate those adaptations and structure policies to make beneficial adaptations more likely than harmful ones.</w:t>
      </w:r>
    </w:p>
    <w:p w14:paraId="33981E86" w14:textId="77777777" w:rsidR="00E25CED" w:rsidRDefault="00E25CED">
      <w:pPr>
        <w:pStyle w:val="Heading3"/>
      </w:pPr>
      <w:bookmarkStart w:id="35" w:name="_Toc227410667"/>
      <w:r>
        <w:t>When Outcomes Disappoint</w:t>
      </w:r>
      <w:bookmarkEnd w:id="35"/>
    </w:p>
    <w:p w14:paraId="357DFCEA" w14:textId="5045A7CE" w:rsidR="00767630" w:rsidRDefault="00E25CED">
      <w:r>
        <w:t>Sooner or later, a policy</w:t>
      </w:r>
      <w:r w:rsidR="00463E2E">
        <w:t>'</w:t>
      </w:r>
      <w:r>
        <w:t>s actual results become impossible to ignore. The gap between promised benefits and delivered outcomes cannot be hidden through creative statistics, blamed on insufficient funding, or attributed to implementation problems.</w:t>
      </w:r>
      <w:r w:rsidR="00254176">
        <w:t xml:space="preserve"> </w:t>
      </w:r>
      <w:r>
        <w:t>Failed approaches survive through a specific mechanism: reframing failure as evidence that even more aggressive versions of the same approach are needed</w:t>
      </w:r>
      <w:r w:rsidR="00767630">
        <w:t>.</w:t>
      </w:r>
    </w:p>
    <w:p w14:paraId="1B03E5A6" w14:textId="77777777" w:rsidR="00767630" w:rsidRDefault="00E25CED">
      <w:r>
        <w:t>Approaches that actually work face a peculiar disadvantage: they often involve acknowledging tradeoffs and constraints that make moral defense more difficult. A welfare program that reduces dependency by making work more rewarding than assistance cannot be defended purely on moral grounds because it requires admitting that some people will receive less help than they would under a more generous program</w:t>
      </w:r>
      <w:r w:rsidR="00767630">
        <w:t>.</w:t>
      </w:r>
    </w:p>
    <w:p w14:paraId="1EF07B11" w14:textId="3D5C5A60" w:rsidR="00E25CED" w:rsidRDefault="00E25CED">
      <w:r>
        <w:t>Effective policies become politically vulnerable precisely because they work through mechanisms that require acknowledging uncomfortable realities about human behavior, resource constraints, and institutional incentives. A school reform that improves learning outcomes by restructuring how districts allocate resources and measure progress cannot be justified solely through appeals to compassion because it requires acknowledging that some administrators will lose authority, some programs will lose funding, and some schools will close if the metrics they were designed around no longer define success.</w:t>
      </w:r>
    </w:p>
    <w:p w14:paraId="016908CB" w14:textId="77777777" w:rsidR="00767630" w:rsidRDefault="00E25CED">
      <w:r>
        <w:t>Meanwhile, ineffective policies become politically protected because they can be defended through moral appeals that avoid acknowledging these uncomfortable realities. The political system predictably favors approaches that feel virtuous over approaches that produce virtuous results</w:t>
      </w:r>
      <w:r w:rsidR="00767630">
        <w:t>.</w:t>
      </w:r>
    </w:p>
    <w:p w14:paraId="521E7AFF" w14:textId="7F8DE3CC" w:rsidR="00E25CED" w:rsidRDefault="00E25CED">
      <w:r>
        <w:t>Organizations that cannot learn from failure cannot improve over time, and the cost falls hardest on the people those organizations were created to serve. Schools, healthcare systems, and social service agencies that block feedback loops remain trapped in cycles where the same analytical errors produce the same disappointing outcomes, defended by the same moral justifications that prevent anyone from recognizing the errors.</w:t>
      </w:r>
    </w:p>
    <w:p w14:paraId="76616F96" w14:textId="77777777" w:rsidR="00E25CED" w:rsidRDefault="00E25CED">
      <w:r>
        <w:t>The ultimate tragedy of moral defense is how it betrays the very values it claims to protect. When institutions prioritize maintaining their moral self-image over achieving their stated missions, they end up serving their own psychological needs, not the needs of the people they were created to help. The defense mechanism that protects them from acknowledging failure also protects them from making the changes necessary to succeed.</w:t>
      </w:r>
    </w:p>
    <w:p w14:paraId="1302BD5D" w14:textId="77777777" w:rsidR="00E25CED" w:rsidRDefault="00E25CED">
      <w:pPr>
        <w:pStyle w:val="Heading3"/>
      </w:pPr>
      <w:bookmarkStart w:id="36" w:name="_Toc227410668"/>
      <w:r>
        <w:t>The Insult of Mentioning Incentives</w:t>
      </w:r>
      <w:bookmarkEnd w:id="36"/>
    </w:p>
    <w:p w14:paraId="033FF0AC" w14:textId="77777777" w:rsidR="00396D1E" w:rsidRPr="00396D1E" w:rsidRDefault="00396D1E" w:rsidP="00396D1E">
      <w:r w:rsidRPr="00396D1E">
        <w:t>Each of the defenses this chapter has traced operates after a policy is in place: failure gets reframed, adaptation gets treated as sabotage, moral defense protects ineffective approaches from revision. But the same resistance operates earlier, before any policy gets drafted. It shows up as reluctance to discuss incentives at all.</w:t>
      </w:r>
    </w:p>
    <w:p w14:paraId="57E88347" w14:textId="5AC192F2" w:rsidR="00396D1E" w:rsidRPr="00396D1E" w:rsidRDefault="00396D1E" w:rsidP="00396D1E">
      <w:r w:rsidRPr="00396D1E">
        <w:t xml:space="preserve">Mentioning incentives in a policy discussion tends to shift the conversation. When researchers in the 1980s and 1990s documented that the structure of </w:t>
      </w:r>
      <w:r w:rsidR="00F81DA6" w:rsidRPr="00F81DA6">
        <w:t>Aid to Families with Dependent Children</w:t>
      </w:r>
      <w:r w:rsidR="00F81DA6">
        <w:t xml:space="preserve"> (</w:t>
      </w:r>
      <w:r w:rsidRPr="00396D1E">
        <w:t>AFDC</w:t>
      </w:r>
      <w:r w:rsidR="00F81DA6">
        <w:t>)</w:t>
      </w:r>
      <w:r w:rsidRPr="00396D1E">
        <w:t xml:space="preserve"> affected work and family formation decisions among recipients,</w:t>
      </w:r>
      <w:r>
        <w:rPr>
          <w:rStyle w:val="EndnoteReference"/>
        </w:rPr>
        <w:endnoteReference w:id="60"/>
      </w:r>
      <w:r w:rsidRPr="00396D1E">
        <w:t xml:space="preserve"> the response was rarely engagement with the empirical claim. It was that anyone making the claim held a cynical view of poor families, or cared more about budgets than people.</w:t>
      </w:r>
      <w:r>
        <w:rPr>
          <w:rStyle w:val="EndnoteReference"/>
        </w:rPr>
        <w:endnoteReference w:id="61"/>
      </w:r>
      <w:r w:rsidRPr="00396D1E">
        <w:t xml:space="preserve"> The analytical question of how a program affects the choices facing the people who use it got displaced by a moral question about whether asking the question was itself an act of contempt.</w:t>
      </w:r>
    </w:p>
    <w:p w14:paraId="316079ED" w14:textId="425AC435" w:rsidR="00E25CED" w:rsidRDefault="00E25CED">
      <w:r>
        <w:t>Honest discussion of how to design better incentives stalls because the conversation fixates on whether people should respond to incentives at all. The moral debate crowds out the practical work of aligning individual incentives with collective goals so that people can pursue their own interests in ways that also serve broader social purposes.</w:t>
      </w:r>
    </w:p>
    <w:p w14:paraId="5D324E71" w14:textId="77777777" w:rsidR="00E25CED" w:rsidRDefault="00E25CED">
      <w:r>
        <w:t>Among the most damaging aspects of treating incentive analysis as personal insult is how it stifles the development of policy expertise that could help people more effectively. Organizations that cannot discuss how their programs affect the costs and benefits of different choices cannot design programs that make beneficial choices more attractive than harmful ones. They become trapped in cycles where good intentions consistently produce bad outcomes because the analytical tools necessary for connecting intentions to outcomes are treated as morally suspect.</w:t>
      </w:r>
    </w:p>
    <w:p w14:paraId="6DF81A9E" w14:textId="77777777" w:rsidR="00E25CED" w:rsidRDefault="00E25CED">
      <w:r>
        <w:t>The irony is that the people who most need effective policies are the ones who suffer most when incentive analysis is treated as morally illegitimate. They cannot escape dysfunctional systems the way more privileged people can. They depend on public institutions and government programs working well, which requires those institutions and programs to be designed with realistic understanding of how they affect human behavior, not with idealistic assumptions about how they should affect human behavior. The goal is not to reduce people to economic calculators who care only about material rewards and punishments. The goal is to create conditions where people can pursue their values and aspirations without facing perverse incentives that force them to choose between doing well and doing good. Good policy design makes it easier for people to be their best selves.</w:t>
      </w:r>
    </w:p>
    <w:p w14:paraId="7DDB352A" w14:textId="77777777" w:rsidR="00AA224C" w:rsidRDefault="00AA224C" w:rsidP="00AA224C">
      <w:r>
        <w:t>Acknowledging that people respond to incentives treats them as rational agents who can evaluate their options and make strategic decisions based on the information available to them. Pretending that people do not respond to incentives treats them as passive objects who should accept whatever circumstances policies create for them without adjusting their behavior to protect their own interests.</w:t>
      </w:r>
    </w:p>
    <w:p w14:paraId="622209DF" w14:textId="2C79E838" w:rsidR="00E25CED" w:rsidRDefault="00E25CED">
      <w:r>
        <w:t xml:space="preserve">But why does this pattern persist? Policy failures are visible. Disappointed expectations are real. If consequence-free thinking consistently produces disappointing results, why hasn't political discourse corrected itself? The answer lies not in elite manipulation or voter ignorance, but in something more structural: the electoral incentives that shape which candidates succeed and which approaches get rewarded. The same resistance to </w:t>
      </w:r>
      <w:r w:rsidR="00AA5178">
        <w:t>tradeoff thinking</w:t>
      </w:r>
      <w:r>
        <w:t xml:space="preserve"> that distorts policy design also distorts the selection of the people who make policy, and that selection happens at the ballot box.</w:t>
      </w:r>
    </w:p>
    <w:p w14:paraId="3E18FA5E" w14:textId="368EBCAE" w:rsidR="00E25CED" w:rsidRDefault="00980C74">
      <w:r>
        <w:t>T</w:t>
      </w:r>
      <w:r w:rsidR="00E25CED">
        <w:t>he most practical skill this chapter's diagnosis points toward is learning to ask, before the results disappoint, how the relevant actors will adapt.</w:t>
      </w:r>
    </w:p>
    <w:p w14:paraId="5F49B8B2" w14:textId="77777777" w:rsidR="00E25CED" w:rsidRDefault="00E25CED">
      <w:r>
        <w:t>Three types of adaptation account for most policy surprises. The first is behavioral substitution: people find alternative ways to achieve the same goals when one path gets blocked. Ban a substance; people switch to a different one. Restrict one form of tax avoidance; accountants develop another. The goal does not change; the route does. The second is spillover: the policy works in its target area but creates problems in adjacent areas nobody was watching. Strict environmental rules in one jurisdiction push production to jurisdictions with weaker rules. Cracking down on one category of crime shifts criminal effort to categories that are less policed.</w:t>
      </w:r>
    </w:p>
    <w:p w14:paraId="2A3F689F" w14:textId="77777777" w:rsidR="00E25CED" w:rsidRDefault="00E25CED">
      <w:r>
        <w:t>The third is the arms race: the policy works initially but degrades over time as affected parties learn to work around it. Regulations become less effective as industries develop compliance strategies that satisfy the letter of the rule while circumventing its purpose. Metrics lose meaning as the people being measured learn what gets counted.</w:t>
      </w:r>
    </w:p>
    <w:p w14:paraId="5D9D5B13" w14:textId="77777777" w:rsidR="00E25CED" w:rsidRDefault="00E25CED">
      <w:r>
        <w:t xml:space="preserve">These three patterns are not exotic. They are ordinary. And they can be anticipated with a simple discipline: before committing to a policy or plan, ask three questions. First question: </w:t>
      </w:r>
      <w:r>
        <w:rPr>
          <w:i/>
          <w:iCs/>
        </w:rPr>
        <w:t>If we block this behavior, what will people do instead?</w:t>
      </w:r>
      <w:r>
        <w:t xml:space="preserve"> That catches substitution. Second question: </w:t>
      </w:r>
      <w:r>
        <w:rPr>
          <w:i/>
          <w:iCs/>
        </w:rPr>
        <w:t>If we change this area, what adjacent areas might be affected?</w:t>
      </w:r>
      <w:r>
        <w:t xml:space="preserve"> That catches spillover. Third question: </w:t>
      </w:r>
      <w:r>
        <w:rPr>
          <w:i/>
          <w:iCs/>
        </w:rPr>
        <w:t>If this works initially, what will people learn that might make it stop working?</w:t>
      </w:r>
      <w:r>
        <w:t xml:space="preserve"> That catches the arms race.</w:t>
      </w:r>
    </w:p>
    <w:p w14:paraId="34CD72C8" w14:textId="77777777" w:rsidR="00767630" w:rsidRDefault="00E25CED">
      <w:r>
        <w:t>The architects of the 1990 Clean Air Act's acid rain program asked all three. Instead of ordering every power plant to install the same equipment, which would have guaranteed that firms found cheaper ways to meet the letter of the rule while dodging its purpose, they capped total emissions and let firms find whatever reduction method cost them least. That anticipated substitution. They required continuous monitoring at every facility because they knew that reducing output at one plant could simply shift production to dirtier plants elsewhere. That anticipated spillover. And they designed the cap to tighten in phases because any fixed standard would degrade as industries learned to optimize around it. That anticipated the arms race</w:t>
      </w:r>
      <w:r w:rsidR="00767630">
        <w:t>.</w:t>
      </w:r>
    </w:p>
    <w:p w14:paraId="58D0277E" w14:textId="601F88BC" w:rsidR="00E25CED" w:rsidRDefault="00E25CED">
      <w:r>
        <w:t xml:space="preserve">The program hit its </w:t>
      </w:r>
      <w:r w:rsidR="0016363C">
        <w:t>10</w:t>
      </w:r>
      <w:r>
        <w:t>-year emissions target three years early, at roughly a quarter less cost than regulators had projected, not because the designers were optimistic, but because they had taken adaptation seriously enough to build the answers into the structure.</w:t>
      </w:r>
    </w:p>
    <w:p w14:paraId="4487EFE7" w14:textId="77777777" w:rsidR="00E25CED" w:rsidRDefault="00E25CED">
      <w:pPr>
        <w:sectPr w:rsidR="00E25CED" w:rsidSect="00E25CED">
          <w:footerReference w:type="default" r:id="rId25"/>
          <w:footerReference w:type="first" r:id="rId26"/>
          <w:endnotePr>
            <w:numFmt w:val="decimal"/>
          </w:endnotePr>
          <w:pgSz w:w="12240" w:h="15840"/>
          <w:pgMar w:top="1440" w:right="1440" w:bottom="1440" w:left="1440" w:header="0" w:footer="720" w:gutter="0"/>
          <w:cols w:space="720"/>
          <w:formProt w:val="0"/>
          <w:docGrid w:linePitch="100"/>
        </w:sectPr>
      </w:pPr>
      <w:r>
        <w:t>No prediction will be perfectly accurate. But the habit of asking separates people who are perpetually surprised by consequences from people who designed for them.</w:t>
      </w:r>
    </w:p>
    <w:p w14:paraId="2E0B56AC" w14:textId="77777777" w:rsidR="00E25CED" w:rsidRDefault="00E25CED">
      <w:pPr>
        <w:pStyle w:val="Heading1"/>
      </w:pPr>
      <w:bookmarkStart w:id="37" w:name="_Ref226197108"/>
      <w:bookmarkStart w:id="38" w:name="_Toc227410669"/>
      <w:r>
        <w:t>PART II: Why the Illusion Persists</w:t>
      </w:r>
      <w:bookmarkEnd w:id="37"/>
      <w:bookmarkEnd w:id="38"/>
    </w:p>
    <w:p w14:paraId="0408D197" w14:textId="77777777" w:rsidR="00E25CED" w:rsidRDefault="00E25CED">
      <w:r>
        <w:t>If the patterns described in Part I are as common as claimed, an obvious question follows: why doesn't the pattern break, and why don't people who see these failures change course? Failures are visible. Costs eventually arrive. People are not stupid. If free lunch thinking reliably produces disappointment, the disappointing results should, over time, erode confidence in the reasoning that produced them. Learning should happen. It mostly doesn't. Part II explains why.</w:t>
      </w:r>
    </w:p>
    <w:p w14:paraId="615D3DCF" w14:textId="77777777" w:rsidR="00E25CED" w:rsidRDefault="00E25CED">
      <w:r>
        <w:t>The answer is not that people are stubborn, though some are. It is that the patterns described in Part I are protected by structural forces that make correction difficult and socially expensive. These forces are not conspiracies. They are ordinary features of how political systems, institutions, and human psychology operate under pressure.</w:t>
      </w:r>
    </w:p>
    <w:p w14:paraId="511911A1" w14:textId="77777777" w:rsidR="00E25CED" w:rsidRDefault="00E25CED">
      <w:r>
        <w:t>Some of these forces are political. Candidates who acknowledge tradeoffs lose to candidates who don't, and the ones who survive learn the lesson. Some are institutional. When every disappointment gets diagnosed as underfunding, the diagnosis itself becomes an obstacle to examining whether the design was flawed. Some are cultural. When feelings about a policy become indistinguishable from analysis of that policy, the analytical vocabulary for evaluating outcomes atrophies. And some are deeply personal. When a belief becomes fused with identity, challenging the belief feels indistinguishable from attacking the person who holds it.</w:t>
      </w:r>
    </w:p>
    <w:p w14:paraId="49C628C0" w14:textId="12831BFC" w:rsidR="00E25CED" w:rsidRDefault="00E25CED">
      <w:pPr>
        <w:rPr>
          <w:color w:val="000000"/>
        </w:rPr>
      </w:pPr>
      <w:r>
        <w:rPr>
          <w:color w:val="000000"/>
        </w:rPr>
        <w:t xml:space="preserve">These chapters do not argue that any of these protective forces are irrational. Most of them make perfect sense from the perspective of the people involved. A voter who punishes honesty about constraints is not behaving irrationally; they are selecting for the message that feels least threatening. An institution that defaults to </w:t>
      </w:r>
      <w:r w:rsidR="00463E2E">
        <w:rPr>
          <w:color w:val="000000"/>
        </w:rPr>
        <w:t>"</w:t>
      </w:r>
      <w:r>
        <w:rPr>
          <w:color w:val="000000"/>
        </w:rPr>
        <w:t>we need more funding</w:t>
      </w:r>
      <w:r w:rsidR="00463E2E">
        <w:rPr>
          <w:color w:val="000000"/>
        </w:rPr>
        <w:t>"</w:t>
      </w:r>
      <w:r>
        <w:rPr>
          <w:color w:val="000000"/>
        </w:rPr>
        <w:t xml:space="preserve"> is not lying; it is choosing the explanation that creates the least internal conflict. A person who experiences policy criticism as a personal attack is not being dramatic; they are responding predictably to a world that has taught them to treat political positions as extensions of moral identity.</w:t>
      </w:r>
    </w:p>
    <w:p w14:paraId="521630BB" w14:textId="329DBBCE" w:rsidR="00E25CED" w:rsidRDefault="00E25CED">
      <w:pPr>
        <w:rPr>
          <w:color w:val="000000"/>
        </w:rPr>
      </w:pPr>
      <w:r>
        <w:rPr>
          <w:color w:val="000000"/>
        </w:rPr>
        <w:t xml:space="preserve">The forces are rational. The outcomes they produce are not. Understanding that distinction, that reasonable individual behavior can sustain collectively unreasonable patterns, is the work of these </w:t>
      </w:r>
      <w:r w:rsidR="001C5CDD">
        <w:rPr>
          <w:color w:val="000000"/>
        </w:rPr>
        <w:t xml:space="preserve">next </w:t>
      </w:r>
      <w:r>
        <w:rPr>
          <w:color w:val="000000"/>
        </w:rPr>
        <w:t>four chapters.</w:t>
      </w:r>
    </w:p>
    <w:p w14:paraId="38584DC0" w14:textId="77777777" w:rsidR="00E25CED" w:rsidRDefault="00E25CED">
      <w:pPr>
        <w:rPr>
          <w:color w:val="000000"/>
        </w:rPr>
        <w:sectPr w:rsidR="00E25CED" w:rsidSect="00E25CED">
          <w:footerReference w:type="default" r:id="rId27"/>
          <w:footerReference w:type="first" r:id="rId28"/>
          <w:endnotePr>
            <w:numFmt w:val="decimal"/>
          </w:endnotePr>
          <w:pgSz w:w="12240" w:h="15840"/>
          <w:pgMar w:top="1440" w:right="1440" w:bottom="1440" w:left="1440" w:header="0" w:footer="720" w:gutter="0"/>
          <w:cols w:space="720"/>
          <w:formProt w:val="0"/>
          <w:docGrid w:linePitch="100"/>
        </w:sectPr>
      </w:pPr>
      <w:r>
        <w:rPr>
          <w:color w:val="000000"/>
        </w:rPr>
        <w:t>What makes these forces particularly durable is that they do not merely protect free lunch thinking from external challenge. They protect it from internal doubt. The person caught inside these dynamics does not experience themselves as someone avoiding reality. They experience themselves as someone defending what matters. That is what makes the illusion so difficult to dislodge, and why Part I's diagnosis, however clear, is not sufficient on its own to change anything.</w:t>
      </w:r>
    </w:p>
    <w:p w14:paraId="2EAB9418" w14:textId="77777777" w:rsidR="00E25CED" w:rsidRDefault="00E25CED">
      <w:pPr>
        <w:pStyle w:val="Heading2"/>
      </w:pPr>
      <w:bookmarkStart w:id="39" w:name="_Toc227410670"/>
      <w:r>
        <w:t>Why Voters Hate Economics</w:t>
      </w:r>
      <w:bookmarkEnd w:id="39"/>
    </w:p>
    <w:p w14:paraId="075D324A" w14:textId="09B0F525" w:rsidR="00E25CED" w:rsidRDefault="00E25CED">
      <w:r>
        <w:t>In 2022, prices across the American economy surged at rates not seen in four decades.</w:t>
      </w:r>
      <w:r w:rsidR="0079639F">
        <w:rPr>
          <w:rStyle w:val="EndnoteReference"/>
        </w:rPr>
        <w:endnoteReference w:id="62"/>
      </w:r>
      <w:r>
        <w:t xml:space="preserve"> Groceries, gas, rent, used cars, electricity: the increases hit everything, and they hit fast. Governments had shut down the global economy during the pandemic, destroying productive capacity on a scale never attempted in peacetime. Factories closed, ports backed up, entire industries went idle. That alone would have driven prices higher because the supply of nearly everything had been gutted while demand had not disappeared. Then, into that supply-starved economy, Congress and the Federal Reserve pumped trillions in stimulus spending and near-zero interest rates. Both parties supported the spending. Both parties' voters cashed the checks. The result was predictable to anyone who understood what happens when you flood an economy with money while there is nothing on the shelves to spend it on.</w:t>
      </w:r>
      <w:r w:rsidR="009648E7">
        <w:rPr>
          <w:rStyle w:val="EndnoteReference"/>
        </w:rPr>
        <w:endnoteReference w:id="63"/>
      </w:r>
    </w:p>
    <w:p w14:paraId="1D5F04FF" w14:textId="77777777" w:rsidR="00E25CED" w:rsidRDefault="00E25CED">
      <w:r>
        <w:t>That explanation, that slowing the global economy's productive capacity and then flooding it with trillions in new spending creates inflation, asked something uncomfortable of the public. It asked people to consider that the stimulus payments they had welcomed, the expanded unemployment benefits they had supported, and the economic shutdowns they had accepted as necessary might have contributed to the price increases they were now furious about.</w:t>
      </w:r>
    </w:p>
    <w:p w14:paraId="614F6262" w14:textId="3B8BF56B" w:rsidR="00E25CED" w:rsidRDefault="00E25CED">
      <w:r>
        <w:t xml:space="preserve">It required acknowledging a tradeoff: the spending had cushioned the pandemic's economic blow, but it had also generated inflationary pressure that was now showing up at the grocery store. The explanation that gained traction instead was corporate greed. Corporations were charging more because they were greedy. This had the advantage of being emotionally satisfying, politically useful, and requiring no tradeoff acknowledgment whatsoever. </w:t>
      </w:r>
      <w:r w:rsidR="00E30D42" w:rsidRPr="00E30D42">
        <w:t>It also explained almost nothing, because corporations had been exactly as greedy in 2019, when inflation was running at 1.8 percent</w:t>
      </w:r>
      <w:r>
        <w:t>.</w:t>
      </w:r>
      <w:r w:rsidR="00E30D42">
        <w:rPr>
          <w:rStyle w:val="EndnoteReference"/>
        </w:rPr>
        <w:endnoteReference w:id="64"/>
      </w:r>
      <w:r>
        <w:t xml:space="preserve"> The variable that changed was not corporate behavior. It was the macroeconomic environment that both parties had created. But </w:t>
      </w:r>
      <w:r w:rsidR="00463E2E">
        <w:t>"</w:t>
      </w:r>
      <w:r>
        <w:t>greedy corporations</w:t>
      </w:r>
      <w:r w:rsidR="00463E2E">
        <w:t>"</w:t>
      </w:r>
      <w:r>
        <w:t xml:space="preserve"> let voters stay angry at someone else, and it let politicians on both sides avoid answering for the policies that had actually contributed to the problem.</w:t>
      </w:r>
      <w:r w:rsidR="00E30D42">
        <w:rPr>
          <w:rStyle w:val="EndnoteReference"/>
        </w:rPr>
        <w:endnoteReference w:id="65"/>
      </w:r>
    </w:p>
    <w:p w14:paraId="3D7E28D6" w14:textId="77777777" w:rsidR="00E25CED" w:rsidRDefault="00E25CED">
      <w:r>
        <w:t>The greed narrative won the public conversation. The economic explanation never had a chance, not because it was wrong but because it told voters something they did not want to hear. That pattern is the subject of this chapter.</w:t>
      </w:r>
    </w:p>
    <w:p w14:paraId="2BF16E6A" w14:textId="77777777" w:rsidR="00E25CED" w:rsidRDefault="00E25CED">
      <w:r>
        <w:t>Voters who would never tolerate a financial advisor who pretended everything was affordable routinely reward politicians who make exactly that promise. The disconnect is so consistent that it reveals something structural about how people want to think about collective decisions versus personal ones. In private life, they accept that resources are limited and choices involve sacrifice. In public life, they demand candidates who promise excellent schools, universal healthcare, modern infrastructure, clean energy, and lower taxes simultaneously. Candidates who explain what different policies actually require get punished. Candidates who promise everything while acknowledging nothing about costs get elected.</w:t>
      </w:r>
    </w:p>
    <w:p w14:paraId="682595B9" w14:textId="77777777" w:rsidR="00E25CED" w:rsidRDefault="00E25CED">
      <w:r>
        <w:t>The result is a political environment where anyone who understands how policy actually works faces an impossible choice: explain the real constraints and lose, or make impossible promises and deal with the wreckage later. The incentive structure selects for dishonesty and then punishes the consequences of dishonesty. The voters who created that incentive structure are the last to recognize their role in it.</w:t>
      </w:r>
    </w:p>
    <w:p w14:paraId="04EDC369" w14:textId="77777777" w:rsidR="00E25CED" w:rsidRDefault="00E25CED">
      <w:pPr>
        <w:pStyle w:val="Heading3"/>
      </w:pPr>
      <w:bookmarkStart w:id="40" w:name="_Toc227410671"/>
      <w:r>
        <w:t>Economics Refuses to Flatter</w:t>
      </w:r>
      <w:bookmarkEnd w:id="40"/>
    </w:p>
    <w:p w14:paraId="306E4785" w14:textId="77777777" w:rsidR="00E25CED" w:rsidRDefault="00E25CED">
      <w:r>
        <w:t>Economic thinking delivers bad news about favorite ideas. When someone proposes a policy to help people who clearly need it, economic analysis immediately starts asking uncomfortable questions about costs, tradeoffs, and unintended consequences. This relentless focus on limitations and constraints can feel like an attack on human aspirations and moral progress, not a tool for achieving better outcomes.</w:t>
      </w:r>
    </w:p>
    <w:p w14:paraId="11BA91E3" w14:textId="77777777" w:rsidR="00E25CED" w:rsidRDefault="00E25CED">
      <w:r>
        <w:t>The frustration runs deeper than disagreement about specific policies. Economic reasoning challenges the beliefs people use to make political engagement psychologically sustainable.</w:t>
      </w:r>
    </w:p>
    <w:p w14:paraId="1B06336B" w14:textId="5907A93B" w:rsidR="00E04A4E" w:rsidRPr="00E04A4E" w:rsidRDefault="00E04A4E" w:rsidP="00E04A4E">
      <w:r w:rsidRPr="00E04A4E">
        <w:t xml:space="preserve">Spend more money to reduce homelessness, and economic analysis asks whether the spending will actually reduce homelessness or just change which services homeless people use without changing how many people are homeless. </w:t>
      </w:r>
      <w:r w:rsidR="00274D70" w:rsidRPr="00274D70">
        <w:t>Raise the minimum wage to help low-income workers, and the question is whether the higher wage reaches the workers it's meant to help or prices some of them out of the jobs they currently have</w:t>
      </w:r>
      <w:r w:rsidRPr="00E04A4E">
        <w:t>. These are not questions about whether the problems matter. They are questions about whether the proposed solutions address them. But the distinction disappears in political conversation, because people want to believe that sufficient compassion and political will can solve most social problems, and any question about mechanism registers as a question about whether they care enough.</w:t>
      </w:r>
    </w:p>
    <w:p w14:paraId="0C2FC12F" w14:textId="77777777" w:rsidR="00E04A4E" w:rsidRPr="00E04A4E" w:rsidRDefault="00E04A4E" w:rsidP="00E04A4E">
      <w:r w:rsidRPr="00E04A4E">
        <w:t>Propose reducing class sizes to improve education, and the first question is whether smaller classes actually improve learning outcomes or just cost more. Tax cuts to stimulate growth? The analysis asks whether those cuts generate enough activity to offset lost revenue. When the minimum wage goes up, the scrutiny turns to whether higher floors help workers on net or reduce their employment opportunities. It does not matter who is proposing or how obviously good the goal sounds. Economic analysis refuses to take for granted that any proposed approach will achieve what it promises.</w:t>
      </w:r>
    </w:p>
    <w:p w14:paraId="63B007EF" w14:textId="77777777" w:rsidR="00E25CED" w:rsidRDefault="00E25CED">
      <w:r>
        <w:t>This refusal to validate the connection between caring and solving feels dismissive of moral concern. People experience their policy preferences as expressions of their values: supporting education funding means you value children's futures, supporting environmental regulations means you value the planet, supporting social programs means you value helping vulnerable people. When economic analysis questions whether these policies work, people hear their values being questioned, not their policy mechanisms being examined.</w:t>
      </w:r>
    </w:p>
    <w:p w14:paraId="70AA782B" w14:textId="77777777" w:rsidR="00E04A4E" w:rsidRPr="00E04A4E" w:rsidRDefault="00E04A4E" w:rsidP="00E04A4E">
      <w:r w:rsidRPr="00E04A4E">
        <w:t>When housing is expensive, someone is supposed to be the villain. The political narrative settles on greedy landlords or developers who care more about profits than about people. Economic analysis offers no such satisfaction. It examines why housing supply does not increase to meet demand (zoning restrictions, building regulations, approval processes) and how different people respond to the incentives these policies create. No one is evil. Everyone is constrained. That refusal to sort actors into heroes and villains frustrates people who experience housing unaffordability as a fundamentally moral problem, because when someone believes they have identified the people responsible for a problem, an analysis that examines everyone's constraints and incentives feels like making excuses for inexcusable behavior.</w:t>
      </w:r>
    </w:p>
    <w:p w14:paraId="298D1FA1" w14:textId="77777777" w:rsidR="00E25CED" w:rsidRDefault="00E25CED">
      <w:r>
        <w:t>It also refuses to defer to credentials. A proposal evaluated on the merits of its mechanism, not the qualifications of the person making it, creates particular tension with professionals who expect years of specialized experience to carry weight in policy discussions.</w:t>
      </w:r>
    </w:p>
    <w:p w14:paraId="2603249A" w14:textId="42281A55" w:rsidR="00E25CED" w:rsidRDefault="00E25CED">
      <w:r>
        <w:t xml:space="preserve">A pandemic, an environmental emergency, a financial collapse: economic analysis insists on the same examination of costs and consequences regardless of how urgent the problem feels. The consistency can seem like callous indifference to suffering. The person who says </w:t>
      </w:r>
      <w:r w:rsidR="00463E2E">
        <w:t>"</w:t>
      </w:r>
      <w:r>
        <w:t>this problem requires immediate action</w:t>
      </w:r>
      <w:r w:rsidR="00463E2E">
        <w:t>"</w:t>
      </w:r>
      <w:r>
        <w:t xml:space="preserve"> and the person who says </w:t>
      </w:r>
      <w:r w:rsidR="00463E2E">
        <w:t>"</w:t>
      </w:r>
      <w:r>
        <w:t>we should first examine whether proposed solutions will make things better or worse</w:t>
      </w:r>
      <w:r w:rsidR="00463E2E">
        <w:t>"</w:t>
      </w:r>
      <w:r>
        <w:t xml:space="preserve"> are having fundamentally different conversations, even when they care equally about the underlying problem.</w:t>
      </w:r>
    </w:p>
    <w:p w14:paraId="619FFBDD" w14:textId="77777777" w:rsidR="00E25CED" w:rsidRDefault="00E25CED">
      <w:r>
        <w:t>Understanding how policies actually work takes priority over validating how people want to feel about the policies they support. That makes political engagement less satisfying. People seek frameworks that let them support policies aligned with their values while feeling confident those policies will work. Economic reasoning cannot provide that assurance. It suggests that many well-intentioned policies produce disappointing results, and that good intentions do not guarantee good outcomes.</w:t>
      </w:r>
    </w:p>
    <w:p w14:paraId="518E37E8" w14:textId="77777777" w:rsidR="00E25CED" w:rsidRDefault="00E25CED">
      <w:pPr>
        <w:pStyle w:val="Heading3"/>
      </w:pPr>
      <w:bookmarkStart w:id="41" w:name="_Toc227410672"/>
      <w:r>
        <w:t>Constraints Feel Like Disrespect</w:t>
      </w:r>
      <w:bookmarkEnd w:id="41"/>
    </w:p>
    <w:p w14:paraId="5803AB54" w14:textId="77777777" w:rsidR="00E25CED" w:rsidRDefault="00E25CED">
      <w:r>
        <w:t>When economic analysis explains that people cannot have everything they want, that choosing more of one thing means accepting less of something else, many people hear this not as description of how resource allocation works but as accusation about their personal character and judgment. The suggestion that you cannot have everything you want feels like an accusation that you want too much. The observation that your preferred policy involves difficult tradeoffs feels like criticism of your judgment for preferring it. The explanation that resource constraints are real and binding feels like condescension from someone who thinks you are too naive to understand how the world works.</w:t>
      </w:r>
    </w:p>
    <w:p w14:paraId="1FD08C82" w14:textId="77777777" w:rsidR="00E25CED" w:rsidRDefault="00E25CED">
      <w:r>
        <w:t>Before I studied economics, I was certain the government was recklessly handing out driver's licenses to teenagers who had no business operating a vehicle. It seemed obvious: the roads were dangerous, the testing was inadequate, and nobody in charge appeared to care. Then I started learning about labor mobility and productivity, and the tradeoff came into focus. You cannot make it too difficult to get a license without making it too difficult to get to work. A more restrictive system would produce safer individual drivers and a less productive economy, and the calculation had already been made, whether anyone announced it or not. I did not become less concerned about road safety. I just realized the system was not ignoring the problem. It was managing a constraint I had not known existed.</w:t>
      </w:r>
    </w:p>
    <w:p w14:paraId="1EAB2CA6" w14:textId="77777777" w:rsidR="00E25CED" w:rsidRDefault="00E25CED">
      <w:r>
        <w:t>Previous generations grew up with immediate, visible reminders that resources were finite and that having more of one thing meant having less of another. People who lived through the Great Depression learned about scarcity through unemployment, bank failures, and genuine uncertainty about whether basic needs would be met. People who grew up in the immediate postwar period, even in relative prosperity, grew up in households where parents remembered scarcity and taught habits of careful resource management. The understanding was intuitive: wanting something does not make it available.</w:t>
      </w:r>
    </w:p>
    <w:p w14:paraId="27DC927B" w14:textId="77777777" w:rsidR="00E25CED" w:rsidRDefault="00E25CED">
      <w:r>
        <w:t>In affluent societies, these reminders have become less visible. For people whose basic needs are reliably met and who have never experienced genuine material scarcity, economic constraints can feel artificial, like arbitrary limitations imposed by human choices instead of binding realities that human choices must accommodate.</w:t>
      </w:r>
      <w:r>
        <w:rPr>
          <w:rStyle w:val="EndnoteReference"/>
        </w:rPr>
        <w:endnoteReference w:id="66"/>
      </w:r>
    </w:p>
    <w:p w14:paraId="53EC38AC" w14:textId="4AC24C00" w:rsidR="00E25CED" w:rsidRDefault="00E25CED">
      <w:r>
        <w:t xml:space="preserve">When people observe government waste, inefficiency, or spending on purposes they consider frivolous, they reasonably conclude that money exists and that claims of constraint reflect priorities, not genuine scarcity. When someone says </w:t>
      </w:r>
      <w:r w:rsidR="00463E2E">
        <w:t>"</w:t>
      </w:r>
      <w:r>
        <w:t>we cannot afford universal healthcare,</w:t>
      </w:r>
      <w:r w:rsidR="00463E2E">
        <w:t>"</w:t>
      </w:r>
      <w:r>
        <w:t xml:space="preserve"> a person who has observed billions spent on projects they consider wasteful hears not </w:t>
      </w:r>
      <w:r w:rsidR="00463E2E">
        <w:t>"</w:t>
      </w:r>
      <w:r>
        <w:t>resources are genuinely scarce</w:t>
      </w:r>
      <w:r w:rsidR="00463E2E">
        <w:t>"</w:t>
      </w:r>
      <w:r>
        <w:t xml:space="preserve"> but </w:t>
      </w:r>
      <w:r w:rsidR="00463E2E">
        <w:t>"</w:t>
      </w:r>
      <w:r>
        <w:t>we have chosen not to prioritize healthcare.</w:t>
      </w:r>
      <w:r w:rsidR="00463E2E">
        <w:t>"</w:t>
      </w:r>
      <w:r>
        <w:t xml:space="preserve"> When someone says </w:t>
      </w:r>
      <w:r w:rsidR="00463E2E">
        <w:t>"</w:t>
      </w:r>
      <w:r>
        <w:t>we cannot afford to rebuild all infrastructure,</w:t>
      </w:r>
      <w:r w:rsidR="00463E2E">
        <w:t>"</w:t>
      </w:r>
      <w:r>
        <w:t xml:space="preserve"> a person who has observed massive military budgets hears not </w:t>
      </w:r>
      <w:r w:rsidR="00463E2E">
        <w:t>"</w:t>
      </w:r>
      <w:r>
        <w:t>the costs are genuinely prohibitive</w:t>
      </w:r>
      <w:r w:rsidR="00463E2E">
        <w:t>"</w:t>
      </w:r>
      <w:r>
        <w:t xml:space="preserve"> but </w:t>
      </w:r>
      <w:r w:rsidR="00463E2E">
        <w:t>"</w:t>
      </w:r>
      <w:r>
        <w:t>we have chosen different priorities.</w:t>
      </w:r>
      <w:r w:rsidR="00463E2E">
        <w:t>"</w:t>
      </w:r>
      <w:r>
        <w:t xml:space="preserve"> The visible existence of government resources going to purposes they consider less important makes constraint-claims sound like value judgments disguised as resource limitations.</w:t>
      </w:r>
    </w:p>
    <w:p w14:paraId="2846FCF9" w14:textId="77777777" w:rsidR="00E25CED" w:rsidRDefault="00E25CED">
      <w:r>
        <w:t>Schools teach students they can achieve ambitious goals through hard work and creative thinking. Professional environments reward optimism while treating acknowledgment of limitations as lack of vision. Explain why a popular idea won't work and you risk being labeled as negative; point out resource limitations and colleagues may write you off as uncreative. Consultants who emphasize constraints lose clients to competitors who promise what people want to hear. The lesson accumulates: success comes from finding ways around obstacles, not from accepting them as binding.</w:t>
      </w:r>
    </w:p>
    <w:p w14:paraId="466391CE" w14:textId="77777777" w:rsidR="00E25CED" w:rsidRDefault="00E25CED">
      <w:r>
        <w:t>Political campaigns reinforce the pattern. Candidates promise transformative change (fundamental reform of healthcare, education, energy, infrastructure, criminal justice) instead of careful management of difficult tradeoffs. Campaign rhetoric emphasizes what is possible over what is difficult, what we can achieve together over what we must sacrifice to achieve it. Campaigning on careful tradeoff management sounds unambitious compared to campaigning on achieving everything people want.</w:t>
      </w:r>
    </w:p>
    <w:p w14:paraId="74DD7243" w14:textId="04B0EC21" w:rsidR="00E25CED" w:rsidRDefault="00E25CED">
      <w:r>
        <w:t xml:space="preserve">The result is an environment where people interpret constraint-acknowledgment as value judgment, not factual claim. When someone explains that a popular policy idea would require difficult tradeoffs, listeners do not hear </w:t>
      </w:r>
      <w:r w:rsidR="00463E2E">
        <w:t>"</w:t>
      </w:r>
      <w:r>
        <w:t>this approach involves costs that must be weighed against benefits.</w:t>
      </w:r>
      <w:r w:rsidR="00463E2E">
        <w:t>"</w:t>
      </w:r>
      <w:r>
        <w:t xml:space="preserve"> They hear </w:t>
      </w:r>
      <w:r w:rsidR="00463E2E">
        <w:t>"</w:t>
      </w:r>
      <w:r>
        <w:t>you are naive for wanting this</w:t>
      </w:r>
      <w:r w:rsidR="00463E2E">
        <w:t>"</w:t>
      </w:r>
      <w:r>
        <w:t xml:space="preserve"> or </w:t>
      </w:r>
      <w:r w:rsidR="00463E2E">
        <w:t>"</w:t>
      </w:r>
      <w:r>
        <w:t>you care about the wrong things</w:t>
      </w:r>
      <w:r w:rsidR="00463E2E">
        <w:t>"</w:t>
      </w:r>
      <w:r>
        <w:t xml:space="preserve"> or </w:t>
      </w:r>
      <w:r w:rsidR="00463E2E">
        <w:t>"</w:t>
      </w:r>
      <w:r>
        <w:t>you should be satisfied with less.</w:t>
      </w:r>
      <w:r w:rsidR="00463E2E">
        <w:t>"</w:t>
      </w:r>
    </w:p>
    <w:p w14:paraId="6E7559CA" w14:textId="77777777" w:rsidR="00E25CED" w:rsidRDefault="00E25CED">
      <w:r>
        <w:t>The irony is that treating constraint-acknowledgment as disrespect shows less respect for human intelligence than acknowledging constraints does. Pretending that choices do not involve tradeoffs treats people like children who need protection from difficult realities. Explaining what different approaches require treats people as adults capable of making informed decisions when given accurate information. The most respectful thing anyone can do in public discourse is tell people what policies cost, who pays, and what the tradeoffs are.</w:t>
      </w:r>
    </w:p>
    <w:p w14:paraId="2702987D" w14:textId="77777777" w:rsidR="00E25CED" w:rsidRDefault="00E25CED">
      <w:pPr>
        <w:pStyle w:val="Heading3"/>
      </w:pPr>
      <w:bookmarkStart w:id="42" w:name="_Toc227410673"/>
      <w:r>
        <w:t>Certainty Beats Honesty</w:t>
      </w:r>
      <w:bookmarkEnd w:id="42"/>
    </w:p>
    <w:p w14:paraId="29A0C1DD" w14:textId="77777777" w:rsidR="00E25CED" w:rsidRDefault="00E25CED">
      <w:r>
        <w:t>Electoral success correlates more strongly with confidence than with accuracy. Candidates who express absolute certainty about what their proposals will achieve consistently defeat candidates who acknowledge uncertainty about outcomes or complexity in implementation. The promise of an education plan that will definitely improve student achievement in three years defeats an explanation that outcomes are difficult to improve, that most interventions produce modest effects, and that different approaches work better in different contexts. Voters embrace the guarantee of cheaper, better care while rejecting the warning that cost control and quality are competing goals. The pattern holds regardless of the policy domain. Confidence wins. Nuance loses.</w:t>
      </w:r>
    </w:p>
    <w:p w14:paraId="1739F595" w14:textId="77777777" w:rsidR="00E25CED" w:rsidRDefault="00E25CED">
      <w:r>
        <w:t>Honest communication about policy faces a lose-lose choice: explain complexity and sound uncertain, weak, and incompetent compared to opponents who promise simple solutions, or match opponents' confidence by making promises that cannot be kept. Voters will enthusiastically support a candidate who promises to solve complicated problems quickly and painlessly while viewing with suspicion a candidate who explains that the same problems are difficult and that solutions involve tradeoffs and uncertain outcomes.</w:t>
      </w:r>
    </w:p>
    <w:p w14:paraId="258F14BF" w14:textId="77777777" w:rsidR="00E25CED" w:rsidRDefault="00E25CED">
      <w:r>
        <w:t>Certainty satisfies psychological needs that honesty cannot. People want to believe that clear solutions exist and that their own votes can produce meaningful improvements. Acknowledging uncertainty about policy effectiveness undermines both beliefs, even when the uncertainty reflects honesty rather than incompetence.</w:t>
      </w:r>
    </w:p>
    <w:p w14:paraId="7D1B9F07" w14:textId="67A7C6CB" w:rsidR="00E25CED" w:rsidRDefault="00E25CED">
      <w:r>
        <w:t xml:space="preserve">The need for certainty intensifies when problems feel threatening. Economic downturns, public health emergencies, periods of social tension: each produces its own demand for confident promises about jobs, timelines, order. The worse things get, the less tolerance voters have for candor about difficulty. </w:t>
      </w:r>
      <w:r w:rsidR="00463E2E">
        <w:t>"</w:t>
      </w:r>
      <w:r>
        <w:t>I will definitely fix this</w:t>
      </w:r>
      <w:r w:rsidR="00463E2E">
        <w:t>"</w:t>
      </w:r>
      <w:r>
        <w:t xml:space="preserve"> satisfies that demand. </w:t>
      </w:r>
      <w:r w:rsidR="00463E2E">
        <w:t>"</w:t>
      </w:r>
      <w:r>
        <w:t>This is genuinely difficult and I will work carefully to improve the situation</w:t>
      </w:r>
      <w:r w:rsidR="00463E2E">
        <w:t>"</w:t>
      </w:r>
      <w:r>
        <w:t xml:space="preserve"> does not.</w:t>
      </w:r>
    </w:p>
    <w:p w14:paraId="27B0BFDD" w14:textId="77777777" w:rsidR="00E25CED" w:rsidRDefault="00E25CED">
      <w:r>
        <w:t>Economic analysis makes this problem worse by emphasizing how little we know with confidence about policy effectiveness. Decades of research demonstrate that most social interventions produce smaller effects than anticipated, that unintended consequences regularly undermine intended benefits, and that policies succeeding in one context often fail in another.</w:t>
      </w:r>
      <w:r>
        <w:rPr>
          <w:rStyle w:val="EndnoteReference"/>
        </w:rPr>
        <w:endnoteReference w:id="67"/>
      </w:r>
      <w:r>
        <w:t xml:space="preserve"> Education reforms that improve outcomes in some schools do nothing in others. The same is true of stimulus spending across recessions, healthcare payment models across hospitals, criminal justice interventions across jurisdictions. What works somewhere rarely works everywhere, and the evidence keeps confirming it. The accumulation of uncertainty makes intellectually honest candidates sound less confident, while candidates willing to ignore the evidence can maintain the certainty that voters find reassuring.</w:t>
      </w:r>
    </w:p>
    <w:p w14:paraId="42BD3F8D" w14:textId="77777777" w:rsidR="00E25CED" w:rsidRDefault="00E25CED">
      <w:r>
        <w:t>The electoral system also makes learning from failure nearly impossible. Politicians cannot acknowledge that previous approaches did not work as promised, because admitting past failure undermines confidence in current proposals. A politician who admits that the last education reform did not improve test scores as hoped has handed opponents a weapon. Extend that admission to stimulus spending and healthcare, and the politician has built a case against their own credibility. Each election cycle starts from scratch, never building on accumulated knowledge about what works and what does not.</w:t>
      </w:r>
    </w:p>
    <w:p w14:paraId="713BDBE3" w14:textId="6775D0E0" w:rsidR="00E25CED" w:rsidRDefault="00E25CED">
      <w:r>
        <w:t xml:space="preserve">Any acknowledgment of uncertainty gets interpreted as lack of commitment or leadership. A politician saying </w:t>
      </w:r>
      <w:r w:rsidR="00463E2E">
        <w:t>"</w:t>
      </w:r>
      <w:r>
        <w:t>we will try this approach and adjust based on results</w:t>
      </w:r>
      <w:r w:rsidR="00463E2E">
        <w:t>"</w:t>
      </w:r>
      <w:r>
        <w:t xml:space="preserve"> sounds weaker than one declaring </w:t>
      </w:r>
      <w:r w:rsidR="00463E2E">
        <w:t>"</w:t>
      </w:r>
      <w:r>
        <w:t>this approach will definitely work.</w:t>
      </w:r>
      <w:r w:rsidR="00463E2E">
        <w:t>"</w:t>
      </w:r>
      <w:r>
        <w:t xml:space="preserve"> A candidate who says </w:t>
      </w:r>
      <w:r w:rsidR="00463E2E">
        <w:t>"</w:t>
      </w:r>
      <w:r>
        <w:t>solving this problem will take sustained effort over many years</w:t>
      </w:r>
      <w:r w:rsidR="00463E2E">
        <w:t>"</w:t>
      </w:r>
      <w:r>
        <w:t xml:space="preserve"> sounds less committed than one who says </w:t>
      </w:r>
      <w:r w:rsidR="00463E2E">
        <w:t>"</w:t>
      </w:r>
      <w:r>
        <w:t>I will solve this problem in my first term.</w:t>
      </w:r>
      <w:r w:rsidR="00463E2E">
        <w:t>"</w:t>
      </w:r>
      <w:r>
        <w:t xml:space="preserve"> The policy discussion becomes a contest over who can express the most confidence, not a cumulative process of learning from results and improving.</w:t>
      </w:r>
    </w:p>
    <w:p w14:paraId="206F813D" w14:textId="341D8882" w:rsidR="00E25CED" w:rsidRDefault="00E25CED">
      <w:r>
        <w:t xml:space="preserve">The result is a system where success gets measured by the impressiveness of promises, not the quality of results. Candidates compete by making increasingly ambitious commitments, not by demonstrating competence at implementation. The bolder promise wins. Cutting poverty in half beats cutting it by </w:t>
      </w:r>
      <w:r w:rsidR="00755DF8">
        <w:t>20</w:t>
      </w:r>
      <w:r>
        <w:t xml:space="preserve"> percent, regardless of which goal is achievable. Two-year timelines defeat five-year timelines, regardless of which is realistic.</w:t>
      </w:r>
    </w:p>
    <w:p w14:paraId="059A8294" w14:textId="77777777" w:rsidR="00767630" w:rsidRDefault="00E25CED">
      <w:r>
        <w:t>In Kansas, sweeping income tax cuts were designed on the assumption that the resulting economic growth would replace the lost revenue, an assumption so confident that lawmakers did not bother to pair the cuts with spending reductions. The legislature's own research staff predicted a budget shortfall. They were right. Revenue collapsed, the state's credit rating was downgraded, and a Republican-controlled legislature eventually voted to reverse the cuts.</w:t>
      </w:r>
      <w:r>
        <w:rPr>
          <w:rStyle w:val="EndnoteReference"/>
        </w:rPr>
        <w:endnoteReference w:id="68"/>
      </w:r>
      <w:r>
        <w:t xml:space="preserve"> The people who genuinely believed in the economic case for lower taxes should be the angriest about Kansas, because the failure to plan for anything other than the best-case scenario handed every opponent of tax reduction their single most effective piece of evidence</w:t>
      </w:r>
      <w:r w:rsidR="00767630">
        <w:t>.</w:t>
      </w:r>
    </w:p>
    <w:p w14:paraId="3962DBE7" w14:textId="48B93E5E" w:rsidR="00E25CED" w:rsidRDefault="00E25CED">
      <w:r>
        <w:t>Each election cycle feeds the next. More extravagant promises create expectations that cannot be met, producing disappointment and cynicism that the following cycle addresses with still bolder commitments. The gap between what gets promised and what gets delivered grows wider, but the incentive to overpromise never weakens.</w:t>
      </w:r>
    </w:p>
    <w:p w14:paraId="209B0DF4" w14:textId="77777777" w:rsidR="00E25CED" w:rsidRDefault="00E25CED">
      <w:pPr>
        <w:pStyle w:val="Heading3"/>
      </w:pPr>
      <w:bookmarkStart w:id="43" w:name="_Toc227410674"/>
      <w:r>
        <w:t>Hostility as Self-Protection</w:t>
      </w:r>
      <w:bookmarkEnd w:id="43"/>
    </w:p>
    <w:p w14:paraId="777305BB" w14:textId="77777777" w:rsidR="00E25CED" w:rsidRDefault="00E25CED">
      <w:r>
        <w:t>The resistance to economic thinking is not primarily intellectual but emotional and protective. Accepting economic reasoning requires confronting possibilities that threaten how people understand themselves and their place in the world.</w:t>
      </w:r>
    </w:p>
    <w:p w14:paraId="12AFCAB3" w14:textId="77777777" w:rsidR="00E25CED" w:rsidRDefault="00E25CED">
      <w:r>
        <w:t>People build identities around their political commitments. Someone who has spent years fighting for social justice does not experience that commitment as a policy preference. It is an identity. A teacher committed to methods she has spent a career refining, a social worker devoted to intervention strategies he has watched succeed, an environmental advocate who has organized around regulations she helped draft: each has professional identity wrapped around those approaches. The commitment creates meaning and purpose that go beyond the policies themselves.</w:t>
      </w:r>
    </w:p>
    <w:p w14:paraId="7D0000ED" w14:textId="2DE97017" w:rsidR="00E25CED" w:rsidRDefault="00E25CED">
      <w:r>
        <w:t xml:space="preserve">I grew up poor in a small Texas town, one of five boys with three different fathers, in the kind of poverty that needs no romanticizing: we moved constantly, </w:t>
      </w:r>
      <w:r w:rsidR="00D66A81">
        <w:t>14</w:t>
      </w:r>
      <w:r>
        <w:t xml:space="preserve"> different addresses before I turned </w:t>
      </w:r>
      <w:r w:rsidR="00D66A81">
        <w:t>13</w:t>
      </w:r>
      <w:r>
        <w:t xml:space="preserve">, and stretched what little we had by mixing bread into the hamburger meat just to fill our bellies faster. I was the first in my extended family to finish high school. After the Army, I spent the better part of </w:t>
      </w:r>
      <w:r w:rsidR="00D66A81">
        <w:t>15</w:t>
      </w:r>
      <w:r>
        <w:t xml:space="preserve"> years making every bad choice I write about in this book, and so were most of my brothers. Homelessness, repossessed cars, power cut off, eviction notices. I was not watching poverty from the outside. I was deep in it.</w:t>
      </w:r>
    </w:p>
    <w:p w14:paraId="04308461" w14:textId="187484BF" w:rsidR="00E25CED" w:rsidRDefault="00E25CED">
      <w:r>
        <w:t xml:space="preserve">When I finally clawed my way into college at </w:t>
      </w:r>
      <w:r w:rsidR="00D66A81">
        <w:t>38</w:t>
      </w:r>
      <w:r>
        <w:t xml:space="preserve"> and built something different through choices most of my brothers did not make, I did not become evidence to them that those choices mattered. Instead, I became someone who had forgotten where he came from. The belief that the deck was stacked and individual decisions were beside the point had stopped being an explanation for hard circumstances. It had become who they were. And a brother who came from the same place, made the same mistakes, and still built a different life was not a source of hope. I was the contradiction they could not afford to examine.</w:t>
      </w:r>
    </w:p>
    <w:p w14:paraId="06BBFAAF" w14:textId="3418E15D" w:rsidR="002A0DA2" w:rsidRDefault="002A0DA2">
      <w:r w:rsidRPr="002A0DA2">
        <w:t>The threat is specific to each identity. The person whose identity centers on fighting for justice has to confront the possibility that favored policies have not achieved it. The teacher has to reconsider whether preferred methods are actually working. The activist has to weigh whether mobilization is producing results or only producing more mobilization</w:t>
      </w:r>
      <w:r>
        <w:t>.</w:t>
      </w:r>
    </w:p>
    <w:p w14:paraId="1652B039" w14:textId="418AD937" w:rsidR="00E25CED" w:rsidRDefault="00E25CED">
      <w:r>
        <w:t>The psychological costs are real. Political engagement provides a sense of moral certainty: the confidence that you support the right positions and oppose the wrong ones, that you are on the side of justice and progress. It provides a sense of efficacy: the belief that your actions matter and that you are helping solve important problems. Accepting economic analysis means giving up some of that certainty and efficacy in exchange for a more accurate but less satisfying understanding of how policies actually work. The trade is psychologically costly even when it is intellectually honest.</w:t>
      </w:r>
    </w:p>
    <w:p w14:paraId="7D3F494E" w14:textId="77777777" w:rsidR="00E25CED" w:rsidRDefault="00E25CED">
      <w:r>
        <w:t>Rejecting economic thinking protects people from having to make difficult choices about priorities and tradeoffs. If resources are truly constrained, then caring about everything means choosing what to care about most. It means deciding which groups to help first, which problems to address most urgently, which approaches to try when you cannot try them all. That is psychologically demanding because it means acknowledging the people you are not helping, the problems you are not solving, the approaches you are not trying.</w:t>
      </w:r>
    </w:p>
    <w:p w14:paraId="7FEC23ED" w14:textId="77777777" w:rsidR="00E25CED" w:rsidRDefault="00E25CED">
      <w:r>
        <w:t>Avoiding the choice allows people to maintain positions that would collapse if they acknowledged practical constraints. You can simultaneously support expanded funding for education, healthcare, infrastructure, environmental protection, and social services without having to explain how all of it gets financed or which investments matter most. You can support both lower taxes and higher spending without confronting the fiscal gap. Those positions are comfortable because they do not require prioritization, but they survive only as long as no one thinks too carefully about resource constraints.</w:t>
      </w:r>
    </w:p>
    <w:p w14:paraId="212B3F33" w14:textId="77777777" w:rsidR="00E25CED" w:rsidRDefault="00E25CED">
      <w:r>
        <w:t>Political positions also serve social and professional functions that have nothing to do with whether the policies work. Supporting the right policies signals membership in valued groups, demonstrates commitment to shared values, and maintains relationships with like-minded people. The person who supports what their professional community supports, what their social circle supports, and what their political coalition supports maintains belonging in all three. Economic analysis that questions whether popular policies work threatens that belonging directly.</w:t>
      </w:r>
    </w:p>
    <w:p w14:paraId="132443FF" w14:textId="77777777" w:rsidR="00E25CED" w:rsidRDefault="00E25CED">
      <w:r>
        <w:t>Questioning whether popular approaches achieve their stated goals carries social costs that are not abstract. In academia, skepticism about favored interventions can make it harder to get tenure, secure grants, or publish in prestigious journals. In nonprofits, expressing doubt about standard approaches can stall a career. In journalism, examining evidence about popular policies invites accusations of bias or of carrying water for the opposing side. People who challenge popular positions within their professional communities experience damage to their careers and relationships.</w:t>
      </w:r>
    </w:p>
    <w:p w14:paraId="71515783" w14:textId="7125B35B" w:rsidR="00E25CED" w:rsidRDefault="00E25CED">
      <w:r>
        <w:t>The resistance to economic thinking is therefore not a failure of reasoning but a success of psychological and social self-protection. The analytical approach threatens not just policy preferences but identity, professional standing, and social belonging. That is why rational arguments about policy effectiveness so often fail to move people</w:t>
      </w:r>
      <w:r w:rsidR="00D66A81">
        <w:t>—t</w:t>
      </w:r>
      <w:r>
        <w:t>hey are aimed at a problem that is not primarily intellectual.</w:t>
      </w:r>
    </w:p>
    <w:p w14:paraId="5897408A" w14:textId="77777777" w:rsidR="00E25CED" w:rsidRDefault="00E25CED">
      <w:pPr>
        <w:pStyle w:val="Heading3"/>
      </w:pPr>
      <w:bookmarkStart w:id="44" w:name="_Toc227410675"/>
      <w:r>
        <w:t>The Machinery of Simplification</w:t>
      </w:r>
      <w:bookmarkEnd w:id="44"/>
    </w:p>
    <w:p w14:paraId="3D93C307" w14:textId="77777777" w:rsidR="00E25CED" w:rsidRDefault="00E25CED">
      <w:r>
        <w:t>The patterns described in this chapter are not just features of human psychology that happen to show up in politics. They have been studied, measured, and methodically exploited by an industry that has learned exactly how to craft messages voters will embrace and how to avoid messages voters will punish.</w:t>
      </w:r>
    </w:p>
    <w:p w14:paraId="68ADB5AA" w14:textId="77777777" w:rsidR="00E25CED" w:rsidRDefault="00E25CED">
      <w:r>
        <w:t>Modern political campaigns are not amateur operations run by candidates who say whatever they believe. They are sophisticated enterprises staffed by professionals who have spent decades learning what works. Pollsters test messages before candidates speak them. Focus groups reveal which phrases resonate and which fall flat. Media consultants craft advertisements designed to trigger emotional responses that bypass analytical evaluation. Opposition researchers identify moments when opponents acknowledged complexity or uncertainty, then build attack ads around those moments of honesty.</w:t>
      </w:r>
    </w:p>
    <w:p w14:paraId="6B1F1797" w14:textId="77777777" w:rsidR="00E25CED" w:rsidRDefault="00E25CED">
      <w:r>
        <w:t>What the industry has settled on, after decades of refinement, is a set of practices that reward exactly the communication patterns this chapter describes. Promise benefits without mentioning costs. Express absolute confidence regardless of actual uncertainty. Attack opponents who acknowledge tradeoffs as lacking commitment or vision. Treat any admission of complexity as a weakness to be exploited, not a sign of honest analysis.</w:t>
      </w:r>
    </w:p>
    <w:p w14:paraId="22D8FE15" w14:textId="48DAF100" w:rsidR="00E25CED" w:rsidRDefault="00E25CED">
      <w:r>
        <w:t xml:space="preserve">The consulting class did not create voter preferences for confident simplicity. Those preferences exist independently. But consultants have learned to exploit those preferences with increasing precision. A candidate who insists on explaining tradeoffs will watch opponents turn that honesty into attack ads. </w:t>
      </w:r>
      <w:r w:rsidR="00463E2E">
        <w:t>"</w:t>
      </w:r>
      <w:r>
        <w:t>Senator Smith admitted his healthcare plan might not work for everyone,</w:t>
      </w:r>
      <w:r w:rsidR="00463E2E">
        <w:t>"</w:t>
      </w:r>
      <w:r>
        <w:t xml:space="preserve"> the ad intones, and what was meant as candor becomes evidence of incompetence.</w:t>
      </w:r>
    </w:p>
    <w:p w14:paraId="799839C7" w14:textId="77777777" w:rsidR="00E25CED" w:rsidRDefault="00E25CED">
      <w:r>
        <w:t>A professional infrastructure now filters candidate communication before it reaches voters. Candidates who want to win learn to speak in ways consultants have tested and approved. Those who resist, who insist on careful explanations despite professional advice, generally lose. The system selects not just for candidates willing to make confident promises but for candidates willing to let professionals package those promises.</w:t>
      </w:r>
    </w:p>
    <w:p w14:paraId="5FED7270" w14:textId="7E46B33F" w:rsidR="00E25CED" w:rsidRDefault="00E25CED">
      <w:r>
        <w:t xml:space="preserve">Media institutions amplify the dynamic through their own operational logic. News coverage rewards conflict, drama, and clear narratives. A candidate who promises to solve a problem generates a story. A candidate who explains why the problem is difficult and solutions uncertain generates confusion about what the story even is. The journalist who tries to write </w:t>
      </w:r>
      <w:r w:rsidR="00463E2E">
        <w:t>"</w:t>
      </w:r>
      <w:r>
        <w:t>Candidate acknowledges healthcare reform involves difficult tradeoffs</w:t>
      </w:r>
      <w:r w:rsidR="00463E2E">
        <w:t>"</w:t>
      </w:r>
      <w:r>
        <w:t xml:space="preserve"> will struggle to get that story past editors looking for sharper angles.</w:t>
      </w:r>
    </w:p>
    <w:p w14:paraId="334C294D" w14:textId="38D106CB" w:rsidR="00E25CED" w:rsidRDefault="00E25CED">
      <w:r>
        <w:t xml:space="preserve">Television is particularly hostile to complexity. The average soundbite in American political coverage has shrunk from over </w:t>
      </w:r>
      <w:r w:rsidR="00D66A81">
        <w:t>40</w:t>
      </w:r>
      <w:r>
        <w:t xml:space="preserve"> seconds in the 1960s to under </w:t>
      </w:r>
      <w:r w:rsidR="00D66A81">
        <w:t>10</w:t>
      </w:r>
      <w:r>
        <w:t xml:space="preserve"> seconds today. Complex explanations cannot survive this compression. What survives is the confident assertion, the simple promise, the attack line that fits in a chyron. Candidates learn that the only parts of their speeches that will be broadcast are the parts that conform to this format. The medium does not merely transmit political communication; it shapes what political communication can be.</w:t>
      </w:r>
    </w:p>
    <w:p w14:paraId="0BD9370F" w14:textId="77777777" w:rsidR="00E25CED" w:rsidRDefault="00E25CED">
      <w:pPr>
        <w:rPr>
          <w:b/>
          <w:bCs/>
        </w:rPr>
      </w:pPr>
      <w:r>
        <w:t>Social media has intensified the pattern. Platforms reward engagement, and engagement correlates with emotional intensity, not analytical depth. The post explaining why a policy involves difficult tradeoffs generates modest response. The post promising that the policy will definitely work generates shares, comments, and algorithmic amplification. Politicians and their teams have learned to craft content that triggers engagement, not content that accurately represents policy complexity.</w:t>
      </w:r>
    </w:p>
    <w:p w14:paraId="2721E3E3" w14:textId="77777777" w:rsidR="00E25CED" w:rsidRDefault="00E25CED">
      <w:r>
        <w:t>The cumulative effect, across television, social media, consulting, and opposition research, is a communication ecosystem optimized to punish honesty about costs and reward confidence about benefits. No single actor designed it. The optimization emerged from the independent decisions of consultants, media organizations, platform designers, and candidates responding to competitive pressure. The result is a system that filters out the kind of communication that would help voters understand what different policies require.</w:t>
      </w:r>
    </w:p>
    <w:p w14:paraId="5A304019" w14:textId="2CF72CE6" w:rsidR="00E25CED" w:rsidRDefault="00E25CED">
      <w:r>
        <w:t xml:space="preserve">Candidates who enter this system with intentions to </w:t>
      </w:r>
      <w:r w:rsidR="00463E2E">
        <w:t>"</w:t>
      </w:r>
      <w:r>
        <w:t>tell it like it is</w:t>
      </w:r>
      <w:r w:rsidR="00463E2E">
        <w:t>"</w:t>
      </w:r>
      <w:r>
        <w:t xml:space="preserve"> face immediate pressure to conform. Their consultants show them polling data demonstrating that honest messages test poorly. Their audiences respond to simpler promises, not their own careful explanations. Their social media engagement lags behind competitors who have mastered the art of confident overstatement. Most candidates adapt. Those who refuse to adapt provide case studies that future candidates use to justify their own conformity.</w:t>
      </w:r>
    </w:p>
    <w:p w14:paraId="0817E79C" w14:textId="77777777" w:rsidR="00E25CED" w:rsidRDefault="00E25CED">
      <w:r>
        <w:t>In practice, the professionals who operate this machinery are not villains. They are responding rationally to the incentives their environment creates. A consultant who advises clients to acknowledge uncertainty will watch those clients lose to opponents whose consultants gave different advice. A journalist who insists on covering policy complexity will watch audiences migrate to outlets offering cleaner narratives. A platform that rewards nuanced discussion will lose users to platforms that reward emotional engagement. Each actor is making reasonable decisions given their constraints. The collective result is a system that makes honest political communication almost impossible to sustain.</w:t>
      </w:r>
    </w:p>
    <w:p w14:paraId="181D0E10" w14:textId="77777777" w:rsidR="00E25CED" w:rsidRDefault="00E25CED">
      <w:r>
        <w:t>Understanding this machinery matters because the problem is not just voter psychology but an entire infrastructure built to exploit that psychology. Changing voter preferences would be difficult enough. Changing them while an entire industry works to identify and leverage whatever preferences voters have may be impossible. The machinery adapts faster than preferences can change, finding new ways to package confident promises and new ways to punish honest acknowledgment of costs and constraints.</w:t>
      </w:r>
    </w:p>
    <w:p w14:paraId="2DB12CBE" w14:textId="77777777" w:rsidR="00E25CED" w:rsidRDefault="00E25CED">
      <w:r>
        <w:t>The dynamics described in this chapter create a self-reinforcing system. Voters who reject constraint-acknowledgment elect leaders who promise what cannot be delivered. Those leaders cannot admit when approaches fail because admission would destroy electoral support. The resulting policy disappointments reinforce voters' cynicism while reinforcing their attachment to positions that do not require confronting difficult tradeoffs. Each cycle deepens the gap between what gets promised and what gets delivered, makes honest policy discussion harder, and makes economic reasoning less welcome.</w:t>
      </w:r>
    </w:p>
    <w:p w14:paraId="010E3FF5" w14:textId="77777777" w:rsidR="00E25CED" w:rsidRDefault="00E25CED">
      <w:r>
        <w:t>Understanding this system does not make it easier to change. The incentives run deep and the protections serve real functions. The question is not whether people will learn to embrace economic thinking (the psychological and social costs make that unlikely) but whether political systems can function effectively when the analytical framework most useful for understanding policy tradeoffs remains persistently unwelcome in political discussion. The gap between how policies get discussed during campaigns and how they must be implemented in practice continues to widen, and no obvious mechanism exists for closing it.</w:t>
      </w:r>
    </w:p>
    <w:p w14:paraId="1AB83FB2" w14:textId="19FF0D47" w:rsidR="00E25CED" w:rsidRDefault="00E25CED">
      <w:r>
        <w:t xml:space="preserve">When </w:t>
      </w:r>
      <w:r w:rsidR="00AA5178">
        <w:t>tradeoff thinking</w:t>
      </w:r>
      <w:r>
        <w:t xml:space="preserve"> becomes unwelcome, something must take its place. Institutions still fail. Programs still disappoint. Problems still persist despite sustained effort and good intentions. These failures demand explanation, but one that doesn't require anyone to accept blame, confront difficult choices, or change what they're doing. One diagnosis meets all these requirements perfectly: insufficient funding. It explains everything, accuses no one, and points toward a solution that asks only for more resources, not different decisions.</w:t>
      </w:r>
    </w:p>
    <w:p w14:paraId="29705127" w14:textId="77777777" w:rsidR="00E25CED" w:rsidRDefault="00E25CED">
      <w:pPr>
        <w:pStyle w:val="Heading3"/>
      </w:pPr>
      <w:bookmarkStart w:id="45" w:name="_Toc227410676"/>
      <w:r>
        <w:t>Seeing Through It</w:t>
      </w:r>
      <w:bookmarkEnd w:id="45"/>
    </w:p>
    <w:p w14:paraId="33AB19A2" w14:textId="77777777" w:rsidR="00B003CD" w:rsidRPr="00B003CD" w:rsidRDefault="00B003CD" w:rsidP="00B003CD">
      <w:r w:rsidRPr="00B003CD">
        <w:t>The machinery described in this chapter, the psychological resistance, the political incentives, the professional infrastructure of simplification, operates most powerfully when it is invisible. The following practice is designed to make it visible in real time, whenever a political proposal or public argument triggers the feeling that someone is finally offering a real solution.</w:t>
      </w:r>
    </w:p>
    <w:p w14:paraId="46032D4C" w14:textId="77777777" w:rsidR="00B003CD" w:rsidRPr="00B003CD" w:rsidRDefault="00B003CD" w:rsidP="00B003CD">
      <w:r w:rsidRPr="00B003CD">
        <w:t>Describe the mechanism before you evaluate the goal.</w:t>
      </w:r>
    </w:p>
    <w:p w14:paraId="02EDA776" w14:textId="77777777" w:rsidR="00B003CD" w:rsidRPr="00B003CD" w:rsidRDefault="00B003CD" w:rsidP="00B003CD">
      <w:r w:rsidRPr="00B003CD">
        <w:t>Take whatever proposal has triggered that feeling and strip it to its operations. Not what its supporters say it does. Not what its opponents say it does. What it actually changes: which rules, which incentive structures, which funding flows, which enforcement mechanisms. Describe it the way an engineer would describe how a bridge bears a load. If you cannot describe the mechanism without using political language, you do not yet understand the proposal well enough to support or oppose it.</w:t>
      </w:r>
    </w:p>
    <w:p w14:paraId="723E0E17" w14:textId="1D3C6B35" w:rsidR="00B003CD" w:rsidRPr="00B003CD" w:rsidRDefault="00B003CD" w:rsidP="00B003CD">
      <w:r w:rsidRPr="00B003CD">
        <w:t xml:space="preserve">This defeats the machinery at every level. Mechanical descriptions reward specificity, not conviction. A candidate can promise </w:t>
      </w:r>
      <w:r w:rsidR="00463E2E">
        <w:t>"</w:t>
      </w:r>
      <w:r w:rsidRPr="00B003CD">
        <w:t>millions of good-paying jobs</w:t>
      </w:r>
      <w:r w:rsidR="00463E2E">
        <w:t>"</w:t>
      </w:r>
      <w:r w:rsidRPr="00B003CD">
        <w:t xml:space="preserve"> in a speech, but describing which agencies would coordinate procurement across which states, on what timeline, funded by what source, requires an entirely different kind of confidence, the kind that has done the work. The substitution of moral urgency for causal reasoning collapses the same way. </w:t>
      </w:r>
      <w:r w:rsidR="00463E2E">
        <w:t>"</w:t>
      </w:r>
      <w:r w:rsidRPr="00B003CD">
        <w:t>Do you care about this problem?</w:t>
      </w:r>
      <w:r w:rsidR="00463E2E">
        <w:t>"</w:t>
      </w:r>
      <w:r w:rsidRPr="00B003CD">
        <w:t xml:space="preserve"> has an easy answer. </w:t>
      </w:r>
      <w:r w:rsidR="00463E2E">
        <w:t>"</w:t>
      </w:r>
      <w:r w:rsidRPr="00B003CD">
        <w:t>What does this proposal actually change, and what would people have to do in response for it to produce the result being promised?</w:t>
      </w:r>
      <w:r w:rsidR="00463E2E">
        <w:t>"</w:t>
      </w:r>
      <w:r w:rsidRPr="00B003CD">
        <w:t xml:space="preserve"> does not. The first question tests your values. The second tests the policy's design. The machinery this chapter described exists to keep you answering the first so you never reach the second.</w:t>
      </w:r>
    </w:p>
    <w:p w14:paraId="51AF7959" w14:textId="57C088F5" w:rsidR="00B003CD" w:rsidRPr="00B003CD" w:rsidRDefault="00B003CD" w:rsidP="00B003CD">
      <w:r w:rsidRPr="00B003CD">
        <w:t xml:space="preserve">One policy has survived the tribal filter for </w:t>
      </w:r>
      <w:r w:rsidR="00D66A81">
        <w:t>50</w:t>
      </w:r>
      <w:r w:rsidRPr="00B003CD">
        <w:t xml:space="preserve"> years because enough people kept reaching the second question. The </w:t>
      </w:r>
      <w:r w:rsidR="00D66A81" w:rsidRPr="00B003CD">
        <w:t xml:space="preserve">Earned Income Tax </w:t>
      </w:r>
      <w:r w:rsidR="00667F9D">
        <w:t>C</w:t>
      </w:r>
      <w:r w:rsidRPr="00B003CD">
        <w:t>redit originated with Milton Friedman's negative income tax, a conservative idea. It was enacted under Ford in 1975, then expanded under Reagan in 1986, Bush in 1990, and Clinton in 1993. At each stage, both sides evaluated the mechanism rather than the source. Conservatives saw a program that rewarded work over dependency. Progressives saw one that lifted families out of poverty. Neither side rejected it because the other side also supported it. The EITC now lifts roughly 5.6 million people above the poverty line annually, not because it avoided political controversy, but because enough people on both sides kept evaluating what the program did, not where it came from.</w:t>
      </w:r>
    </w:p>
    <w:p w14:paraId="53CF38F4" w14:textId="77777777" w:rsidR="00B003CD" w:rsidRPr="00B003CD" w:rsidRDefault="00B003CD" w:rsidP="00B003CD">
      <w:r w:rsidRPr="00B003CD">
        <w:t>The practice will not make political reasoning painless. It is designed to interrupt the machinery long enough for the actual tradeoffs to become visible. That is the moment the machinery is built to prevent.</w:t>
      </w:r>
    </w:p>
    <w:p w14:paraId="535E4880" w14:textId="2572797B" w:rsidR="00E25CED" w:rsidRDefault="00E25CED">
      <w:pPr>
        <w:sectPr w:rsidR="00E25CED" w:rsidSect="00E25CED">
          <w:footerReference w:type="default" r:id="rId29"/>
          <w:footerReference w:type="first" r:id="rId30"/>
          <w:endnotePr>
            <w:numFmt w:val="decimal"/>
          </w:endnotePr>
          <w:pgSz w:w="12240" w:h="15840"/>
          <w:pgMar w:top="1440" w:right="1440" w:bottom="1440" w:left="1440" w:header="0" w:footer="720" w:gutter="0"/>
          <w:cols w:space="720"/>
          <w:formProt w:val="0"/>
          <w:docGrid w:linePitch="100"/>
        </w:sectPr>
      </w:pPr>
    </w:p>
    <w:p w14:paraId="6310440B" w14:textId="6709EFAC" w:rsidR="00E25CED" w:rsidRDefault="00E25CED">
      <w:pPr>
        <w:pStyle w:val="Heading2"/>
      </w:pPr>
      <w:bookmarkStart w:id="46" w:name="_Toc227410677"/>
      <w:r>
        <w:t xml:space="preserve">Why Everything Is </w:t>
      </w:r>
      <w:r w:rsidR="00463E2E">
        <w:t>"</w:t>
      </w:r>
      <w:r>
        <w:t>Underfunded</w:t>
      </w:r>
      <w:r w:rsidR="00463E2E">
        <w:t>"</w:t>
      </w:r>
      <w:bookmarkEnd w:id="46"/>
    </w:p>
    <w:p w14:paraId="1C2F7727" w14:textId="77777777" w:rsidR="00767630" w:rsidRDefault="00E25CED">
      <w:r>
        <w:t>In 1985, a federal judge took control of the Kansas City, Missouri school district and ordered the most expensive educational experiment in American history. The district's schools were failing and segregated. The court's theory was straightforward: if the problem was inadequate resources, then adequate resources would fix it</w:t>
      </w:r>
      <w:r w:rsidR="00767630">
        <w:t>.</w:t>
      </w:r>
    </w:p>
    <w:p w14:paraId="1F7A856E" w14:textId="139026DC" w:rsidR="00E25CED" w:rsidRDefault="00E25CED">
      <w:r>
        <w:t xml:space="preserve">Over the next </w:t>
      </w:r>
      <w:r w:rsidR="00F0435B">
        <w:t>12</w:t>
      </w:r>
      <w:r>
        <w:t xml:space="preserve"> years, the state of Missouri was compelled to spend more than $2 billion on the district, bringing per-pupil spending to levels that rivaled the wealthiest suburbs in the country.</w:t>
      </w:r>
    </w:p>
    <w:p w14:paraId="3A5D8AA1" w14:textId="5F3DA13A" w:rsidR="00E25CED" w:rsidRDefault="00E25CED">
      <w:r>
        <w:t xml:space="preserve">The money bought things no urban public school district had ever had. Olympic-sized swimming pools. A planetarium. A </w:t>
      </w:r>
      <w:r w:rsidR="00F0435B">
        <w:t>25</w:t>
      </w:r>
      <w:r>
        <w:t>-acre wildlife sanctuary. A model United Nations chamber with simultaneous translation capability. Television and animation studios. A temperature-controlled atrium. Magnet school programs designed to be so attractive that suburban families would voluntarily transfer their children in, achieving integration through appeal instead of mandate.</w:t>
      </w:r>
    </w:p>
    <w:p w14:paraId="319C1FC6" w14:textId="77777777" w:rsidR="00E25CED" w:rsidRDefault="00E25CED">
      <w:r>
        <w:t xml:space="preserve">Test scores did not budge. Dropout rates did not improve. The achievement gap did not close. Suburban families did not transfer in. In 2000, the district lost its state accreditation. The Supreme Court intervened in </w:t>
      </w:r>
      <w:r>
        <w:rPr>
          <w:i/>
          <w:iCs/>
        </w:rPr>
        <w:t>Missouri v. Jenkins</w:t>
      </w:r>
      <w:r>
        <w:t xml:space="preserve"> (1995), questioning whether the judiciary had authority to compel spending on this scale, but by then the results were clear. Kansas City had been given everything the underfunding diagnosis prescribes, in amounts no one could call insufficient, and the outcomes were indistinguishable from the ones the money was supposed to fix.</w:t>
      </w:r>
    </w:p>
    <w:p w14:paraId="4D7BCE3D" w14:textId="77777777" w:rsidR="00E25CED" w:rsidRDefault="00E25CED">
      <w:r>
        <w:t>The Kansas City experiment did not prove that money never matters in education. It proved something more specific and more uncomfortable: that when the problem is not a shortage of resources but a failure of design, incentives, and institutional structure, additional money cannot solve it because money was never what was broken. That distinction is the subject of this chapter.</w:t>
      </w:r>
    </w:p>
    <w:p w14:paraId="21A3D5CD" w14:textId="77777777" w:rsidR="00E25CED" w:rsidRDefault="00E25CED">
      <w:r>
        <w:t>Kansas City was extreme, but the reflex it exposed is universal. Listen to any discussion about failing schools, overwhelmed hospitals, crumbling infrastructure, or struggling social programs and you will hear the same diagnosis repeated with near-religious certainty: the problem is insufficient funding, and the solution is more money. The diagnosis feels so obviously correct that questioning it seems cruel. Schools with large class sizes need more teachers. Hospitals with long wait times need more staff. Roads with potholes need repairs. Each of these costs money, so the conclusion writes itself. But the diagnosis does more than identify a funding gap. It provides a morally satisfying explanation that protects everyone involved from harder questions about how the system actually works. It redirects attention from how money is spent to how much money there is, and in doing so it guarantees that the same failures will produce the same explanation will produce the same request for more resources, indefinitely.</w:t>
      </w:r>
    </w:p>
    <w:p w14:paraId="254DD292" w14:textId="77777777" w:rsidR="00E25CED" w:rsidRDefault="00E25CED">
      <w:pPr>
        <w:pStyle w:val="Heading3"/>
      </w:pPr>
      <w:bookmarkStart w:id="47" w:name="_Toc227410678"/>
      <w:r>
        <w:t>The Default Diagnosis</w:t>
      </w:r>
      <w:bookmarkEnd w:id="47"/>
    </w:p>
    <w:p w14:paraId="3593EE40" w14:textId="77777777" w:rsidR="00E25CED" w:rsidRDefault="00E25CED">
      <w:r>
        <w:t>The underfunding explanation succeeds because it reframes policy disappointments as simple shortages, not as questions of design, prioritization, or execution. When outcomes fall short of expectations, the first explanation offered is often that there was not enough money to do the job properly. Poor test scores are attributed to a lack of funding for facilities, materials, or staff. Long emergency room waits are blamed on insufficient funding for additional personnel or equipment. Transit delays are explained as the result of inadequate investment in maintenance or upgrades.</w:t>
      </w:r>
    </w:p>
    <w:p w14:paraId="0727E478" w14:textId="77777777" w:rsidR="00E25CED" w:rsidRDefault="00E25CED">
      <w:r>
        <w:t>In each case, funding may matter. But the explanation does something more subtle: it treats disappointing results as evidence that inputs were insufficient, without prompting questions about how existing resources were allocated, what tradeoffs were made, or whether the underlying approach was capable of delivering the promised outcomes.</w:t>
      </w:r>
    </w:p>
    <w:p w14:paraId="2074938E" w14:textId="77777777" w:rsidR="00E25CED" w:rsidRDefault="00E25CED">
      <w:r>
        <w:t>Spending levels themselves do nothing to weaken the diagnosis. School districts spending well above the national average still claim underfunding when outcomes disappoint. Hospitals receiving substantial budget increases still point to funding shortages when wait times hold steady. Transportation systems consuming billions still blame service problems on insufficient resources. The amount of money already being spent becomes irrelevant to the analysis because any amount less than what would be needed to solve every problem completely counts as underfunding.</w:t>
      </w:r>
    </w:p>
    <w:p w14:paraId="334D7EC3" w14:textId="77777777" w:rsidR="00E25CED" w:rsidRDefault="00E25CED">
      <w:r>
        <w:t>None of this depends on how money is currently being allocated. A school system that channels a growing share of its budget into administrative layers, compliance functions, and reporting requirements will still explain poor student performance as a shortage of classroom funding. Hospitals and transit agencies show the same reflex: expanding coordination and oversight functions faster than frontline capacity, then attributing the resulting service problems to resource constraints.</w:t>
      </w:r>
    </w:p>
    <w:p w14:paraId="3F04BFF4" w14:textId="0242AD46" w:rsidR="00E25CED" w:rsidRDefault="00E25CED">
      <w:r>
        <w:t>The underfunding diagnosis focuses attention on inputs, not processes. It assumes organizations are already using their resources as effectively as possible, so any performance gap must result from having too few resources, not from deploying them poorly. The possibility that money is being wasted, misdirected, or consumed by activities unrelated to the organization</w:t>
      </w:r>
      <w:r w:rsidR="00463E2E">
        <w:t>'</w:t>
      </w:r>
      <w:r>
        <w:t>s stated mission never enters the analysis.</w:t>
      </w:r>
    </w:p>
    <w:p w14:paraId="3444C790" w14:textId="77777777" w:rsidR="00E25CED" w:rsidRDefault="00E25CED">
      <w:r>
        <w:t>The consequence is a ratchet effect where every funding increase that fails to solve problems completely becomes evidence that even more funding is needed. The diagnosis cannot produce any other conclusion because it treats resource constraints as the only explanation for underperformance. Alternative explanations that focus on incentives, management, organizational design, or conflicting priorities collapse into a single accusation: you are trying to avoid providing adequate resources.</w:t>
      </w:r>
    </w:p>
    <w:p w14:paraId="77F725B0" w14:textId="77777777" w:rsidR="00915D5E" w:rsidRPr="00915D5E" w:rsidRDefault="00915D5E" w:rsidP="00915D5E">
      <w:pPr>
        <w:pStyle w:val="Heading3"/>
      </w:pPr>
      <w:bookmarkStart w:id="48" w:name="_Toc227410679"/>
      <w:r w:rsidRPr="00915D5E">
        <w:t>Why the Funding Explanation Wins</w:t>
      </w:r>
      <w:bookmarkEnd w:id="48"/>
    </w:p>
    <w:p w14:paraId="5F6DD2B6" w14:textId="77777777" w:rsidR="00915D5E" w:rsidRPr="00915D5E" w:rsidRDefault="00915D5E" w:rsidP="00915D5E">
      <w:r w:rsidRPr="00915D5E">
        <w:t>Calling for additional funding is the safest possible response to institutional problems because it signals the right values while avoiding uncomfortable questions about how current resources are being used. When someone proposes more money, they demonstrate that they care about the people being served and are willing to sacrifice to help them. The proposal feels generous, practical, and morally necessary at once. And it requires no one to change what they are currently doing. Existing practices remain intact. Current roles go unexamined. No one has to learn new skills, rethink how work is organized, or confront whether established approaches are actually producing results. More money promises relief without disruption.</w:t>
      </w:r>
    </w:p>
    <w:p w14:paraId="1339810A" w14:textId="77777777" w:rsidR="00915D5E" w:rsidRPr="00915D5E" w:rsidRDefault="00915D5E" w:rsidP="00915D5E">
      <w:r w:rsidRPr="00915D5E">
        <w:t>Everyone benefits from the shared explanation. Workers within failing institutions maintain their professional self-respect. Managers avoid responsibility for poor outcomes. Funders get to believe their money is being used well and that better results require only a larger investment. No one in this arrangement has to concede that the problem might be what they are doing with the money they already have. The agreement is comfortable and unanimous: the situation is unfortunate, but no one has to admit they helped make it so.</w:t>
      </w:r>
    </w:p>
    <w:p w14:paraId="201805D8" w14:textId="77777777" w:rsidR="00915D5E" w:rsidRPr="00915D5E" w:rsidRDefault="00915D5E" w:rsidP="00915D5E">
      <w:r w:rsidRPr="00915D5E">
        <w:t>None of this emerged in a vacuum. Modern institutions operate in an environment that is highly litigious, procedurally dense, and reputationally fragile. Ordinary managerial decisions—about staffing, evaluation, discipline, program elimination, or prioritization—can trigger legal challenges, formal grievances, public campaigns, or career-ending controversies. Entire professional ecosystems now exist to contest, litigate, and publicize institutional choices that were once understood as routine exercises of judgment.</w:t>
      </w:r>
    </w:p>
    <w:p w14:paraId="54A5058F" w14:textId="2BBA9AB6" w:rsidR="00915D5E" w:rsidRPr="00915D5E" w:rsidRDefault="00915D5E" w:rsidP="00915D5E">
      <w:r w:rsidRPr="00915D5E">
        <w:t xml:space="preserve">In that context, </w:t>
      </w:r>
      <w:r w:rsidR="00F0435B">
        <w:t>free lunch</w:t>
      </w:r>
      <w:r w:rsidRPr="00915D5E">
        <w:t xml:space="preserve"> thinking becomes easier to slip into, and harder to resist. Funding explanations avoid not only moral conflict but legal exposure. They redirect attention away from decisions that might provoke disputes and toward external constraints that cannot be litigated. Asking for more money carries little personal risk; reexamining priorities, reallocating resources, or enforcing accountability carries a great deal.</w:t>
      </w:r>
    </w:p>
    <w:p w14:paraId="59D333D6" w14:textId="77777777" w:rsidR="00915D5E" w:rsidRPr="00915D5E" w:rsidRDefault="00915D5E" w:rsidP="00915D5E">
      <w:r w:rsidRPr="00915D5E">
        <w:t>Once established, the equation between spending and caring transforms budget discussions from practical questions about resource allocation into moral tests. When someone proposes spending more to help children learn, reduce patient suffering, or assist people in need, anyone who objects faces accusations of indifference to human suffering. The budget becomes a statement of moral identity, not a tool for achieving specific results. Asking for evidence that more money will solve problems reads as making excuses for not providing it. The conversation shifts from practical effectiveness to moral commitment, and anyone who insists on effectiveness faces accusations of lacking commitment.</w:t>
      </w:r>
    </w:p>
    <w:p w14:paraId="1678805F" w14:textId="37D529BB" w:rsidR="00915D5E" w:rsidRPr="00915D5E" w:rsidRDefault="00915D5E" w:rsidP="00915D5E">
      <w:r w:rsidRPr="00915D5E">
        <w:t xml:space="preserve">Perverse incentives follow. Organizations learn to emphasize how much money they spend, not what they accomplish with it. Annual reports highlight budget growth, staff increases, and program expansion instead of measurable improvement in the conditions they exist to address. Success comes to mean securing more resources, not using current resources more effectively. The emphasis on spending makes it politically dangerous to propose solutions that cost less, even when they might work better. A politician who suggests improving schools through better teaching rather than bigger budgets will be accused of trying to solve problems </w:t>
      </w:r>
      <w:r w:rsidR="00463E2E">
        <w:t>"</w:t>
      </w:r>
      <w:r w:rsidRPr="00915D5E">
        <w:t>on the cheap.</w:t>
      </w:r>
      <w:r w:rsidR="00463E2E">
        <w:t>"</w:t>
      </w:r>
      <w:r w:rsidRPr="00915D5E">
        <w:t xml:space="preserve"> A policy analyst who argues that prevention might work better than treatment at a fraction of the cost will be dismissed as not taking the healthcare crisis seriously.</w:t>
      </w:r>
    </w:p>
    <w:p w14:paraId="27E17802" w14:textId="77777777" w:rsidR="00915D5E" w:rsidRPr="00915D5E" w:rsidRDefault="00915D5E" w:rsidP="00915D5E">
      <w:r w:rsidRPr="00915D5E">
        <w:t>A bias toward funding solutions takes hold even where money is clearly not the binding constraint. Organizations with adequate resources but poor results still receive additional funding. Programs that fail to achieve their stated goals get expanded, not redesigned. The incentive structure rewards spending money, not spending money well. The focus shifts from effectiveness to expansion, from results to resources.</w:t>
      </w:r>
    </w:p>
    <w:p w14:paraId="149615A0" w14:textId="77777777" w:rsidR="00E25CED" w:rsidRDefault="00E25CED">
      <w:pPr>
        <w:pStyle w:val="Heading3"/>
      </w:pPr>
      <w:bookmarkStart w:id="49" w:name="_Toc227410680"/>
      <w:r>
        <w:t>Design Problems Disguised as Budget Problems</w:t>
      </w:r>
      <w:bookmarkEnd w:id="49"/>
    </w:p>
    <w:p w14:paraId="5CC84515" w14:textId="77777777" w:rsidR="00E25CED" w:rsidRDefault="00E25CED">
      <w:r>
        <w:t>The underfunding diagnosis does its deepest damage here: it prevents recognition of fundamental design flaws that no amount of additional money can fix. When systems are structured in ways that create perverse incentives, reward counterproductive behavior, or make coordination impossible, throwing more money at those systems amplifies their dysfunction instead of correcting it. The additional resources get consumed by the same processes that made the original resources ineffective, producing more activity but not better results.</w:t>
      </w:r>
    </w:p>
    <w:p w14:paraId="0A0F2C0C" w14:textId="77777777" w:rsidR="00E25CED" w:rsidRDefault="00E25CED">
      <w:r>
        <w:t>Consider a school system where teachers get paid the same regardless of how much their students learn, where evaluation systems cannot distinguish strong teaching from weak, and where success is measured by compliance with administrative procedures, not student achievement. Adding more money to this system will produce smaller classes, newer textbooks, and fancier technology, but it will not change the fundamental incentive structure that prevents the system from focusing on student learning.</w:t>
      </w:r>
    </w:p>
    <w:p w14:paraId="03196DAD" w14:textId="77777777" w:rsidR="00E25CED" w:rsidRDefault="00E25CED">
      <w:r>
        <w:t>Defense spending follows the same logic from the opposite end of the political spectrum. When a weapons system runs billions over budget and years behind schedule, the default explanation is that the original appropriation was unrealistic. No one asks whether the procurement process itself created incentives for contractors to underbid and then recoup costs through change orders. The underfunding diagnosis is not a progressive habit or a conservative one. It is a structural reflex that protects any institution from having to examine its own design.</w:t>
      </w:r>
    </w:p>
    <w:p w14:paraId="01914ADC" w14:textId="77777777" w:rsidR="00E25CED" w:rsidRDefault="00E25CED">
      <w:r>
        <w:t>Because the diagnosis directs attention toward inputs and away from processes, no one asks whether current staff are working effectively, whether current equipment is being used properly, or whether current capacity is being allocated sensibly. The same input focus makes it impossible to learn from organizations that achieve good results with modest resources. When a school, hospital, or government agency succeeds despite having a smaller budget than its peers, that success is typically attributed to exceptional circumstances, not superior methods. The possibility that the successful organization has discovered better ways to structure incentives, organize work, or measure progress is ignored because the analytical framework assumes that results depend primarily on resource levels, not resource management.</w:t>
      </w:r>
    </w:p>
    <w:p w14:paraId="3DF19891" w14:textId="77777777" w:rsidR="00E25CED" w:rsidRDefault="00E25CED">
      <w:r>
        <w:t>The funding solution becomes most dangerous when it allows organizations to avoid changes that would improve their effectiveness. A school system that needs to eliminate ineffective programs or change its approach to teacher evaluation can avoid these painful reforms by arguing that it simply needs more money to do everything better. Additional funding provides a way to maintain current practices while appearing to address performance problems. This explains why many organizations prefer funding solutions to design solutions, even when design changes would be more effective. Structural reforms require admitting that current approaches are not working, accepting responsibility for past failures, and disrupting existing relationships and power structures. Funding increases allow organizations to maintain that their current approaches are sound and that better results require only more resources.</w:t>
      </w:r>
    </w:p>
    <w:p w14:paraId="7876B773" w14:textId="77777777" w:rsidR="00E25CED" w:rsidRDefault="00E25CED">
      <w:r>
        <w:t>The preference for funding solutions also reflects the reality that organizational leaders often lack the authority, expertise, or political support to implement fundamental design changes. A school principal who cannot hire or fire teachers, a hospital administrator who cannot change medical protocols, or a transit manager who cannot modify routes will naturally focus on obtaining more resources instead of using current resources differently. The funding solution becomes a way to work around structural constraints instead of addressing them directly.</w:t>
      </w:r>
    </w:p>
    <w:p w14:paraId="7D68C07E" w14:textId="77777777" w:rsidR="00E25CED" w:rsidRDefault="00E25CED">
      <w:r>
        <w:t>Over time, the dynamic produces institutions that grow increasingly expensive while remaining deeply dysfunctional. They develop sophisticated capabilities for justifying budget increases and generating political support for additional spending, but never develop comparable capabilities for achieving their stated missions or adapting to changing circumstances. Funding crowds out functioning.</w:t>
      </w:r>
    </w:p>
    <w:p w14:paraId="36AD9C95" w14:textId="77777777" w:rsidR="00E25CED" w:rsidRDefault="00E25CED">
      <w:r>
        <w:t>Breaking this cycle means learning to distinguish between resource problems and design problems, between situations where more money will help and situations where more money will simply enable more dysfunction. The distinction cannot be made by looking at budgets or comparing spending levels. It demands understanding how organizations actually work, what incentives they create, and whether their structure supports or undermines their stated goals. Most importantly, it means accepting that good intentions and adequate funding are not sufficient to guarantee good outcomes when the underlying system is designed to produce something else entirely.</w:t>
      </w:r>
    </w:p>
    <w:p w14:paraId="3D5CCEE1" w14:textId="72332A61" w:rsidR="00E25CED" w:rsidRDefault="00E25CED">
      <w:r>
        <w:t xml:space="preserve">But if underfunding explains every failure, analysis becomes unnecessary. Why examine incentives when the problem is always resources? Design questions vanish. More money will fix it. Tracing consequences feels beside the point when budgets are the only constraint that matters. Strip away these analytical tools, and what remains to guide decisions? Increasingly, the answer is feeling: whether a policy resonates emotionally, whether supporting it signals the right values. Policy evaluation migrates from </w:t>
      </w:r>
      <w:r w:rsidR="00463E2E">
        <w:t>"</w:t>
      </w:r>
      <w:r>
        <w:t>will this work?</w:t>
      </w:r>
      <w:r w:rsidR="00463E2E">
        <w:t>"</w:t>
      </w:r>
      <w:r>
        <w:t xml:space="preserve"> to </w:t>
      </w:r>
      <w:r w:rsidR="00463E2E">
        <w:t>"</w:t>
      </w:r>
      <w:r>
        <w:t>does this feel right?</w:t>
      </w:r>
      <w:r w:rsidR="00463E2E">
        <w:t>"</w:t>
      </w:r>
    </w:p>
    <w:p w14:paraId="2C7963E8" w14:textId="77777777" w:rsidR="00E25CED" w:rsidRDefault="00E25CED">
      <w:pPr>
        <w:pStyle w:val="Heading3"/>
      </w:pPr>
      <w:bookmarkStart w:id="50" w:name="_Toc227410681"/>
      <w:r>
        <w:t>Five Questions That Separate Resource Problems from Design Problems</w:t>
      </w:r>
      <w:bookmarkEnd w:id="50"/>
    </w:p>
    <w:p w14:paraId="47FA90C6" w14:textId="77777777" w:rsidR="00E25CED" w:rsidRDefault="00E25CED">
      <w:r>
        <w:t>The underfunding diagnosis is so automatic that breaking its grip requires concrete questions, not general skepticism, but targeted inquiries that force the distinction between systems that need more resources and systems that would waste more resources the same way they waste current ones.</w:t>
      </w:r>
    </w:p>
    <w:p w14:paraId="7290DF6F" w14:textId="77777777" w:rsidR="00E25CED" w:rsidRDefault="00E25CED">
      <w:r>
        <w:rPr>
          <w:i/>
          <w:iCs/>
        </w:rPr>
        <w:t>Has this system ever achieved its goals at any funding level?</w:t>
      </w:r>
      <w:r>
        <w:t xml:space="preserve"> If a program has received steady or increasing funding for a decade and outcomes have not improved, additional funding is not the most promising explanation for the next decade. This does not mean funding is irrelevant. It means funding is not the binding constraint.</w:t>
      </w:r>
    </w:p>
    <w:p w14:paraId="3AD8878E" w14:textId="77777777" w:rsidR="00E25CED" w:rsidRDefault="00E25CED">
      <w:r>
        <w:rPr>
          <w:i/>
          <w:iCs/>
        </w:rPr>
        <w:t>Where does the money actually go?</w:t>
      </w:r>
      <w:r>
        <w:t xml:space="preserve"> Most people who advocate for increased funding cannot describe the current budget in any detail. They know the topline number and they know it is not enough. But the question of how existing resources are allocated, what percentage goes to direct services versus administration, which programs absorb the most resources relative to their results, where the inefficiencies concentrate: that reveals whether the problem is the size of the pie or how it is sliced.</w:t>
      </w:r>
    </w:p>
    <w:p w14:paraId="1FD53186" w14:textId="77777777" w:rsidR="00E25CED" w:rsidRDefault="00E25CED">
      <w:r>
        <w:rPr>
          <w:i/>
          <w:iCs/>
        </w:rPr>
        <w:t xml:space="preserve">Do comparable systems with different designs produce different results at similar funding levels? </w:t>
      </w:r>
      <w:r>
        <w:t>This is the question the underfunding diagnosis is designed to prevent. If two school districts with the same per-pupil spending produce dramatically different outcomes, funding is not the explanation. If two hospitals with similar budgets have different patient outcomes, the difference is structural, not financial.</w:t>
      </w:r>
    </w:p>
    <w:p w14:paraId="50D99A7A" w14:textId="24EABFF6" w:rsidR="00E25CED" w:rsidRDefault="00E25CED">
      <w:r>
        <w:rPr>
          <w:i/>
          <w:iCs/>
        </w:rPr>
        <w:t xml:space="preserve">What specific outcome would additional funding produce, and through what specific mechanism? </w:t>
      </w:r>
      <w:r w:rsidR="00463E2E">
        <w:t>"</w:t>
      </w:r>
      <w:r>
        <w:t>More money for schools</w:t>
      </w:r>
      <w:r w:rsidR="00463E2E">
        <w:t>"</w:t>
      </w:r>
      <w:r>
        <w:t xml:space="preserve"> is not a plan. </w:t>
      </w:r>
      <w:r w:rsidR="00463E2E">
        <w:t>"</w:t>
      </w:r>
      <w:r>
        <w:t xml:space="preserve">Hiring </w:t>
      </w:r>
      <w:r w:rsidR="00F0435B">
        <w:t>12</w:t>
      </w:r>
      <w:r>
        <w:t xml:space="preserve"> additional reading specialists to reduce the student-to-interventionist ratio from 85:1 to 40:1 in the </w:t>
      </w:r>
      <w:r w:rsidR="00F0435B">
        <w:t>18</w:t>
      </w:r>
      <w:r>
        <w:t xml:space="preserve"> lowest-performing elementary schools</w:t>
      </w:r>
      <w:r w:rsidR="00463E2E">
        <w:t>"</w:t>
      </w:r>
      <w:r>
        <w:t xml:space="preserve"> is a plan. The first resists evaluation. The second invites it.</w:t>
      </w:r>
    </w:p>
    <w:p w14:paraId="47080805" w14:textId="77777777" w:rsidR="00E25CED" w:rsidRDefault="00E25CED">
      <w:r>
        <w:rPr>
          <w:i/>
          <w:iCs/>
        </w:rPr>
        <w:t>Who benefits from the current design staying in place?</w:t>
      </w:r>
      <w:r>
        <w:t xml:space="preserve"> Every dysfunctional system has beneficiaries, not through any deliberate plan but because people have adapted to it. Budget increases that preserve current structures also preserve those adaptations. Asking who benefits is not cynicism. It is the same incentive analysis this book has applied everywhere else.</w:t>
      </w:r>
    </w:p>
    <w:p w14:paraId="2894C33E" w14:textId="77777777" w:rsidR="00767630" w:rsidRDefault="00E25CED">
      <w:r>
        <w:t>When someone actually runs that analysis, the answers tend to be uncomfortable. For decades, Alaska Native communities in southcentral Alaska received healthcare through the Indian Health Service. Waits for routine appointments ran four weeks or longer. Only a third of patients had a designated primary care provider, and nearly half of those could not name who it was. Emergency rooms absorbed the demand that primary care was failing to meet</w:t>
      </w:r>
      <w:r w:rsidR="00767630">
        <w:t>.</w:t>
      </w:r>
    </w:p>
    <w:p w14:paraId="2116A3C8" w14:textId="63FAD39B" w:rsidR="00E25CED" w:rsidRDefault="00E25CED">
      <w:pPr>
        <w:sectPr w:rsidR="00E25CED" w:rsidSect="00E25CED">
          <w:footerReference w:type="default" r:id="rId31"/>
          <w:footerReference w:type="first" r:id="rId32"/>
          <w:endnotePr>
            <w:numFmt w:val="decimal"/>
          </w:endnotePr>
          <w:pgSz w:w="12240" w:h="15840"/>
          <w:pgMar w:top="1440" w:right="1440" w:bottom="1440" w:left="1440" w:header="0" w:footer="720" w:gutter="0"/>
          <w:cols w:space="720"/>
          <w:formProt w:val="0"/>
          <w:docGrid w:linePitch="100"/>
        </w:sectPr>
      </w:pPr>
      <w:r>
        <w:t>In 1999, Alaska Native people took ownership of the system under the Indian Self-Determination Act. The funding did not change. The same federal dollars kept flowing at the same levels. What changed was where they went: integrated care teams where providers knew their patients, same-day access, behavioral health embedded in primary care rather than walled off in a separate department. Emergency visits dropped 42 percent. Hospital days fell 36 percent. Specialty referrals fell 58 percent. The results have held for more than two decades. The old system had never achieved its goals at any funding level. The money had been consumed by emergency and specialty care that competent primary care would have prevented. Comparable populations with different designs were already producing different outcomes elsewhere. Every one of the five questions pointed to the same conclusion before the redesign ever began. The problem had never been the budget.</w:t>
      </w:r>
    </w:p>
    <w:p w14:paraId="7C95E78D" w14:textId="77777777" w:rsidR="00E25CED" w:rsidRDefault="00E25CED">
      <w:pPr>
        <w:pStyle w:val="Heading2"/>
      </w:pPr>
      <w:bookmarkStart w:id="51" w:name="_Toc227410682"/>
      <w:r>
        <w:t>The Rise of Vibes-Based Economics</w:t>
      </w:r>
      <w:bookmarkEnd w:id="51"/>
    </w:p>
    <w:p w14:paraId="1DE0F965" w14:textId="1162B7FF" w:rsidR="00E25CED" w:rsidRDefault="00E25CED">
      <w:r>
        <w:t xml:space="preserve">In 1983, the Los Angeles Police Department and the LA Unified School District launched a drug prevention program called Drug Abuse Resistance Education or DARE. The concept was simple: put uniformed police officers in classrooms to teach children about the dangers of drugs. Officers would build relationships with students, deliver a structured curriculum, and give kids the knowledge and confidence to resist peer pressure. Within a decade, DARE had spread to 75 percent of American school districts and was operating in over </w:t>
      </w:r>
      <w:r w:rsidR="00F0435B">
        <w:t>40</w:t>
      </w:r>
      <w:r>
        <w:t xml:space="preserve"> countries.</w:t>
      </w:r>
    </w:p>
    <w:p w14:paraId="5ACC6431" w14:textId="77777777" w:rsidR="00E25CED" w:rsidRDefault="00E25CED">
      <w:r>
        <w:t>Parents loved it. Teachers loved it. Police departments loved it. Politicians loved it. It felt like exactly what a responsible society should do about youth drug use. The program was well-organized, emotionally compelling, and projected seriousness of purpose. It also did not work.</w:t>
      </w:r>
    </w:p>
    <w:p w14:paraId="6E2C9718" w14:textId="5EE1EE95" w:rsidR="00E25CED" w:rsidRDefault="00E25CED">
      <w:r>
        <w:t xml:space="preserve">By the late 1990s, multiple independent studies had found that DARE had no measurable effect on drug use. In 2003, the Government Accountability Office reviewed the full body of research and reached the same conclusion. Some studies found slight increases in drug use among DARE graduates compared to control groups. The most comprehensive longitudinal research, tracking students over </w:t>
      </w:r>
      <w:r w:rsidR="00F0435B">
        <w:t>10</w:t>
      </w:r>
      <w:r>
        <w:t xml:space="preserve"> years, found the program's effects on drug use were statistically indistinguishable from zero.</w:t>
      </w:r>
    </w:p>
    <w:p w14:paraId="3FAD781E" w14:textId="77777777" w:rsidR="00E25CED" w:rsidRDefault="00E25CED">
      <w:r>
        <w:t>DARE's response to the evidence was not to reconsider but to attack the research. The organization publicly challenged studies that produced unfavorable results, questioned researchers' motives, and lobbied to maintain federal funding. For years it succeeded. Congress continued appropriating money. School districts continued hosting officers. The program survived not because the evidence supported it but because criticizing DARE meant you didn't care about protecting children from drugs, and nobody wanted to be that person.</w:t>
      </w:r>
    </w:p>
    <w:p w14:paraId="7CE5EF3C" w14:textId="77777777" w:rsidR="00E25CED" w:rsidRDefault="00E25CED">
      <w:r>
        <w:t>DARE overhauled its curriculum in the 2000s after the weight of evidence became impossible to ignore. But the original program ran for roughly two decades, exposed tens of millions of children to an intervention that accomplished nothing, and consumed resources that could have funded approaches that actually worked. It persisted because it felt right, and because feeling right had become the standard by which the program was judged.</w:t>
      </w:r>
    </w:p>
    <w:p w14:paraId="1C17D6EC" w14:textId="77777777" w:rsidR="00E25CED" w:rsidRDefault="00E25CED">
      <w:r>
        <w:t>That substitution, feeling right replacing working right, is what this chapter calls vibes-based economics.</w:t>
      </w:r>
    </w:p>
    <w:p w14:paraId="599CD49B" w14:textId="77777777" w:rsidR="00E25CED" w:rsidRDefault="00E25CED">
      <w:pPr>
        <w:pStyle w:val="Heading3"/>
      </w:pPr>
      <w:bookmarkStart w:id="52" w:name="_Toc227410683"/>
      <w:r>
        <w:t>Feelings as Proof</w:t>
      </w:r>
      <w:bookmarkEnd w:id="52"/>
    </w:p>
    <w:p w14:paraId="709512FA" w14:textId="77777777" w:rsidR="00E25CED" w:rsidRDefault="00E25CED">
      <w:r>
        <w:t>Vibes-based economics begins with a specific cognitive shift: the elevation of emotional response from one factor among many to the primary test of whether a policy deserves support. Thousands of school districts adopted the DARE drug prevention program not on evidence that it reduced youth substance use but because putting uniformed police officers in classrooms warning kids about drugs felt like taking a visible, decisive stand.</w:t>
      </w:r>
      <w:r>
        <w:rPr>
          <w:rStyle w:val="EndnoteReference"/>
        </w:rPr>
        <w:endnoteReference w:id="69"/>
      </w:r>
      <w:r>
        <w:t xml:space="preserve"> School administrators implement new teaching methods not because research demonstrates superior learning outcomes, but because the new approaches feel more innovative and student-centered than traditional instruction.</w:t>
      </w:r>
      <w:r>
        <w:rPr>
          <w:rStyle w:val="EndnoteReference"/>
        </w:rPr>
        <w:endnoteReference w:id="70"/>
      </w:r>
      <w:r>
        <w:t xml:space="preserve"> City councils approve affordable housing projects not because the projects will house people effectively at reasonable cost, but because approving them feels like taking action on an urgent moral problem.</w:t>
      </w:r>
    </w:p>
    <w:p w14:paraId="2205E467" w14:textId="4A277045" w:rsidR="00E25CED" w:rsidRDefault="00E25CED">
      <w:r>
        <w:t>Once feelings become proof, programs that provide emotional satisfaction attract more support than programs that produce practical results. In the early 1990s, California's welfare-to-work program operated under two competing models in different counties. Riverside County ran an employment-focused approach: match participants to available jobs quickly, get them working, build from there. Alameda County ran an education-first approach: enroll participants in training and skills development, invest in their potential, place them once they were ready. Alameda's model felt like what a compassionate society should do for people trying to escape poverty. Riverside's felt like a bare-bones shortcut. When MDRC evaluated both, Riverside's participants had significantly higher employment rates and earnings gains. Alameda's participants spent more time in classrooms and less time employed. The program that told the more emotionally satisfying story about what job training should be produced worse results for the people it was supposed to help.</w:t>
      </w:r>
    </w:p>
    <w:p w14:paraId="65D537E6" w14:textId="77777777" w:rsidR="00767630" w:rsidRDefault="002A0DA2">
      <w:r w:rsidRPr="002A0DA2">
        <w:t xml:space="preserve">This dynamic operates inside institutions, not just in elections. The chapter </w:t>
      </w:r>
      <w:r w:rsidRPr="002A0DA2">
        <w:rPr>
          <w:i/>
          <w:iCs/>
        </w:rPr>
        <w:t>Why Voters Hate Economics</w:t>
      </w:r>
      <w:r w:rsidRPr="002A0DA2">
        <w:t xml:space="preserve"> showed how voters punish politicians for honesty about constraints. Here again, if you question it, you will be labeled as someone who doesn't care. But vibes-based institutions go further than social punishment. They change what counts as evidence. When emotional response becomes the standard of proof, a program that makes people feel good about their values is succeeding by the only metric the institution recognizes. Empirical failure doesn't register as failure. It registers as a reason to try harder</w:t>
      </w:r>
      <w:r w:rsidR="00767630">
        <w:t>.</w:t>
      </w:r>
    </w:p>
    <w:p w14:paraId="4FB7A639" w14:textId="6E12E482" w:rsidR="00E25CED" w:rsidRDefault="00E25CED">
      <w:r>
        <w:t>Learning from experience becomes impossible under these conditions. When programs are chosen because they feel right, not because evidence supports them, failure never triggers reconsideration; it is attributed to insufficient commitment, inadequate resources, or external obstacles. Disappointing results lead to doubling down, not rethinking. Institutions can maintain their sense of moral purpose while consistently disappointing the people they claim to serve, because the emotional satisfaction of supporting the right values provides its own justification regardless of results.</w:t>
      </w:r>
    </w:p>
    <w:p w14:paraId="5370AD26" w14:textId="77777777" w:rsidR="00E25CED" w:rsidRDefault="00E25CED">
      <w:r>
        <w:t>The deepest damage from this substitution is that it prevents recognition of the gap between intentions and results. When feelings become proof that a policy is correct, there is no remaining mechanism for discovering that good intentions can produce bad outcomes.</w:t>
      </w:r>
    </w:p>
    <w:p w14:paraId="24AF7FD8" w14:textId="77777777" w:rsidR="00E25CED" w:rsidRDefault="00E25CED">
      <w:r>
        <w:t>The institution that feels virtuous about its choices will continue making those choices regardless of their consequences, because the feeling itself provides the evidence the institution needs to justify its decisions. Boring, unglamorous solutions that work deserve more support than inspiring alternatives that don't. The most compassionate approach to policy is the one that actually helps people, not the one that makes policymakers feel most virtuous. Good intentions are the beginning of responsible policy-making, not the end.</w:t>
      </w:r>
    </w:p>
    <w:p w14:paraId="7BC850AA" w14:textId="77777777" w:rsidR="00E25CED" w:rsidRDefault="00E25CED">
      <w:r>
        <w:t>This does not mean eliminating emotions from decision-making entirely. Feelings can provide valuable information about what problems matter most and what outcomes we should prioritize. The problem is when emotions substitute for evidence about whether those approaches will achieve those outcomes. The goal is not to become indifferent to human suffering, but to recognize that genuine compassion requires caring more about whether policies help than about whether they feel good.</w:t>
      </w:r>
    </w:p>
    <w:p w14:paraId="4ECB89BC" w14:textId="77777777" w:rsidR="00E25CED" w:rsidRDefault="00E25CED">
      <w:pPr>
        <w:pStyle w:val="Heading3"/>
      </w:pPr>
      <w:bookmarkStart w:id="53" w:name="_Toc227410684"/>
      <w:r>
        <w:t>How the Substitution Gets Built In</w:t>
      </w:r>
      <w:bookmarkEnd w:id="53"/>
    </w:p>
    <w:p w14:paraId="716FD46D" w14:textId="77777777" w:rsidR="00E25CED" w:rsidRDefault="00E25CED">
      <w:r>
        <w:t>The substitution this chapter describes operates through two distinct channels. The first converts policy questions into narratives: stories with heroes and villains that replace analytical complexity with moral allegiance. Healthcare reform becomes a contest between compassion and greed rather than a design problem involving tradeoffs among cost, quality, access, and innovation. Education policy becomes dedicated reformers against a calcified bureaucracy rather than an empirical question about which instructional approaches produce which results for which students. The narrative eliminates the difficulty. It also eliminates the possibility that the policies themselves might be poorly designed, because the story doesn't include that category. When reforms fail, the villain was stronger than expected. The need for better design never surfaces.</w:t>
      </w:r>
    </w:p>
    <w:p w14:paraId="6A353F59" w14:textId="77777777" w:rsidR="00E25CED" w:rsidRDefault="00E25CED">
      <w:r>
        <w:t>The second channel works through moral framing. Once a policy position has been declared a moral imperative, questioning the practical details feels like revealing moral deficiency. The mechanism operates across the political spectrum. You can feel virtuous about supporting universal healthcare coverage without demonstrating it will outperform incremental insurance reform. You can feel tough supporting three-strikes sentencing without demonstrating it reduces crime more effectively than alternatives that cost a fraction as much. In both cases, the moral framing provides the emotional reward of being on the right side while eliminating the analytical obligation to show your approach actually works. The person who asks whether three-strikes laws are producing the promised results faces the same social punishment as the person who asks whether a beloved social program is helping anyone: both get heard as attacking values, not requesting evidence.</w:t>
      </w:r>
    </w:p>
    <w:p w14:paraId="17CC2CF3" w14:textId="2B390AAC" w:rsidR="00E25CED" w:rsidRDefault="00E25CED">
      <w:r>
        <w:t xml:space="preserve">These two channels are related but not identical. Narrative substitution replaces the question </w:t>
      </w:r>
      <w:r w:rsidR="00463E2E">
        <w:t>"</w:t>
      </w:r>
      <w:r>
        <w:t>does this work?</w:t>
      </w:r>
      <w:r w:rsidR="00463E2E">
        <w:t>"</w:t>
      </w:r>
      <w:r>
        <w:t xml:space="preserve"> with </w:t>
      </w:r>
      <w:r w:rsidR="00463E2E">
        <w:t>"</w:t>
      </w:r>
      <w:r>
        <w:t>whose side are you on?</w:t>
      </w:r>
      <w:r w:rsidR="00463E2E">
        <w:t>"</w:t>
      </w:r>
      <w:r>
        <w:t xml:space="preserve"> Moral framing replaces it with </w:t>
      </w:r>
      <w:r w:rsidR="00463E2E">
        <w:t>"</w:t>
      </w:r>
      <w:r>
        <w:t>don't you care?</w:t>
      </w:r>
      <w:r w:rsidR="00463E2E">
        <w:t>"</w:t>
      </w:r>
      <w:r>
        <w:t xml:space="preserve"> Both arrive at the same destination: a policy environment where emotional response has displaced empirical evaluation, and the people operating inside it experience the displacement as moral seriousness.</w:t>
      </w:r>
    </w:p>
    <w:p w14:paraId="0EE5242C" w14:textId="77777777" w:rsidR="00E25CED" w:rsidRDefault="00E25CED">
      <w:r>
        <w:t>But naming the substitution does not explain its persistence. Individual cognitive habits come and go. What makes vibes-based reasoning durable is that it has become institutional. It is built into the systems that train, hire, promote, and reward the professionals who run the organizations where policy gets made.</w:t>
      </w:r>
    </w:p>
    <w:p w14:paraId="07A960D0" w14:textId="77777777" w:rsidR="00E25CED" w:rsidRDefault="00E25CED">
      <w:r>
        <w:t>That reproduction begins with how professionals are trained. Over the past several decades, graduate programs in education, social work, public health, and nonprofit management have shifted their curricular emphasis toward frameworks that foreground values, narrative, identity, and moral reasoning, and away from frameworks that foreground quantitative analysis, empirical evaluation, and institutional design. A student completing a master's in education will spend far more time on theories of culturally responsive pedagogy than on the research literature about which instructional methods produce measurable learning gains in which populations under which conditions. A student completing a master's in public health will encounter extensive coursework on health equity frameworks and comparatively little on cost-effectiveness analysis or program evaluation methodology. The training is not cynical. The values being taught are real, and the dimensions of human experience these programs emphasize are genuine. But the curricular balance means that graduates enter the workforce equipped with sophisticated moral vocabularies and underdeveloped analytical toolkits. They have been credentialed in the vibes-based approach before they have made a single professional decision.</w:t>
      </w:r>
    </w:p>
    <w:p w14:paraId="07F3C137" w14:textId="77777777" w:rsidR="00E25CED" w:rsidRDefault="00E25CED">
      <w:r>
        <w:t>The pattern operates on the other side of the ideological spectrum through different vocabulary but identical structure. For decades, MBA programs and financial economics departments trained a generation of professionals in efficient market frameworks that treated deregulated markets as self-correcting systems. The models were mathematically sophisticated, which made them look like the opposite of vibes-based reasoning. They were not. The underlying conviction, that financial markets efficiently price risk and that regulatory intervention creates more distortion than it prevents, was an ideological commitment that preceded the mathematics and selected which mathematics got taught. A student completing an MBA in the early 2000s absorbed the framework as foundational knowledge, not as one contested perspective among several. When analysts at a handful of firms began warning that the collateralized debt obligations built on subprime mortgages were systemically fragile, the institutional response was not to evaluate the evidence. It was to marginalize the analysts. Brooksley Born tried to regulate derivatives at the CFTC in the late 1990s and was pushed out. Michael Burry flagged the housing market's structural weakness and was treated as a crank. The credentialing system had produced professionals who experienced their framework as rigor, and the warnings as noise. The math made it feel like something other than faith. It was faith with equations.</w:t>
      </w:r>
    </w:p>
    <w:p w14:paraId="2D48108E" w14:textId="77777777" w:rsidR="00E25CED" w:rsidRDefault="00E25CED">
      <w:r>
        <w:t>Once credentialing systems have produced professionals trained in conviction-first reasoning, hiring practices select from that pool in ways that reinforce the pattern. Organizations that define leadership competence as the ability to articulate a compelling vision rather than the ability to manage tradeoffs and deliver measurable outcomes will systematically select leaders who are good at the vibes-based approach. The nonprofit that hires an executive director for her ability to tell a powerful story about the community's needs, rather than for her track record of designing programs that produced documented results, has selected for narrative skill over analytical competence. The selection is rational within the institution's own value system. And the leader who was hired for her vision will hire program directors who share that vision, who will hire staff who share it, who will recruit board members who share it. Within a few hiring cycles, the organization's entire leadership structure has been selected for the approach, and the people inside it experience the consistency as evidence that their values are correct rather than as evidence that their hiring process is filtering for a specific way of thinking.</w:t>
      </w:r>
    </w:p>
    <w:p w14:paraId="40AFEC8E" w14:textId="77777777" w:rsidR="00E25CED" w:rsidRDefault="00E25CED">
      <w:r>
        <w:t>The same selection dynamic operates wherever institutional culture rewards conviction over inquiry. The think tank that hires analysts for their ability to produce arguments supporting a predetermined policy conclusion, rather than for their willingness to follow evidence wherever it leads, is running the same filter regardless of which conclusion it's predetermined toward. The consulting firm that rewards partners for selling confident narratives to clients over partners who deliver uncomfortable analytical findings is reproducing the same pattern. Boeing after its 1997 merger with McDonnell Douglas shows what this filter produces over time. The merged company promoted managers who delivered cost-reduction targets and shareholder-value narratives over engineers who raised design concerns. By the time the 737 MAX's flight control system reached production, the people who were best at identifying the problem had been filtered out of the rooms where the decisions got made. Two planes crashed. Three hundred forty-six people died. The hiring and promotion process selects for people who are good at making the organization's preferred story sound convincing, not people who are good at testing whether the story is true.</w:t>
      </w:r>
    </w:p>
    <w:p w14:paraId="3812DCAD" w14:textId="77777777" w:rsidR="00E25CED" w:rsidRDefault="00E25CED">
      <w:pPr>
        <w:pStyle w:val="Heading3"/>
      </w:pPr>
      <w:bookmarkStart w:id="54" w:name="_Toc227410685"/>
      <w:r>
        <w:t>How the System Sustains Itself</w:t>
      </w:r>
      <w:bookmarkEnd w:id="54"/>
    </w:p>
    <w:p w14:paraId="1082DA32" w14:textId="77777777" w:rsidR="00561005" w:rsidRDefault="00E25CED">
      <w:r>
        <w:t xml:space="preserve">The media environment amplifies whatever these institutional processes produce. </w:t>
      </w:r>
      <w:r w:rsidR="00561005" w:rsidRPr="00561005">
        <w:t>When the opioid epidemic became a national story, coverage across the political spectrum converged on the same narrative frame: Purdue Pharma's deception and the Sackler family's greed. The framing was partly true and emotionally satisfying. It also replaced analysis of the structural forces that produced the crisis, including FDA approval incentives, insurance formulary design that made opioids cheaper than physical therapy, and reimbursement metrics that created institutional pressure to prescribe, with a story about identifiable villains. The analytical complexity disappeared. The moral clarity felt like understanding.</w:t>
      </w:r>
    </w:p>
    <w:p w14:paraId="46A8B190" w14:textId="05E07F5E" w:rsidR="00E25CED" w:rsidRDefault="00E25CED">
      <w:r>
        <w:t>Stories with heroes and villains attract audiences. Stories about institutional design tradeoffs do not. This is not conspiracy; it is the same incentive logic the book has been tracing since the second chapter. A journalist who covers a failing school district can write a story about dedicated teachers fighting an indifferent bureaucracy, which will be read and shared, or a story about how the district's incentive structures and accountability mechanisms produced predictable outcomes, which will not. The journalist who wants to be read, promoted, and employed will learn to write the first story. The editorial selection process rewards narrative framing and punishes analytical complexity across every outlet, regardless of its political orientation. The conservative outlet that frames a policy debate as a battle between hardworking taxpayers and a bloated government and the progressive outlet that frames the same debate as a battle between vulnerable communities and corporate greed are both practicing the same substitution. Both have replaced an analytically complex question with a morally simple narrative. The ideological content differs. The epistemological structure does not.</w:t>
      </w:r>
    </w:p>
    <w:p w14:paraId="50B0BD8C" w14:textId="489F1A62" w:rsidR="00E25CED" w:rsidRDefault="00E25CED">
      <w:r>
        <w:t xml:space="preserve">Academic incentive structures complete the loop. In policy-adjacent fields, tenure, publication, and professional status depend more on developing novel theoretical frameworks than on demonstrating that policy interventions produce their intended results. The sociologist who develops a theory explaining why analytical rigor in social policy reflects and reproduces dominant power structures will publish more, get cited more, and achieve tenure faster than the sociologist who conducts a rigorous </w:t>
      </w:r>
      <w:r w:rsidR="008169E3">
        <w:t>10</w:t>
      </w:r>
      <w:r>
        <w:t>-year evaluation of whether a specific intervention actually improved outcomes for a specific population. On the other side of the academy, the economist who builds elegant models demonstrating that deregulation maximizes welfare will advance faster than the economist who conducts careful empirical work showing that deregulation produced concentrated harms in specific markets the models did not predict. Both sides reward theoretical elegance over empirical inconvenience. Both produce intellectual authority that practitioners cite to justify approaches they preferred for reasons that preceded the scholarship. The theoretical frameworks arrive after the commitment, not before it, but they provide the institutional authority that makes the commitment look like science.</w:t>
      </w:r>
    </w:p>
    <w:p w14:paraId="276494B4" w14:textId="0E3E2F84" w:rsidR="00E25CED" w:rsidRDefault="00561005">
      <w:r w:rsidRPr="00561005">
        <w:t>The result is a closed system. And the professionals operating inside the system do not experience it as a system. They experience it as the way serious, educated, morally committed people think about policy</w:t>
      </w:r>
      <w:r w:rsidR="00E25CED">
        <w:t>.</w:t>
      </w:r>
    </w:p>
    <w:p w14:paraId="58A985FF" w14:textId="77777777" w:rsidR="00E25CED" w:rsidRDefault="00E25CED">
      <w:r>
        <w:t>That invisibility is the reproduction mechanism's most important feature. A cognitive habit that people can see is a cognitive habit they can question. An institutional environment that has been optimized to produce and reward a specific cognitive habit, while presenting that optimization as the natural expression of professional values, is something else entirely. It is a system that manufactures its own legitimacy. And dismantling it requires understanding not just what the people inside it believe, but why the institutions they built made those beliefs feel like the only serious option.</w:t>
      </w:r>
    </w:p>
    <w:p w14:paraId="7A8661D9" w14:textId="77777777" w:rsidR="00E25CED" w:rsidRDefault="00E25CED">
      <w:pPr>
        <w:pStyle w:val="Heading3"/>
      </w:pPr>
      <w:bookmarkStart w:id="55" w:name="_Toc227410686"/>
      <w:r>
        <w:t>Why This Feels Smarter</w:t>
      </w:r>
      <w:bookmarkEnd w:id="55"/>
    </w:p>
    <w:p w14:paraId="1064B659" w14:textId="77777777" w:rsidR="00E25CED" w:rsidRDefault="00E25CED">
      <w:r>
        <w:t>Understanding vibes-based economics requires knowing why it feels intellectually sophisticated to the people who practice it. The approach does not succeed by making people feel ignorant or simpleminded; it succeeds by making them feel that their education and training have enabled them to transcend narrow technical thinking.</w:t>
      </w:r>
    </w:p>
    <w:p w14:paraId="02B43932" w14:textId="76B7DBFD" w:rsidR="00E25CED" w:rsidRDefault="00E25CED">
      <w:r>
        <w:t>Part of the appeal comes from how vibes-based thinking positions itself relative to economic analysis. Economic reasoning emphasizes constraints, tradeoffs, and unintended consequences. It insists that good intentions don</w:t>
      </w:r>
      <w:r w:rsidR="00463E2E">
        <w:t>'</w:t>
      </w:r>
      <w:r>
        <w:t>t reliably produce good outcomes, and that policies must be judged by results, not aspirations. To people trained in other disciplines, this focus can feel narrow and reductive, as if economists understand markets but miss everything human.</w:t>
      </w:r>
    </w:p>
    <w:p w14:paraId="5702E3DE" w14:textId="77777777" w:rsidR="00E25CED" w:rsidRDefault="00E25CED">
      <w:r>
        <w:t>Vibes-based thinking offers what feels like a more complete perspective. It acknowledges that human beings have emotions, that communities have values, and that moral principles should constrain economic behavior. The multidisciplinary framing feels intellectually mature, like sophisticated wisdom earned by recognizing that technical expertise, while valuable, must be balanced against broader humanistic concerns. The appeal is strongest among educated professionals in fields like education, social work, public health, and nonprofit management, where daily experience provides legitimate insight into dimensions of human life that simple economic models seem to ignore. When someone trained in these fields encounters economic analysis that reduces complex social problems to questions of incentives and constraints, the economic approach genuinely feels inadequate to capture what they observe.</w:t>
      </w:r>
    </w:p>
    <w:p w14:paraId="24EC980A" w14:textId="77777777" w:rsidR="00E25CED" w:rsidRDefault="00E25CED">
      <w:r>
        <w:t>Not everyone has the technical knowledge and analytical training that economic analysis requires. But moral intuitions and emotional responses feel available to anyone with values and life experience. When policies are chosen based on values instead of technical modeling, the manager who never studied economics can participate as fully as the trained analyst. This democratic accessibility makes vibes-based approaches feel more egalitarian than approaches that privilege expert analysis, and that egalitarianism is part of the appeal.</w:t>
      </w:r>
    </w:p>
    <w:p w14:paraId="239180B1" w14:textId="77777777" w:rsidR="00E25CED" w:rsidRDefault="00E25CED">
      <w:r>
        <w:t>Genuine limitations in economic thinking lend the approach further credibility. Economic analysis often focuses on narrow measurable outcomes while ignoring broader questions about what kinds of outcomes are worth pursuing. The discipline can become so focused on technical questions about efficiency and effectiveness that it loses sight of moral questions about justice and human dignity. These limitations make it reasonable to want policy-making that incorporates values and humanistic concerns alongside technical analysis.</w:t>
      </w:r>
    </w:p>
    <w:p w14:paraId="2002BD9A" w14:textId="77777777" w:rsidR="00E25CED" w:rsidRDefault="00E25CED">
      <w:r>
        <w:t>The problem is that this reasonable desire for broader perspective leads to abandoning analytical rigor entirely instead of expanding analytical frameworks to include additional relevant factors. Vibes-based thinking does not improve economic analysis by incorporating values; it throws out the analytical tools and substitutes emotional response. It does not develop integrated frameworks. It simply asserts that talking about efficiency reveals suspect priorities.</w:t>
      </w:r>
    </w:p>
    <w:p w14:paraId="2430725F" w14:textId="77777777" w:rsidR="00E25CED" w:rsidRDefault="00E25CED">
      <w:r>
        <w:t>When economic analysis suggests that minimum wage increases might reduce employment opportunities for the lowest-skilled workers, this creates genuine tension for people whose moral intuitions strongly favor helping low-wage workers.</w:t>
      </w:r>
      <w:r>
        <w:rPr>
          <w:rStyle w:val="EndnoteReference"/>
        </w:rPr>
        <w:endnoteReference w:id="71"/>
      </w:r>
      <w:r>
        <w:t xml:space="preserve"> Vibes-based thinking resolves this tension by dismissing the analytical finding as reflecting narrow economic thinking that misses broader social justice concerns. The dismissal feels intellectually sophisticated, not evasive, because it comes packaged with theoretical frameworks that explain why such dismissals are justified. These frameworks characterize economic thinking as inherently serving dominant interests, which makes rejection of economic reasoning feel like political sophistication instead of analytical avoidance. The rejection is recast as understanding that knowledge reflects power, not as preferring comfortable conclusions over uncomfortable evidence. The pattern repeats wherever rigorous analysis conflicts with moral intuitions: vibes-based thinking converts the discomfort of confronting unwelcome evidence into the satisfaction of having transcended it.</w:t>
      </w:r>
    </w:p>
    <w:p w14:paraId="71A06D8B" w14:textId="77777777" w:rsidR="00E25CED" w:rsidRDefault="00E25CED">
      <w:r>
        <w:t>The ultimate appeal is that this positioning frames vibes-based thinking as wisdom, not avoidance, as the mature recognition that policy is at root about values and politics instead of technical optimization. The narrative goes: naive people think policy questions have technical answers; experienced people understand that systems are too complex to model reliably; wise people recognize that moral intuitions provide more trustworthy guidance than abstract analytical frameworks.</w:t>
      </w:r>
    </w:p>
    <w:p w14:paraId="32974ED4" w14:textId="77777777" w:rsidR="00E25CED" w:rsidRDefault="00E25CED">
      <w:r>
        <w:t>Pointing out that vibes-based approaches consistently fail the people they claim to serve becomes nearly impossible once the maturity narrative takes hold. Criticism is interpreted as defending abstract expertise against democratic wisdom and lived experience. The criticism itself becomes evidence of the intellectual narrowness that vibes-based thinking claims to transcend.</w:t>
      </w:r>
    </w:p>
    <w:p w14:paraId="71B7F30E" w14:textId="77777777" w:rsidR="00E25CED" w:rsidRDefault="00E25CED">
      <w:r>
        <w:t>The result is institutions led by people who have adopted intellectual frameworks that make rejection of analytical rigor seem sophisticated. They maintain their sense of wisdom and progressive values while consistently failing to deliver the improvements they promise to the people most in need of help. The emotional and intellectual satisfaction they derive from their approach substitutes for the practical effectiveness their institutions should provide.</w:t>
      </w:r>
    </w:p>
    <w:p w14:paraId="38F44A56" w14:textId="77777777" w:rsidR="00E25CED" w:rsidRDefault="00E25CED">
      <w:r>
        <w:t>Vibes-based economics is not simply ignorance or irrationality. It is a recurring pattern of thinking that feels smart, sounds sophisticated, and provides real psychological and social rewards to the people who practice it. Changing this pattern requires not just demonstrating that it fails, but offering an alternative that provides similar intellectual satisfaction while actually helping people. That means showing that rigorous analysis, attention to tradeoffs, and focus on outcomes can be combined with genuine moral commitment and concern for human dignity: that caring about effectiveness is not incompatible with caring about people, but is in fact the only reliable way to translate caring into improvement.</w:t>
      </w:r>
    </w:p>
    <w:p w14:paraId="0ED48E9A" w14:textId="77777777" w:rsidR="00E25CED" w:rsidRDefault="00E25CED">
      <w:r>
        <w:t>But why is this pattern so resistant to correction? Evidence accumulates that preferred approaches aren't working. Results disappoint. The pattern persists anyway. The explanation lies deeper than intellectual habit or social incentive. Eventually, policy positions stop being hypotheses about what might work and become part of who someone is: markers of their values, their tribe, their moral standing. When belief becomes identity, challenging the belief feels like attacking the person. And once that fusion occurs, the brain stops processing information and starts defending territory.</w:t>
      </w:r>
    </w:p>
    <w:p w14:paraId="0B6F56C2" w14:textId="77777777" w:rsidR="00E25CED" w:rsidRDefault="00E25CED">
      <w:pPr>
        <w:pStyle w:val="Heading3"/>
      </w:pPr>
      <w:bookmarkStart w:id="56" w:name="_Toc227410687"/>
      <w:r>
        <w:t>Recognizing When Costs Have Been Made to Disappear</w:t>
      </w:r>
      <w:bookmarkEnd w:id="56"/>
    </w:p>
    <w:p w14:paraId="13968022" w14:textId="77777777" w:rsidR="00B003CD" w:rsidRPr="00B003CD" w:rsidRDefault="00B003CD" w:rsidP="00B003CD">
      <w:r w:rsidRPr="00B003CD">
        <w:t>Vibes-based reasoning succeeds because it does not look like it is hiding anything. It feels like moral clarity. Catching it requires two steps: detecting that the machinery is operating, then finding where the costs have been moved.</w:t>
      </w:r>
    </w:p>
    <w:p w14:paraId="0FBE5C64" w14:textId="1B7FF850" w:rsidR="00B003CD" w:rsidRPr="00B003CD" w:rsidRDefault="00B003CD" w:rsidP="00B003CD">
      <w:r w:rsidRPr="00B003CD">
        <w:t xml:space="preserve">The detection step comes first. When you encounter a proposal presented with moral urgency, ask which of this chapter's three mechanisms is doing the work. Is the argument treating emotional response as evidence that the approach works, measuring success by how the program makes people feel rather than by whether conditions actually improved? Is it compressing a complex design problem into a story with heroes who care and villains who obstruct, so the question of whether the proposed solution would actually work never gets asked? Or is it using moral language to foreclose practical questions, framing the issue so that asking </w:t>
      </w:r>
      <w:r w:rsidR="00463E2E">
        <w:t>"</w:t>
      </w:r>
      <w:r w:rsidRPr="00B003CD">
        <w:t>will this work?</w:t>
      </w:r>
      <w:r w:rsidR="00463E2E">
        <w:t>"</w:t>
      </w:r>
      <w:r w:rsidRPr="00B003CD">
        <w:t xml:space="preserve"> sounds like asking </w:t>
      </w:r>
      <w:r w:rsidR="00463E2E">
        <w:t>"</w:t>
      </w:r>
      <w:r w:rsidRPr="00B003CD">
        <w:t>do you even care?</w:t>
      </w:r>
      <w:r w:rsidR="00463E2E">
        <w:t>"</w:t>
      </w:r>
      <w:r w:rsidRPr="00B003CD">
        <w:t xml:space="preserve"> Name the mechanism. Once you can see which one is operating, the costs become findable, because every proposal that relies on one of these mechanisms has moved its costs somewhere you are not supposed to look.</w:t>
      </w:r>
    </w:p>
    <w:p w14:paraId="14EB191C" w14:textId="77777777" w:rsidR="00B003CD" w:rsidRPr="00B003CD" w:rsidRDefault="00B003CD" w:rsidP="00B003CD">
      <w:r w:rsidRPr="00B003CD">
        <w:t>There are six places to check.</w:t>
      </w:r>
    </w:p>
    <w:p w14:paraId="1A2F042B" w14:textId="1B78E6E8" w:rsidR="00B003CD" w:rsidRPr="00B003CD" w:rsidRDefault="00B003CD" w:rsidP="00B003CD">
      <w:r w:rsidRPr="00B003CD">
        <w:t xml:space="preserve">The costs have been moved in time. Benefits arrive now; costs arrive later, often after the current leaders have moved on. Any proposal whose benefits are immediate and whose costs are </w:t>
      </w:r>
      <w:r w:rsidR="00463E2E">
        <w:t>"</w:t>
      </w:r>
      <w:r w:rsidRPr="00B003CD">
        <w:t>long-term</w:t>
      </w:r>
      <w:r w:rsidR="00463E2E">
        <w:t>"</w:t>
      </w:r>
      <w:r w:rsidRPr="00B003CD">
        <w:t xml:space="preserve"> or </w:t>
      </w:r>
      <w:r w:rsidR="00463E2E">
        <w:t>"</w:t>
      </w:r>
      <w:r w:rsidRPr="00B003CD">
        <w:t>manageable over time</w:t>
      </w:r>
      <w:r w:rsidR="00463E2E">
        <w:t>"</w:t>
      </w:r>
      <w:r w:rsidRPr="00B003CD">
        <w:t xml:space="preserve"> has used time as a hiding place. DARE operated this way for two decades. The benefits were immediate and visible: uniformed officers in classrooms, children reciting anti-drug pledges, parents reassured that something was being done. The costs were deferred and invisible: a generation of kids no better protected from drugs than if the program had never existed, and resources that could have funded approaches with demonstrated effectiveness spent on one that had none. By the time the evidence was impossible to ignore, the original advocates had moved on and the program had consumed billions in public funding. The time lag between the visible benefit and the invisible cost was the hiding place.</w:t>
      </w:r>
    </w:p>
    <w:p w14:paraId="18BF938E" w14:textId="76DD9D59" w:rsidR="00B003CD" w:rsidRPr="00B003CD" w:rsidRDefault="00B003CD" w:rsidP="00B003CD">
      <w:r w:rsidRPr="00B003CD">
        <w:t xml:space="preserve">The costs have been moved in space. The beneficiaries are here; the people who pay are elsewhere, in other jurisdictions, other departments, other demographics. When a proposal names who gains but not who loses, the losses have been geographically redistributed, not eliminated. The costs have been moved off the books. Regulatory mandates, unfunded requirements, compliance burdens: these are real costs that never appear in a government budget. When a policy is described as </w:t>
      </w:r>
      <w:r w:rsidR="00463E2E">
        <w:t>"</w:t>
      </w:r>
      <w:r w:rsidRPr="00B003CD">
        <w:t>not costing taxpayers anything,</w:t>
      </w:r>
      <w:r w:rsidR="00463E2E">
        <w:t>"</w:t>
      </w:r>
      <w:r w:rsidRPr="00B003CD">
        <w:t xml:space="preserve"> ask who it does cost.</w:t>
      </w:r>
    </w:p>
    <w:p w14:paraId="088C6F54" w14:textId="71A78DC5" w:rsidR="00B003CD" w:rsidRPr="00B003CD" w:rsidRDefault="00B003CD" w:rsidP="00B003CD">
      <w:r w:rsidRPr="00B003CD">
        <w:t xml:space="preserve">The costs have been buried in complexity. When a proposal requires technical expertise to evaluate, most people default to trusting the presenter's summary. The complexity is real, but the summary is chosen. Assumptions about growth rates, behavioral responses, and implementation timelines are where optimism hides inside technical detail. The costs have been replaced by assumptions. The projection </w:t>
      </w:r>
      <w:r w:rsidR="00463E2E">
        <w:t>"</w:t>
      </w:r>
      <w:r w:rsidRPr="00B003CD">
        <w:t>pays for itself</w:t>
      </w:r>
      <w:r w:rsidR="00463E2E">
        <w:t>"</w:t>
      </w:r>
      <w:r w:rsidRPr="00B003CD">
        <w:t xml:space="preserve"> through economic growth, efficiency gains, or behavioral changes that are asserted but not demonstrated. When benefits depend on people behaving exactly as projected, the projection is not a plan. It is a hope wearing a spreadsheet.</w:t>
      </w:r>
    </w:p>
    <w:p w14:paraId="0E979A99" w14:textId="77777777" w:rsidR="00B003CD" w:rsidRPr="00B003CD" w:rsidRDefault="00B003CD" w:rsidP="00B003CD">
      <w:r w:rsidRPr="00B003CD">
        <w:t>The costs have been declared morally irrelevant. This is the technique most distinctive to vibes-based reasoning. The costs are not hidden; they are acknowledged and then dismissed as less important than the moral imperative to act. The dismissal feels principled, but it produces the same result as hiding: decisions made without knowing what they actually cost.</w:t>
      </w:r>
    </w:p>
    <w:p w14:paraId="69129215" w14:textId="6C08A58E" w:rsidR="00B003CD" w:rsidRPr="00B003CD" w:rsidRDefault="00B003CD" w:rsidP="00B003CD">
      <w:r w:rsidRPr="00B003CD">
        <w:t xml:space="preserve">Australia's Pharmaceutical Benefits Scheme was designed to make that last move impossible. Since 1993, no drug has been added to the national formulary without passing an independent cost-effectiveness review, regardless of how urgent the condition or how compelling the moral case. The Pharmaceutical Benefits Advisory Committee evaluates what each drug achieves compared to existing treatments and what it actually costs. A drug that offers marginal benefit at enormous expense does not get listed because someone made a passionate case for it. The system has been in continuous operation for over </w:t>
      </w:r>
      <w:r w:rsidR="008169E3">
        <w:t>30</w:t>
      </w:r>
      <w:r w:rsidRPr="00B003CD">
        <w:t xml:space="preserve"> years. Australians pay roughly a third of what Americans pay for comparable pharmaceuticals, with comparable health outcomes, not because Australia discovered cheaper drugs but because it built a purchasing structure where the cost question gets asked and answered before commitments get made. The moral urgency is identical. The institutional design is not.</w:t>
      </w:r>
    </w:p>
    <w:p w14:paraId="087B19CE" w14:textId="77777777" w:rsidR="00B003CD" w:rsidRPr="00B003CD" w:rsidRDefault="00B003CD" w:rsidP="00B003CD">
      <w:r w:rsidRPr="00B003CD">
        <w:t>When any of these techniques are operating, costs have not been eliminated. They have been made invisible. And invisible costs do not disappear. They arrive later, elsewhere, and larger than they would have been if someone had looked at them honestly at the start.</w:t>
      </w:r>
    </w:p>
    <w:p w14:paraId="67D2A037" w14:textId="29649AE1" w:rsidR="00E25CED" w:rsidRDefault="00E25CED">
      <w:pPr>
        <w:sectPr w:rsidR="00E25CED" w:rsidSect="00E25CED">
          <w:footerReference w:type="default" r:id="rId33"/>
          <w:footerReference w:type="first" r:id="rId34"/>
          <w:endnotePr>
            <w:numFmt w:val="decimal"/>
          </w:endnotePr>
          <w:pgSz w:w="12240" w:h="15840"/>
          <w:pgMar w:top="1440" w:right="1440" w:bottom="1440" w:left="1440" w:header="0" w:footer="720" w:gutter="0"/>
          <w:cols w:space="720"/>
          <w:formProt w:val="0"/>
          <w:docGrid w:linePitch="100"/>
        </w:sectPr>
      </w:pPr>
    </w:p>
    <w:p w14:paraId="16594A54" w14:textId="77777777" w:rsidR="00E25CED" w:rsidRDefault="00E25CED">
      <w:pPr>
        <w:pStyle w:val="Heading2"/>
      </w:pPr>
      <w:bookmarkStart w:id="57" w:name="_Ref226197077"/>
      <w:bookmarkStart w:id="58" w:name="_Toc227410688"/>
      <w:r>
        <w:t>Belief as Armor</w:t>
      </w:r>
      <w:bookmarkEnd w:id="57"/>
      <w:bookmarkEnd w:id="58"/>
    </w:p>
    <w:p w14:paraId="7A854504" w14:textId="77777777" w:rsidR="00E25CED" w:rsidRDefault="00E25CED">
      <w:r>
        <w:t xml:space="preserve">In 1972, a British physiologist named John Yudkin published </w:t>
      </w:r>
      <w:r>
        <w:rPr>
          <w:i/>
          <w:iCs/>
        </w:rPr>
        <w:t>Pure, White and Deadly</w:t>
      </w:r>
      <w:r>
        <w:t>, a book arguing that sugar, not dietary fat, was the primary driver of heart disease and obesity. Yudkin had decades of research behind him. His evidence was substantial. The book was reviewed, debated, and then systematically buried.</w:t>
      </w:r>
    </w:p>
    <w:p w14:paraId="65B595C0" w14:textId="6B914248" w:rsidR="00E25CED" w:rsidRDefault="00E25CED">
      <w:r>
        <w:t xml:space="preserve">The nutritional establishment had already committed to a different theory. Ancel Keys, the most influential nutrition researcher of his era, had built the case that saturated fat caused heart disease, and his framework had become the foundation of dietary guidelines in the United States and across the developed world. Keys did not merely disagree with Yudkin. He called his work </w:t>
      </w:r>
      <w:r w:rsidR="00463E2E">
        <w:t>"</w:t>
      </w:r>
      <w:r>
        <w:t>a mountain of nonsense</w:t>
      </w:r>
      <w:r w:rsidR="00463E2E">
        <w:t>"</w:t>
      </w:r>
      <w:r>
        <w:t xml:space="preserve"> and campaigned to discredit him professionally. Yudkin's reputation never recovered. He died in 1995 largely forgotten, his research out of print.</w:t>
      </w:r>
    </w:p>
    <w:p w14:paraId="023EC4CA" w14:textId="77777777" w:rsidR="00E25CED" w:rsidRDefault="00E25CED">
      <w:r>
        <w:t>Over the following decades, the low-fat consensus shaped everything: government dietary guidelines, food industry reformulation, hospital meal planning, school lunch programs, and the advice doctors gave tens of millions of patients. Food manufacturers removed fat and replaced it with sugar to maintain taste. The public bought low-fat products by the billions, believing they were making the healthy choice. Obesity rates climbed. Diabetes rates climbed. Heart disease remained the leading cause of death.</w:t>
      </w:r>
    </w:p>
    <w:p w14:paraId="3D102B49" w14:textId="77777777" w:rsidR="00E25CED" w:rsidRDefault="00E25CED">
      <w:r>
        <w:t>Researchers who questioned the fat hypothesis during those decades faced professional consequences. Funding was harder to secure. Publication was harder to achieve. The consensus had fused with institutional identity. Entire careers, entire agencies, entire industries had been built around fat being the enemy. Reconsidering the evidence didn't just mean updating a theory. It meant admitting that decades of guidelines had been wrong, that the food products designed around those guidelines may have made people sicker, and that the researchers who had raised alarms had been punished for being right.</w:t>
      </w:r>
    </w:p>
    <w:p w14:paraId="30596850" w14:textId="77777777" w:rsidR="00E25CED" w:rsidRDefault="00E25CED">
      <w:r>
        <w:t>The correction, when it finally came, took decades longer than the evidence warranted. By the 2010s, the scientific literature had largely shifted. Sugar and refined carbohydrates were recognized as significant contributors to metabolic disease. But the institutional machinery built around the fat hypothesis didn't reverse overnight, because the belief had long since stopped being a scientific question and had become something else: an identity, a professional commitment, a marker of responsible expertise that could not be abandoned without threatening the people who held it.</w:t>
      </w:r>
    </w:p>
    <w:p w14:paraId="710398E8" w14:textId="77777777" w:rsidR="00E25CED" w:rsidRDefault="00E25CED">
      <w:r>
        <w:t>That transformation, from idea to identity to armor, is the mechanism this chapter examines.</w:t>
      </w:r>
    </w:p>
    <w:p w14:paraId="320DDFF0" w14:textId="77777777" w:rsidR="00E25CED" w:rsidRDefault="00E25CED">
      <w:r>
        <w:t>That mechanism was not unique to nutrition science. It operates in politics, where a voter's position on healthcare or tax policy becomes inseparable from who they are. It operates in personal life, where the choices someone has already made become impossible to reexamine because reexamination would mean admitting the costs were real all along. Not everyone follows this path equally far, and some people resist it more successfully than others. But the pattern appears often enough, across enough domains, that its logic is essential to explaining why correction so rarely happens even when the evidence is overwhelming.</w:t>
      </w:r>
    </w:p>
    <w:p w14:paraId="5954C424" w14:textId="77777777" w:rsidR="00E25CED" w:rsidRDefault="00E25CED">
      <w:pPr>
        <w:pStyle w:val="Heading3"/>
      </w:pPr>
      <w:bookmarkStart w:id="59" w:name="_Toc227410689"/>
      <w:r>
        <w:t>From Error to Affiliation</w:t>
      </w:r>
      <w:bookmarkEnd w:id="59"/>
    </w:p>
    <w:p w14:paraId="23F57DA2" w14:textId="77777777" w:rsidR="00E25CED" w:rsidRDefault="00E25CED">
      <w:r>
        <w:t>The journey from holding a belief to becoming that belief follows a recognizable path that most people never consciously notice. It begins innocently enough with exposure to an idea that resonates with existing values and experiences. Someone reads about universal basic income and thinks it sounds like a compassionate response to economic hardship. Someone else encounters the case for supply-side tax cuts and believes lower rates will unleash growth that benefits everyone. Both reactions feel like intellectual discoveries, not the first step in identity construction.</w:t>
      </w:r>
    </w:p>
    <w:p w14:paraId="1BE1808D" w14:textId="77777777" w:rsidR="00E25CED" w:rsidRDefault="00E25CED">
      <w:r>
        <w:t>The person believes they are forming opinions based on evidence and reasoning. They research the topics, read supporting materials, follow commentators who share their perspective, and discuss their new understanding with friends and colleagues who often hold similar views. The belief feels grounded in careful consideration, not emotional attachment. They could change their mind if the evidence warranted it. They simply have not encountered any evidence that would warrant it.</w:t>
      </w:r>
    </w:p>
    <w:p w14:paraId="379EB496" w14:textId="77777777" w:rsidR="00131001" w:rsidRPr="00131001" w:rsidRDefault="00131001" w:rsidP="00131001">
      <w:r w:rsidRPr="00131001">
        <w:t>Supporting universal basic income becomes evidence that you care about economic justice. Advocating for supply-side tax cuts demonstrates that you understand how economies actually grow. The transformation happens through social reinforcement so ordinary it feels like nothing at all: the person expresses their views, colleagues approve, each interaction wraps another layer of identity around the belief. The position that began as a technical judgment about what might work has become a moral statement about what kind of person you are.</w:t>
      </w:r>
    </w:p>
    <w:p w14:paraId="4BABFB52" w14:textId="77777777" w:rsidR="00E25CED" w:rsidRDefault="00E25CED">
      <w:r>
        <w:t>Changing your mind would mean changing that moral statement. It would mean becoming someone who cares less, understands less, values the wrong things.</w:t>
      </w:r>
    </w:p>
    <w:p w14:paraId="78B1C726" w14:textId="77777777" w:rsidR="00131001" w:rsidRPr="00131001" w:rsidRDefault="00131001" w:rsidP="00131001">
      <w:r w:rsidRPr="00131001">
        <w:t>Then come the practical investments. The person chooses jobs with organizations that share their perspectives, mentions positions in professional contexts, discovers that holding the right views opens doors while holding the wrong views closes them. They have built a life around their beliefs without noticing they were doing it. Admitting the approach might not work would now require reconsidering career choices, friendships, media habits, and charitable giving decisions that were all shaped by the belief. The psychological cost of revision extends into every corner of the life built around it.</w:t>
      </w:r>
    </w:p>
    <w:p w14:paraId="11CAB7B1" w14:textId="77777777" w:rsidR="00E25CED" w:rsidRDefault="00E25CED">
      <w:r>
        <w:t>In practice, the final stage occurs when the person begins seeing challenges to their belief as attacks on people like themselves, not as information that might help them understand complex issues more accurately. Criticism of their preferred policy turns into evidence that critics do not care about the underlying problem: if they cared, how could they oppose a solution designed to address it? The person who questions effectiveness must have hidden motives, because why else would they try to undermine something so clearly beneficial? And anyone who analyzes costs and tradeoffs has simply revealed their priorities, since real compassion would not get lost in spreadsheets and economic models.</w:t>
      </w:r>
    </w:p>
    <w:p w14:paraId="28F5AF4F" w14:textId="77777777" w:rsidR="00E25CED" w:rsidRDefault="00E25CED">
      <w:r>
        <w:t>The interpretive framework makes it difficult to process information that might suggest the belief is incomplete. Any such information is automatically categorized as evidence of bad faith, insufficient caring, or misplaced priorities on the part of the person providing it. The belief turns self-sealing, resistant to challenge because any potential disconfirmation is reinterpreted as confirmation that the forces opposing the belief are more powerful and more hostile than previously understood.</w:t>
      </w:r>
    </w:p>
    <w:p w14:paraId="74533167" w14:textId="77777777" w:rsidR="00E25CED" w:rsidRDefault="00E25CED">
      <w:r>
        <w:t>Look closely: the person who began this journey thinking they were forming an opinion about policy effectiveness has ended up with an identity that depends on their position being not just effective but morally necessary. They cannot acknowledge evidence that the approach might not work without acknowledging that their career choices, social relationships, media consumption, charitable giving, and self-concept have been built around a mistake. The psychological and social costs of revision become so high that maintaining the belief feels like the only viable option regardless of what new information might suggest about its accuracy.</w:t>
      </w:r>
    </w:p>
    <w:p w14:paraId="369B361A" w14:textId="77777777" w:rsidR="00E25CED" w:rsidRDefault="00E25CED">
      <w:r>
        <w:t>Predictably, this transformation from opinion to identity explains why policy debates often resemble religious conflicts more than empirical discussions. People are not defending hypotheses that might be wrong. They are defending identities that cannot be wrong without requiring complete reconstruction of how they understand themselves and their place in the world. The belief has grown so integrated with who they are that questioning it registers as an existential threat, not an intellectual opportunity.</w:t>
      </w:r>
    </w:p>
    <w:p w14:paraId="7B775CAE" w14:textId="77777777" w:rsidR="00E25CED" w:rsidRDefault="00E25CED">
      <w:pPr>
        <w:pStyle w:val="Heading3"/>
      </w:pPr>
      <w:bookmarkStart w:id="60" w:name="_Toc227410690"/>
      <w:r>
        <w:t>Correction Feels Like Attack</w:t>
      </w:r>
      <w:bookmarkEnd w:id="60"/>
    </w:p>
    <w:p w14:paraId="2D2B8C3A" w14:textId="77777777" w:rsidR="00E25CED" w:rsidRDefault="00E25CED">
      <w:r>
        <w:t>The moment someone presents evidence that challenges a deeply held belief, something remarkable happens in the believer's brain. Instead of processing the information as potentially useful data about how the world works, they experience it as a personal assault that requires immediate defensive action. Stress hormones flood the system, and cognitive resources shift from analytical thinking to threat detection and response.</w:t>
      </w:r>
      <w:r>
        <w:rPr>
          <w:rStyle w:val="EndnoteReference"/>
        </w:rPr>
        <w:endnoteReference w:id="72"/>
      </w:r>
    </w:p>
    <w:p w14:paraId="7AAF6136" w14:textId="6028A3CE" w:rsidR="00E25CED" w:rsidRDefault="00E25CED">
      <w:r>
        <w:t>The brain</w:t>
      </w:r>
      <w:r w:rsidR="00463E2E">
        <w:t>'</w:t>
      </w:r>
      <w:r>
        <w:t>s threat-detection systems do not clearly distinguish between different kinds of threats. A challenge to a belief that has become central to identity activates many of the same neural pathways as a challenge to physical safety.</w:t>
      </w:r>
      <w:r>
        <w:rPr>
          <w:rStyle w:val="EndnoteReference"/>
        </w:rPr>
        <w:endnoteReference w:id="73"/>
      </w:r>
      <w:r>
        <w:t xml:space="preserve"> The brain responds as though something essential is at risk, because from its perspective, something essential is at risk. The sense of who you are is as vital to psychological functioning as physical integrity is to biological functioning.</w:t>
      </w:r>
    </w:p>
    <w:p w14:paraId="35315425" w14:textId="77777777" w:rsidR="00E25CED" w:rsidRDefault="00E25CED">
      <w:r>
        <w:t>Challenged believers end up literally less capable of evaluating challenging information fairly, not because they are stupid or stubborn but because their brains have shifted resources from careful analysis to threat response.</w:t>
      </w:r>
      <w:r>
        <w:rPr>
          <w:rStyle w:val="EndnoteReference"/>
        </w:rPr>
        <w:endnoteReference w:id="74"/>
      </w:r>
      <w:r>
        <w:t xml:space="preserve"> </w:t>
      </w:r>
    </w:p>
    <w:p w14:paraId="4075EF46" w14:textId="77777777" w:rsidR="00E25CED" w:rsidRDefault="00E25CED">
      <w:r>
        <w:t>The physiological reaction explains why policy discussions so often escalate into emotional confrontations instead of remaining calm exchanges of information. When someone presents data suggesting that rent control policies might reduce housing availability over time, supporters of rent control do not experience this as helpful information about housing market dynamics. They experience it as an attack on their compassion for struggling tenants and their commitment to housing justice. The evidence registers as hostile because it threatens beliefs that have fused with their identity as people who care about affordable housing.</w:t>
      </w:r>
    </w:p>
    <w:p w14:paraId="0769367C" w14:textId="77777777" w:rsidR="00E25CED" w:rsidRDefault="00E25CED">
      <w:r>
        <w:t>The response intensifies when the correction comes from someone perceived as belonging to a different political or social group. Evidence presented by conservatives is dismissed by liberals as ideologically motivated; research conducted by liberals is rejected by conservatives as biased. The source of the correction grows more important than its accuracy because the correction is interpreted as an attack by enemies, not as information from observers with no stake in the outcome.</w:t>
      </w:r>
    </w:p>
    <w:p w14:paraId="6A5BF5A8" w14:textId="16D397C9" w:rsidR="00E25CED" w:rsidRDefault="00E25CED">
      <w:r>
        <w:t xml:space="preserve">Source-based evaluation makes it difficult to learn from those who disagree because disagreement itself becomes evidence that the </w:t>
      </w:r>
      <w:proofErr w:type="spellStart"/>
      <w:r>
        <w:t>disagreer</w:t>
      </w:r>
      <w:proofErr w:type="spellEnd"/>
      <w:r>
        <w:t xml:space="preserve"> cannot be trusted. The person who challenges your belief about rent control must not care about housing affordability. The individual who questions tough-on-crime sentencing must be soft on public safety. The corrector</w:t>
      </w:r>
      <w:r w:rsidR="00463E2E">
        <w:t>'</w:t>
      </w:r>
      <w:r>
        <w:t>s motives have been settled before they finish their sentence.</w:t>
      </w:r>
    </w:p>
    <w:p w14:paraId="64EC1A3A" w14:textId="23FA6A55" w:rsidR="00E25CED" w:rsidRDefault="00E25CED">
      <w:r>
        <w:t>The correction is filtered through assumptions about the corrector</w:t>
      </w:r>
      <w:r w:rsidR="00463E2E">
        <w:t>'</w:t>
      </w:r>
      <w:r>
        <w:t>s motivations instead of evaluated based on its factual content. Once the corrector has been categorized as hostile, everything they say is processed through that lens. Even accurate information is discounted. Even valid concerns are dismissed. The correction cannot succeed because its source has been disqualified.</w:t>
      </w:r>
    </w:p>
    <w:p w14:paraId="50B707FF" w14:textId="77777777" w:rsidR="00E25CED" w:rsidRDefault="00E25CED">
      <w:r>
        <w:t>An attack response also intensifies when corrections are presented in ways that feel condescending or dismissive of the values that motivated the original belief. When economists explain that rent control creates housing shortages using technical language and statistical models, supporters of rent control hear not just disagreement with their policy preference but dismissal of their concern for tenant welfare and their understanding of housing struggles. The correction registers as an assertion that their moral concerns are irrelevant compared to economic theory, that their lived experience is worthless compared to academic abstraction.</w:t>
      </w:r>
    </w:p>
    <w:p w14:paraId="18BAB52E" w14:textId="77777777" w:rsidR="00E25CED" w:rsidRDefault="00E25CED">
      <w:r>
        <w:t>The emotional response makes it difficult to separate analytical disagreement from personal attack. The person presenting challenging evidence must contend with not just intellectual resistance but emotional defensiveness that interprets any questioning as hostility. They must find ways to honor the values behind the original belief while showing that different approaches would serve them better.</w:t>
      </w:r>
    </w:p>
    <w:p w14:paraId="4DC55CA2" w14:textId="77777777" w:rsidR="00E25CED" w:rsidRDefault="00E25CED">
      <w:r>
        <w:t>The same response explains why people often grow more committed to challenged beliefs, not less committed, when presented with disconfirming evidence. Because the threat to identity registers as real, the brain mobilizes to protect the threatened belief more intensely than it would protect a belief that nobody seemed interested in attacking. The person who was casually supportive of a policy turns passionately committed to it when that policy is criticized. The individual who held a position loosely begins holding it tightly when that position is questioned. The challenge backfires by strengthening the commitment it was intended to reduce, not weakening it.</w:t>
      </w:r>
      <w:r>
        <w:rPr>
          <w:rStyle w:val="EndnoteReference"/>
        </w:rPr>
        <w:endnoteReference w:id="75"/>
      </w:r>
    </w:p>
    <w:p w14:paraId="277F922A" w14:textId="77777777" w:rsidR="00E25CED" w:rsidRDefault="00E25CED">
      <w:r>
        <w:t>Understanding why correction registers as attack is essential for anyone who wants to help people think more clearly about complex issues. The challenge is not simply to present better evidence or construct more logical arguments. Those approaches often fail because they trigger the very defensive responses that prevent evidence from being processed fairly. The real challenge is to find ways to reduce the threat that correction poses to identity and social belonging, to separate evaluation of policy effectiveness from evaluation of personal worth. That means acknowledging the values that motivated original beliefs and presenting alternative approaches as better ways to achieve shared goals, not as proof that previous approaches were foolish.</w:t>
      </w:r>
    </w:p>
    <w:p w14:paraId="5705BA43" w14:textId="77777777" w:rsidR="0057757A" w:rsidRDefault="0057757A" w:rsidP="0057757A">
      <w:r w:rsidRPr="0057757A">
        <w:t>Scarcity language is a particularly potent trigger because it attacks something deeper than a policy preference. By now the pattern is familiar: question the consensus approach and you will be labeled as someone who doesn't care. But when someone points out that resources are limited and choices have consequences, the threat goes beyond social punishment. It threatens the foundational belief that the preferred solution could work if only people cared enough. The observation that budgets are finite doesn't just sound like indifference to suffering. It closes the door on the possibility that willpower and compassion are sufficient, that the only thing standing between the problem and its solution is a lack of commitment. That is an identity threat of a different order, and it explains why resource discussions in any context involving people seen as deserving assistance become so dangerous so quickly. Program designers, administrators, and planners who raise prioritization questions risk being dismissed not just as heartless but as people who have fundamentally misunderstood what the work is about</w:t>
      </w:r>
      <w:r>
        <w:t>.</w:t>
      </w:r>
    </w:p>
    <w:p w14:paraId="11C771FC" w14:textId="77777777" w:rsidR="0057757A" w:rsidRDefault="0057757A" w:rsidP="0057757A">
      <w:r>
        <w:t>The people who pay the highest price for this refusal are those who depend most on public programs working well and who cannot afford private alternatives when those programs fail. They end up with programs that consume substantial resources while delivering poor results, a pattern whose full consequences become clearest when this book turns to the institutions those populations depend on.</w:t>
      </w:r>
    </w:p>
    <w:p w14:paraId="667760CE" w14:textId="77777777" w:rsidR="00E25CED" w:rsidRDefault="00E25CED">
      <w:pPr>
        <w:pStyle w:val="Heading3"/>
      </w:pPr>
      <w:bookmarkStart w:id="61" w:name="_Toc227410691"/>
      <w:r>
        <w:t>The Self-Sealing Loop</w:t>
      </w:r>
      <w:bookmarkEnd w:id="61"/>
    </w:p>
    <w:p w14:paraId="0CC9A651" w14:textId="2F7E42D1" w:rsidR="00E25CED" w:rsidRDefault="00E25CED">
      <w:r>
        <w:t xml:space="preserve">What makes </w:t>
      </w:r>
      <w:r w:rsidR="009D670D">
        <w:t>belief as armor</w:t>
      </w:r>
      <w:r>
        <w:t xml:space="preserve"> so difficult to dislodge is how every challenge makes the armor stronger instead of revealing its weaknesses. When evidence emerges that contradicts cherished beliefs, believers do not interpret this evidence as information that might help them understand reality more accurately. Instead, they interpret it as proof that the forces opposing their beliefs are more powerful and more dangerous than they previously understood. Each piece of disconfirming evidence turns into confirmation that the belief is under attack by people who want to prevent the truth from being recognized.</w:t>
      </w:r>
    </w:p>
    <w:p w14:paraId="2EFE1EFC" w14:textId="77777777" w:rsidR="00E25CED" w:rsidRDefault="00E25CED">
      <w:r>
        <w:t>The interpretive loop appears throughout modern policy discussions. A study shows that a popular intervention is not achieving its intended effects, and supporters conclude that opposing interests must be funding research designed to undermine progress. The pattern crosses political lines: data reveals that mandatory minimum sentences have not reduced crime rates, and instead of examining whether the approach might be counterproductive, tough-on-crime advocates determine that lenient judges and liberal researchers are manipulating statistics. When analysis demonstrates that certain reforms are not improving outcomes, supporters do not question their methods. Entrenched powers must be spreading misinformation to resist beneficial change.</w:t>
      </w:r>
    </w:p>
    <w:p w14:paraId="65F76DCE" w14:textId="77777777" w:rsidR="00E25CED" w:rsidRDefault="00E25CED">
      <w:r>
        <w:t>The loop works by transforming every potential falsification into confirmation of the original belief system. No evidence supporting the belief? Opponents must be suppressing research. Evidence contradicting the belief? Those same opponents must be manufacturing fake studies. Mixed findings? Adversaries are sophisticated enough to create plausible-sounding arguments while hiding the truth.</w:t>
      </w:r>
    </w:p>
    <w:p w14:paraId="603C63E2" w14:textId="77777777" w:rsidR="00E25CED" w:rsidRDefault="00E25CED">
      <w:r>
        <w:t>The closed-loop mechanism makes beliefs practically unfalsifiable because any possible evidence is reinterpreted to support the belief system instead of challenging it. The loop also produces a systematic double standard. Evidence that supports their beliefs is accepted with minimal scrutiny. Evidence that challenges their beliefs is subjected to intense examination designed to find flaws that justify dismissal. Research conducted by allies is treated as objective and reliable. Research conducted by perceived opponents is assumed to be biased and manipulated.</w:t>
      </w:r>
    </w:p>
    <w:p w14:paraId="07D0AC19" w14:textId="77777777" w:rsidR="00E25CED" w:rsidRDefault="00E25CED">
      <w:r>
        <w:t>The double standard makes it difficult to learn from anyone who produces inconvenient findings. The researcher who studies program outcomes is dismissed as having an agenda if their findings suggest the program is not working. The analyst who examines implementation challenges is labeled as an opponent of progress if their data shows problems with popular approaches.</w:t>
      </w:r>
    </w:p>
    <w:p w14:paraId="6B66EA22" w14:textId="77777777" w:rsidR="00E25CED" w:rsidRDefault="00E25CED">
      <w:r>
        <w:t>The consequences compound when this pattern operates inside institutions responsible for helping people who have no alternatives.</w:t>
      </w:r>
    </w:p>
    <w:p w14:paraId="66311D40" w14:textId="71F0E68B" w:rsidR="00E25CED" w:rsidRDefault="00E25CED">
      <w:r>
        <w:t>And as with the backfire effect described earlier, the very process of encountering challenges strengthens commitment. Each challenge turns into evidence of the belief</w:t>
      </w:r>
      <w:r w:rsidR="00463E2E">
        <w:t>'</w:t>
      </w:r>
      <w:r>
        <w:t>s importance: important truths attract opposition from powerful interests. The pattern feeds on itself, growing stronger precisely when it should be weakening.</w:t>
      </w:r>
    </w:p>
    <w:p w14:paraId="053C06AE" w14:textId="77777777" w:rsidR="00E25CED" w:rsidRDefault="00E25CED">
      <w:r>
        <w:t>The loop persists because the alternative, actually reconsidering beliefs in light of evidence, carries psychological and social costs that seem prohibitive. Acknowledging that a cherished belief might be wrong means acknowledging that the identity built around that belief might need reconstruction. It means accepting that career choices, social relationships, and self-understanding might have been built on a mistake. It means facing the discomfort of uncertainty after years of confident conviction. The loop provides protection from all of this. It allows believers to maintain their sense of being right, their social belonging, and their psychological stability, all at the cost of being unable to learn from experience.</w:t>
      </w:r>
    </w:p>
    <w:p w14:paraId="6AD9004C" w14:textId="77777777" w:rsidR="00E25CED" w:rsidRDefault="00E25CED">
      <w:r>
        <w:t>The same mechanisms that make the loop so persistent also make it invisible to those caught within it. From inside the loop, the pattern looks like vigilance, not rigidity. The believer experiences themselves as someone who sees through manipulation, who understands the interests behind seemingly neutral findings. They consider themselves more perceptive than people who accept challenging evidence at face value. The loop does not look like armor; it looks like clear vision.</w:t>
      </w:r>
    </w:p>
    <w:p w14:paraId="21ED6191" w14:textId="77777777" w:rsidR="00E25CED" w:rsidRDefault="00E25CED">
      <w:r>
        <w:t>What emerges is what makes it so difficult to escape: not just the psychological costs of revision but the genuine inability to recognize that revision might be warranted.</w:t>
      </w:r>
    </w:p>
    <w:p w14:paraId="2AC4B831" w14:textId="77777777" w:rsidR="00E25CED" w:rsidRDefault="00E25CED">
      <w:pPr>
        <w:pStyle w:val="Heading3"/>
      </w:pPr>
      <w:bookmarkStart w:id="62" w:name="_Toc227410692"/>
      <w:r>
        <w:t>Virtue in Not Knowing</w:t>
      </w:r>
      <w:bookmarkEnd w:id="62"/>
    </w:p>
    <w:p w14:paraId="57DAF256" w14:textId="45D5B47F" w:rsidR="00E25CED" w:rsidRDefault="00E25CED">
      <w:r>
        <w:t xml:space="preserve">A final stage of </w:t>
      </w:r>
      <w:r w:rsidR="009D670D">
        <w:t>belief as armor</w:t>
      </w:r>
      <w:r>
        <w:t xml:space="preserve"> occurs when ignorance itself turns into a marker of moral seriousness. The person who admits to not understanding complex causal relationships is praised for intellectual humility, while the person who studies those relationships is accused of overthinking problems that should be solved through compassion, not analysis. The individual who confesses confusion about policy tradeoffs is celebrated for focusing on values instead of technicalities, while the analyst who maps those tradeoffs is dismissed as missing the forest for the trees.</w:t>
      </w:r>
    </w:p>
    <w:p w14:paraId="058FB279" w14:textId="77777777" w:rsidR="00E25CED" w:rsidRDefault="00E25CED">
      <w:r>
        <w:t>Not knowing turns into evidence of virtue. Knowing turns into evidence of moral corruption.</w:t>
      </w:r>
    </w:p>
    <w:p w14:paraId="74BE8EA4" w14:textId="6549A54B" w:rsidR="00E25CED" w:rsidRDefault="00E25CED">
      <w:r>
        <w:t>The pattern appears throughout institutional life. The manager who admits they do not understand budget constraints earns credit for being people-focused. The policymaker who confesses to not comprehending economic analysis is applauded for staying connected to ordinary experience. Admission of ignorance turns into a qualification for making decisions that affect other people</w:t>
      </w:r>
      <w:r w:rsidR="00463E2E">
        <w:t>'</w:t>
      </w:r>
      <w:r>
        <w:t>s lives.</w:t>
      </w:r>
    </w:p>
    <w:p w14:paraId="4D731CBE" w14:textId="77777777" w:rsidR="00E25CED" w:rsidRDefault="00E25CED">
      <w:r>
        <w:t>The virtue-in-ignorance framework transforms intellectual curiosity from a strength into a liability. Want to understand how policies actually work? You must care more about being right than helping people. Study implementation challenges? You're making excuses for inaction instead of finding solutions to urgent problems. Examine unintended consequences? You don't want things to actually get better.</w:t>
      </w:r>
    </w:p>
    <w:p w14:paraId="542285E8" w14:textId="77777777" w:rsidR="00E25CED" w:rsidRDefault="00E25CED">
      <w:r>
        <w:t>The anti-intellectual stance proves satisfying because it appears to prioritize human welfare over abstract knowledge, practical wisdom over theoretical understanding, and moral commitment over analytical detachment. The framework suggests that the most important qualifications for addressing social problems are caring deeply about those problems and having direct experience with their human costs.</w:t>
      </w:r>
    </w:p>
    <w:p w14:paraId="4B77E9CD" w14:textId="77777777" w:rsidR="00E25CED" w:rsidRDefault="00E25CED">
      <w:r>
        <w:t>Technical expertise grows not just irrelevant but actively suspect because it allegedly distances people from the emotional reality of suffering and injustice. The framework also provides psychological protection. When someone discovers that a preferred intervention might be creating problems for the people it was supposed to help, they can resolve the dissonance by deciding that such technical considerations are distractions from the moral imperative to act.</w:t>
      </w:r>
    </w:p>
    <w:p w14:paraId="5251331D" w14:textId="77777777" w:rsidR="00E25CED" w:rsidRDefault="00E25CED">
      <w:r>
        <w:t>The protective function makes ignorance-as-virtue particularly appealing to people who have built their identities around supporting approaches that feel compassionate but produce disappointing results. Instead of confronting the possibility that their preferred methods might be counterproductive, they can maintain their self-image by treating analytical thinking as a form of moral failure. The person who studies policy effectiveness turns into the problem, not the policies that do not work as intended.</w:t>
      </w:r>
    </w:p>
    <w:p w14:paraId="1022D0FB" w14:textId="6C29FB24" w:rsidR="00E25CED" w:rsidRDefault="00E25CED">
      <w:r>
        <w:t xml:space="preserve">The framework creates </w:t>
      </w:r>
      <w:r w:rsidR="00840CA0">
        <w:t xml:space="preserve">even more </w:t>
      </w:r>
      <w:r>
        <w:t>systematic bias against learning from people who understand how complex systems respond to interventions. The researcher who studies what actually works is dismissed as caring more about data than about people, as though understanding outcomes were somehow opposed to improving them.</w:t>
      </w:r>
    </w:p>
    <w:p w14:paraId="22B7E0D0" w14:textId="77777777" w:rsidR="00E25CED" w:rsidRDefault="00E25CED">
      <w:r>
        <w:t>The expertise rejection means each generation of decision-makers starts from scratch instead of building on lessons learned from previous efforts. The same mistakes get repeated because learning from those mistakes would require acknowledging that moral intuition alone is insufficient for designing effective policies and that technical understanding might actually be necessary for achieving moral goals.</w:t>
      </w:r>
    </w:p>
    <w:p w14:paraId="033844D0" w14:textId="77777777" w:rsidR="00E25CED" w:rsidRDefault="00E25CED">
      <w:r>
        <w:t>The ignorance-as-virtue stance prevents recognition that the most compassionate approach to policy design is the approach that actually helps people, not the approach that makes policymakers feel most virtuous. When technical analysis suggests popular interventions might be hurting the people they are supposed to help, the response that genuinely serves those people is to examine that analysis carefully.</w:t>
      </w:r>
    </w:p>
    <w:p w14:paraId="20B48A59" w14:textId="77777777" w:rsidR="00E25CED" w:rsidRDefault="00E25CED">
      <w:r>
        <w:t>The framework grows most consequential when it affects institutions that serve people who cannot easily escape when those institutions fail. Low-income families cannot afford private alternatives when public programs embrace approaches that feel progressive but do not improve outcomes. Disadvantaged communities cannot find substitute services when agencies adopt methods that satisfy providers but do not actually help recipients achieve their goals. Vulnerable populations cannot seek help elsewhere when systems implement reforms that make staff feel good about themselves but do not deliver results for the people those systems exist to serve.</w:t>
      </w:r>
    </w:p>
    <w:p w14:paraId="492C474F" w14:textId="77777777" w:rsidR="00E25CED" w:rsidRDefault="00E25CED">
      <w:r>
        <w:t>These populations suffer most when ignorance is treated as virtue because they depend on institutions working effectively, not just feeling good about themselves. They need policies designed by people who understand how complex systems actually work, not policies designed by people who pride themselves on not understanding such systems. They require approaches based on evidence about what actually helps, not approaches based on assumptions about what should help.</w:t>
      </w:r>
    </w:p>
    <w:p w14:paraId="42B87D69" w14:textId="77777777" w:rsidR="00E25CED" w:rsidRDefault="00E25CED">
      <w:r>
        <w:t>The most committed response to the problems policies are supposed to solve is not to celebrate ignorance but to combine moral commitment with intellectual rigor, to treat caring about people as motivation for learning how to help them instead of as a substitute for such learning. This means treating knowledge as a moral obligation instead of a moral threat, and treating expertise as a form of service to the people policies are supposed to help. It means measuring commitment not by how fiercely you defend a position but by whether the people on the other end of your policies are actually better off.</w:t>
      </w:r>
    </w:p>
    <w:p w14:paraId="3AB00B92" w14:textId="77777777" w:rsidR="00E25CED" w:rsidRDefault="00E25CED">
      <w:r>
        <w:t>The measure of commitment is not how strongly you feel about problems but how effectively you help solve them. Only when ignorance stops feeling virtuous can institutions begin to design approaches that actually achieve the outcomes that motivated concern in the first place.</w:t>
      </w:r>
    </w:p>
    <w:p w14:paraId="0EB8C57F" w14:textId="77777777" w:rsidR="00E25CED" w:rsidRDefault="00E25CED">
      <w:r>
        <w:t>What looks like four separate problems is one self-reinforcing system. Political incentives punish honesty, which protects institutions from scrutiny, which sustains a culture where feeling substitutes for analysis, which ensures that correction triggers the identity-threat response this chapter just diagnosed. Each force makes the others harder to break.</w:t>
      </w:r>
    </w:p>
    <w:p w14:paraId="617D4A5D" w14:textId="1A7BFB3C" w:rsidR="00E25CED" w:rsidRDefault="00E25CED">
      <w:r>
        <w:t xml:space="preserve">These patterns don't stop at the boundary between public and private life. The same resistance to tradeoffs that distorts policy debates shapes how people make decisions about their own education, housing, careers, and spending. Someone who dismisses cost-benefit analysis as cold when applied to social programs will dismiss it just as readily when applied to their graduate school choice or their mortgage. The </w:t>
      </w:r>
      <w:r w:rsidR="009D670D">
        <w:t>belief as armor</w:t>
      </w:r>
      <w:r>
        <w:t xml:space="preserve"> dynamic extends inward, protecting not just policy positions but lifestyle expectations, career assumptions, and the sense that limits are for other people to accept.</w:t>
      </w:r>
    </w:p>
    <w:p w14:paraId="1E9AB897" w14:textId="77777777" w:rsidR="00E25CED" w:rsidRDefault="00E25CED">
      <w:pPr>
        <w:pStyle w:val="Heading3"/>
      </w:pPr>
      <w:bookmarkStart w:id="63" w:name="_Toc227410693"/>
      <w:r>
        <w:t>The Double Standard Check</w:t>
      </w:r>
      <w:bookmarkEnd w:id="63"/>
    </w:p>
    <w:p w14:paraId="30A8346D" w14:textId="1BFA426A" w:rsidR="00E25CED" w:rsidRDefault="00E25CED">
      <w:r>
        <w:t>The self-sealing loop described in this chapter</w:t>
      </w:r>
      <w:r w:rsidR="00456DDA">
        <w:t>—w</w:t>
      </w:r>
      <w:r>
        <w:t>here beliefs fuse with identity, correction registers as attack, and ignorance passes for virtue</w:t>
      </w:r>
      <w:r w:rsidR="00456DDA">
        <w:t>—h</w:t>
      </w:r>
      <w:r>
        <w:t>as one structural weakness: it depends on applying different standards to the same evidence depending on whether it supports or threatens existing beliefs. The following exercise exploits that weakness.</w:t>
      </w:r>
    </w:p>
    <w:p w14:paraId="3FEFFC95" w14:textId="77777777" w:rsidR="00E25CED" w:rsidRDefault="00E25CED">
      <w:r>
        <w:t xml:space="preserve">When you encounter an argument that confirms what you already believe, ask: </w:t>
      </w:r>
      <w:r>
        <w:rPr>
          <w:i/>
          <w:iCs/>
        </w:rPr>
        <w:t>If someone I disagree with made this exact argument using this exact evidence, would I accept it?</w:t>
      </w:r>
    </w:p>
    <w:p w14:paraId="74B9C8CD" w14:textId="77777777" w:rsidR="00E25CED" w:rsidRDefault="00E25CED">
      <w:r>
        <w:t xml:space="preserve">When you encounter an argument that contradicts what you already believe, ask: </w:t>
      </w:r>
      <w:r>
        <w:rPr>
          <w:i/>
          <w:iCs/>
        </w:rPr>
        <w:t>If someone I trust and agree with made this exact argument using this exact evidence, would I reject it?</w:t>
      </w:r>
    </w:p>
    <w:p w14:paraId="16595729" w14:textId="77777777" w:rsidR="00E25CED" w:rsidRDefault="00E25CED">
      <w:r>
        <w:t>If the answers differ—if the same evidence would be compelling from an ally but dismissible from an opponent—then the evaluation is not about the evidence. It is about the source. And source-based evaluation is the mechanism by which belief turns into armor.</w:t>
      </w:r>
    </w:p>
    <w:p w14:paraId="7C718EF1" w14:textId="77777777" w:rsidR="00E25CED" w:rsidRDefault="00E25CED">
      <w:r>
        <w:t>This is uncomfortable because the double standard is not a failure of intelligence. It operates most powerfully in smart, informed people who have sophisticated reasons for treating identical evidence differently depending on where it comes from. The sophistication is real, but it is in service of protection, not evaluation.</w:t>
      </w:r>
    </w:p>
    <w:p w14:paraId="2B85A598" w14:textId="77777777" w:rsidR="00E25CED" w:rsidRDefault="00E25CED">
      <w:r>
        <w:t>The check does not require abandoning positions or pretending to have no views. It requires only honesty about whether your response to a claim is driven by what the claim actually says or by who is saying it and what it threatens.</w:t>
      </w:r>
    </w:p>
    <w:p w14:paraId="412E7D61" w14:textId="77777777" w:rsidR="00E25CED" w:rsidRDefault="00E25CED">
      <w:r>
        <w:t xml:space="preserve">A second version of the check applies to policy outcomes, not arguments. When a program you support produces disappointing results, notice what explanation you reach for first. </w:t>
      </w:r>
      <w:r>
        <w:rPr>
          <w:i/>
          <w:iCs/>
        </w:rPr>
        <w:t>Insufficient funding? Political sabotage? Not enough time?</w:t>
      </w:r>
      <w:r>
        <w:t xml:space="preserve"> Now ask: if a program you opposed produced the same disappointing results, would you accept those explanations, or would you conclude that the program simply does not work?</w:t>
      </w:r>
    </w:p>
    <w:p w14:paraId="2F8CBED1" w14:textId="1F6AF54E" w:rsidR="00E25CED" w:rsidRDefault="00E25CED">
      <w:r>
        <w:t xml:space="preserve">Daniel Kahneman ran that check on himself. His bestselling </w:t>
      </w:r>
      <w:r>
        <w:rPr>
          <w:i/>
          <w:iCs/>
        </w:rPr>
        <w:t>Thinking, Fast and Slow</w:t>
      </w:r>
      <w:r>
        <w:t xml:space="preserve"> had devoted an entire chapter to social priming research, citing studies he called so robust that </w:t>
      </w:r>
      <w:r w:rsidR="00463E2E">
        <w:t>"</w:t>
      </w:r>
      <w:r>
        <w:t>disbelief is not an option.</w:t>
      </w:r>
      <w:r w:rsidR="00463E2E">
        <w:t>"</w:t>
      </w:r>
      <w:r>
        <w:t xml:space="preserve"> When those studies failed to replicate, Kahneman did not reach for the explanations the chapter just described. He did not blame the replicators for poor methodology or argue that the original findings just needed more time to be vindicated. He wrote publicly that he had </w:t>
      </w:r>
      <w:r w:rsidR="00463E2E">
        <w:t>"</w:t>
      </w:r>
      <w:r>
        <w:t>placed too much faith in underpowered studies</w:t>
      </w:r>
      <w:r w:rsidR="00463E2E">
        <w:t>"</w:t>
      </w:r>
      <w:r>
        <w:t xml:space="preserve"> and that </w:t>
      </w:r>
      <w:r w:rsidR="00463E2E">
        <w:t>"</w:t>
      </w:r>
      <w:r>
        <w:t>the experimental evidence for the ideas I presented in that chapter was significantly weaker than I believed when I wrote it.</w:t>
      </w:r>
      <w:r w:rsidR="00463E2E">
        <w:t>"</w:t>
      </w:r>
      <w:r>
        <w:t xml:space="preserve"> The lead researcher whose work he had featured responded to the same replication failures by publishing a new book that never mentioned them. Same evidence. Two responses. One applied the double standard check; one did not.</w:t>
      </w:r>
    </w:p>
    <w:p w14:paraId="458123D4" w14:textId="77777777" w:rsidR="00E25CED" w:rsidRDefault="00E25CED">
      <w:pPr>
        <w:sectPr w:rsidR="00E25CED" w:rsidSect="00E25CED">
          <w:footerReference w:type="default" r:id="rId35"/>
          <w:footerReference w:type="first" r:id="rId36"/>
          <w:endnotePr>
            <w:numFmt w:val="decimal"/>
          </w:endnotePr>
          <w:pgSz w:w="12240" w:h="15840"/>
          <w:pgMar w:top="1440" w:right="1440" w:bottom="1440" w:left="1440" w:header="0" w:footer="720" w:gutter="0"/>
          <w:cols w:space="720"/>
          <w:formProt w:val="0"/>
          <w:docGrid w:linePitch="100"/>
        </w:sectPr>
      </w:pPr>
      <w:r>
        <w:t>Put differently, the gap between those two responses is the space where belief is functioning as armor. You do not need to close the gap every time. You need to see it. Because once you can see it operating in your own reasoning, you can see it operating everywhere this chapter described, and the pattern loses its invisibility, which is the only thing that made it powerful.</w:t>
      </w:r>
    </w:p>
    <w:p w14:paraId="064855EF" w14:textId="77777777" w:rsidR="00E25CED" w:rsidRDefault="00E25CED">
      <w:pPr>
        <w:pStyle w:val="Heading1"/>
      </w:pPr>
      <w:bookmarkStart w:id="64" w:name="_Ref226197039"/>
      <w:bookmarkStart w:id="65" w:name="_Toc227410694"/>
      <w:r>
        <w:t>PART III: The Illusion in Practice</w:t>
      </w:r>
      <w:bookmarkEnd w:id="64"/>
      <w:bookmarkEnd w:id="65"/>
    </w:p>
    <w:p w14:paraId="1ACED75D" w14:textId="77777777" w:rsidR="00835713" w:rsidRPr="00835713" w:rsidRDefault="00835713" w:rsidP="00835713">
      <w:r w:rsidRPr="00835713">
        <w:t>The first two parts of this book diagnosed the illusion at its source. Part I traced the foundational error and the institutional machinery that produces it. Part II examined why the illusion persists even when the costs become visible: the moral assumptions, the political incentives, the cultural dynamics, and the belief structures that protect the error from correction. Both parts kept the diagnosis upstream, where the decisions were being made.</w:t>
      </w:r>
    </w:p>
    <w:p w14:paraId="046F30C0" w14:textId="77777777" w:rsidR="00471758" w:rsidRPr="00471758" w:rsidRDefault="00471758" w:rsidP="00471758">
      <w:r w:rsidRPr="00471758">
        <w:t>Part III follows the diagnosis downstream. The errors examined in the first two parts did not stay in the rooms where they were built. They produced bills, and the bills came due in places far from the people who created them. This is the section about where the tax lands.</w:t>
      </w:r>
    </w:p>
    <w:p w14:paraId="57A81B26" w14:textId="77777777" w:rsidR="00471758" w:rsidRPr="00471758" w:rsidRDefault="00471758" w:rsidP="00471758">
      <w:r w:rsidRPr="00471758">
        <w:t>It lands in three domains. Chapter 9 traces the tax into household finance, where financial product designers, lenders, and the policymakers who shaped the regulatory environment built instruments that disconnected borrowing from repayment, spending from saving, and present consumption from future obligation. The people who navigated those instruments were not the cause of the resulting damage. They were the landing zone. Chapter 10 traces the tax into the workplaces where most adults spend most of their lives. Administrators, measurement architects, and the political and funding structures that govern public and private institutions built incentive systems that punished honest reporting and rewarded the appearance of performance. The frontline workers inside those systems, the doctors and nurses and teachers and social workers and program staff, did not design the measurement frameworks they were evaluated against. They lived inside them. Chapter 11 traces the tax into the place it has the longest reach: the reader's own reasoning about what is possible, what costs are real, and what tradeoffs can be refused. By that chapter the landing zone has narrowed from millions of people to one.</w:t>
      </w:r>
    </w:p>
    <w:p w14:paraId="739E77B7" w14:textId="77777777" w:rsidR="00471758" w:rsidRPr="00471758" w:rsidRDefault="00471758" w:rsidP="00471758">
      <w:r w:rsidRPr="00471758">
        <w:t>None of what follows is a lecture about better decisions. The patterns in these chapters are not produced by the carelessness, stupidity, or moral failure of the people inside them. They are rational responses to environments other people designed to disconnect choices from consequences. The borrower navigating a stated-income mortgage, the nurse documenting wait times under a metric regime designed in Washington, the household weighing a renovation against a vacation fund: each of them is reasoning correctly given what their environment actually rewards and penalizes. That is what makes the patterns durable. It is also what makes them difficult to see from the inside, because the person locked inside the pattern does not experience themselves as someone avoiding reality. They experience themselves as someone navigating it.</w:t>
      </w:r>
    </w:p>
    <w:p w14:paraId="5EE22B4B" w14:textId="77777777" w:rsidR="00835713" w:rsidRPr="00835713" w:rsidRDefault="00835713" w:rsidP="00835713">
      <w:r w:rsidRPr="00835713">
        <w:t>What this section asks of the reader builds across the three chapters and arrives only in the last one. Chapters 9 and 10 ask for recognition: the ability to see how the upstream errors diagnosed in the first two parts produced the pressures, debts, frustrations, and institutional dysfunctions that fill ordinary life. Chapter 11 asks for something harder. It asks the reader to find the same pattern operating in their own reasoning about what is possible. That move is the culmination of the Part, not its overall frame. Nothing in Chapter 11 works if the reader has not first watched the tax land somewhere else.</w:t>
      </w:r>
    </w:p>
    <w:p w14:paraId="7FC5B3D6" w14:textId="4CB01A05" w:rsidR="005D0E00" w:rsidRPr="005D0E00" w:rsidRDefault="005D0E00" w:rsidP="005D0E00"/>
    <w:p w14:paraId="136E5AF0" w14:textId="0B082F9E" w:rsidR="00E25CED" w:rsidRDefault="00932408" w:rsidP="005D0E00">
      <w:pPr>
        <w:sectPr w:rsidR="00E25CED" w:rsidSect="00E25CED">
          <w:footerReference w:type="default" r:id="rId37"/>
          <w:footerReference w:type="first" r:id="rId38"/>
          <w:endnotePr>
            <w:numFmt w:val="decimal"/>
          </w:endnotePr>
          <w:pgSz w:w="12240" w:h="15840"/>
          <w:pgMar w:top="1440" w:right="1440" w:bottom="1440" w:left="1440" w:header="0" w:footer="720" w:gutter="0"/>
          <w:cols w:space="720"/>
          <w:formProt w:val="0"/>
          <w:docGrid w:linePitch="100"/>
        </w:sectPr>
      </w:pPr>
      <w:r>
        <w:t xml:space="preserve"> </w:t>
      </w:r>
    </w:p>
    <w:p w14:paraId="0BA36788" w14:textId="77777777" w:rsidR="00E25CED" w:rsidRDefault="00E25CED">
      <w:pPr>
        <w:pStyle w:val="Heading2"/>
      </w:pPr>
      <w:bookmarkStart w:id="66" w:name="_Toc227410695"/>
      <w:r>
        <w:t>The Collapse of Personal Tradeoffs</w:t>
      </w:r>
      <w:bookmarkEnd w:id="66"/>
    </w:p>
    <w:p w14:paraId="16C784AE" w14:textId="037C08CA" w:rsidR="00E25CED" w:rsidRDefault="00E25CED">
      <w:r>
        <w:t xml:space="preserve">In 2006, a </w:t>
      </w:r>
      <w:r w:rsidR="008219B5">
        <w:t>24</w:t>
      </w:r>
      <w:r>
        <w:t xml:space="preserve">-year-old web developer in Sacramento named Casey Serin bought eight houses in eight months. He had no significant savings and an income nowhere near what the mortgages required. That didn't matter because every loan was a stated-income mortgage, the kind where the borrower writes down what they claim to earn and the lender doesn't verify it. The industry called them </w:t>
      </w:r>
      <w:r w:rsidR="00463E2E">
        <w:t>"</w:t>
      </w:r>
      <w:r>
        <w:t>liar loans,</w:t>
      </w:r>
      <w:r w:rsidR="00463E2E">
        <w:t>"</w:t>
      </w:r>
      <w:r>
        <w:t xml:space="preserve"> and everyone involved understood why.</w:t>
      </w:r>
    </w:p>
    <w:p w14:paraId="7F39CA7E" w14:textId="77777777" w:rsidR="00E25CED" w:rsidRDefault="00E25CED">
      <w:r>
        <w:t>Each purchase, taken individually, followed a logic that made sense inside the bubble. Real estate only goes up. You buy, you hold, you refinance or flip. The first house worked because prices were still climbing. The second worked for the same reason. By the fifth and sixth, Serin was juggling payments he could not make on properties he could not maintain in a market he did not understand. He blogged about the entire experience publicly, which is how the story became widely documented. He genuinely believed the math would work out.</w:t>
      </w:r>
    </w:p>
    <w:p w14:paraId="4ED3AD4E" w14:textId="77777777" w:rsidR="00E25CED" w:rsidRDefault="00E25CED">
      <w:r w:rsidRPr="005A0588">
        <w:t>It didn't. Prices reversed. The refinancing market froze. Serin faced foreclosure on all eight properties, owed hundreds of thousands of dollars, and became a minor media figure as one of the most visible individual casualties of the subprime collapse. His story was covered by national outlets, dissected on financial blogs, and held up as an example of reckless borrowing.</w:t>
      </w:r>
    </w:p>
    <w:p w14:paraId="020B14C1" w14:textId="77777777" w:rsidR="00E25CED" w:rsidRPr="005A0588" w:rsidRDefault="00E25CED" w:rsidP="005A0588">
      <w:r w:rsidRPr="005A0588">
        <w:t>But the uncomfortable truth about Casey Serin is that he was not unusual. He was just visible. Millions of Americans made structurally identical decisions during the same period, differing only in scale. They bought homes they could not afford using financial products designed to obscure that fact. The feedback that should have stopped them (the bank saying no, the payment they couldn't make, the budget that didn't balance) had been removed or delayed by a financial system that made it possible to spend years making bad decisions without experiencing consequences.</w:t>
      </w:r>
    </w:p>
    <w:p w14:paraId="2C258991" w14:textId="77777777" w:rsidR="00471758" w:rsidRPr="00471758" w:rsidRDefault="00471758" w:rsidP="00471758">
      <w:r w:rsidRPr="00471758">
        <w:t>That removal of feedback is what the architecture was built to produce. The same design logic applies not just to housing but to education, careers, consumption, and every domain where modern financial design has stretched the distance between choices and their costs until the connection disappears. The mechanisms that follow describe what the landing zone looks like from inside.</w:t>
      </w:r>
    </w:p>
    <w:p w14:paraId="4B6A7522" w14:textId="77777777" w:rsidR="00E25CED" w:rsidRDefault="00E25CED">
      <w:r>
        <w:t>The graduate student borrowing $200,000 for a degree that will not generate the income to repay it is making a structurally identical choice to Serin's. So is the professional financing a lifestyle calibrated to their best year instead of their average year. So is the family that treats home equity as a savings account they can draw from indefinitely. None of these people are failing at math. They understand perfectly well, in the abstract, that money spent now cannot be spent later and that debt must eventually be repaid. The disconnect between what they know and what they do is so consistent and so widespread that it reveals something deeper than individual carelessness. Modern affluence has altered the relationship between decisions and consequences. When the feedback loops that once connected choices to outcomes get stretched far enough, the tradeoffs don't disappear. They just stop being visible until the bill arrives.</w:t>
      </w:r>
    </w:p>
    <w:p w14:paraId="0FD5F3CA" w14:textId="77777777" w:rsidR="00835713" w:rsidRPr="00835713" w:rsidRDefault="00835713" w:rsidP="00835713">
      <w:r w:rsidRPr="00835713">
        <w:t>Casey Serin did not invent the stated-income mortgage. He did not write the underwriting standards that let a 24-year-old with no savings and a modest income obtain eight loans in eight months. He did not pass the legislation that allowed the institutions writing those loans to choose their own regulators, or that exempted from oversight the derivative instruments through which the loans would eventually be repackaged and sold. He did not design the compensation structures that paid loan officers on volume rather than on whether the loans were repaid. He did not build the secondary market that converted bad loans into AAA-rated bonds within weeks of origination. The architecture that made his eight purchases possible existed before he walked into the first lender's office, and it would have produced functionally identical outcomes whether he existed or not.</w:t>
      </w:r>
    </w:p>
    <w:p w14:paraId="1DF6585D" w14:textId="77777777" w:rsidR="00835713" w:rsidRPr="00835713" w:rsidRDefault="00835713" w:rsidP="00835713">
      <w:r w:rsidRPr="00835713">
        <w:t>That architecture is the subject of the next chapter, which traces the specific institutions, legislation, and incentive structures that built it. What matters here is the relationship between the architecture and the people who lived inside it. The financial products at the center of the housing bubble were not failures of design. They were designs that worked exactly as their incentives directed: they generated origination fees, securitization fees, rating fees, and servicing fees on volume, and they distributed the consequences of repayment failure to parties who would not be in their original positions when those failures arrived. The borrowers were the input the system needed to produce its outputs. From the architecture's perspective, the question of whether any individual borrower could actually repay was orthogonal to the question of whether the loan was profitable to write.</w:t>
      </w:r>
    </w:p>
    <w:p w14:paraId="0EA8A24F" w14:textId="77777777" w:rsidR="00835713" w:rsidRPr="00835713" w:rsidRDefault="00835713" w:rsidP="00835713">
      <w:r w:rsidRPr="00835713">
        <w:t xml:space="preserve">This is the landing-zone logic that runs through every section of this chapter. The patterns that follow are not properties of the individuals exhibiting them. They are properties of the environments those individuals are reasoning inside. The college student deciding between an expensive private school and an affordable public option is making that decision inside a federal student loan system that was redesigned through the 1990s and 2000s to remove </w:t>
      </w:r>
      <w:proofErr w:type="spellStart"/>
      <w:r w:rsidRPr="00835713">
        <w:t>dischargeability</w:t>
      </w:r>
      <w:proofErr w:type="spellEnd"/>
      <w:r w:rsidRPr="00835713">
        <w:t xml:space="preserve"> protections, raise borrowing limits, and obscure long-term costs at the moment of choice. The professional financing a lifestyle calibrated to peak earnings is doing so inside a credit card industry whose business model depends on revolving balances and whose regulatory framework, after Marquette in 1978 and the legislation that followed, allowed effective interest rates that would have been criminal in most states a generation earlier. The household treating home equity as a savings account is doing so because the financial industry spent two decades engineering products explicitly designed to convert that equity into fee revenue. None of these systems were accidents. They were built, in identifiable rooms, by identifiable people responding to identifiable incentives, and they were built to operate exactly as they operate.</w:t>
      </w:r>
    </w:p>
    <w:p w14:paraId="3EC3F598" w14:textId="77777777" w:rsidR="00471758" w:rsidRPr="00471758" w:rsidRDefault="00471758" w:rsidP="00471758">
      <w:r w:rsidRPr="00471758">
        <w:t>This changes what the chapter is studying. The mechanisms described in the rest of this chapter are not pathologies of the people exhibiting them. They are the predictable behavioral outputs of architectures designed to produce those behaviors. Treating them as personal failings misses what the architecture is doing and why it works. The diagnostic target in this chapter is not Casey Serin. It is the system that needed Casey Serin in order to function.</w:t>
      </w:r>
    </w:p>
    <w:p w14:paraId="4E1C7F67" w14:textId="77777777" w:rsidR="00E25CED" w:rsidRDefault="00E25CED">
      <w:pPr>
        <w:pStyle w:val="Heading3"/>
      </w:pPr>
      <w:bookmarkStart w:id="67" w:name="_Toc227410696"/>
      <w:r>
        <w:t>When Limits Stop Feeling Real</w:t>
      </w:r>
      <w:bookmarkEnd w:id="67"/>
    </w:p>
    <w:p w14:paraId="77AFB6B8" w14:textId="77777777" w:rsidR="00471758" w:rsidRPr="00471758" w:rsidRDefault="00471758" w:rsidP="00471758">
      <w:r w:rsidRPr="00471758">
        <w:t>Growing up in material abundance produces a psychological relationship with constraints that previous generations would find incomprehensible. The difference is not generational character but the length of the feedback loop: consequences that once arrived in weeks now take years or decades to surface, and what takes longer to feel takes longer to learn from. When childhood desires are routinely satisfied by parental intervention and young-adult setbacks are cushioned by family support, the feedback loops that teach cause and effect never fully develop. Limits become theoretical, negotiable, something to work around.</w:t>
      </w:r>
    </w:p>
    <w:p w14:paraId="69A9D4AF" w14:textId="77777777" w:rsidR="00471758" w:rsidRPr="00471758" w:rsidRDefault="00471758" w:rsidP="00471758">
      <w:r w:rsidRPr="00471758">
        <w:t>This learned relationship with constraints shapes major decisions as people enter independent adult life. Take the college student choosing an expensive private school over an affordable public option. They do not experience this as a tradeoff between education quality and financial burden. They experience it as a decision about what kind of person they want to be and what kind of future they are pursuing. The financial constraint feels temporary, something that will resolve itself through mechanisms they do not need to understand or control.</w:t>
      </w:r>
    </w:p>
    <w:p w14:paraId="0F85D90B" w14:textId="06ABF7BB" w:rsidR="00E25CED" w:rsidRPr="00E25CED" w:rsidRDefault="00471758" w:rsidP="00471758">
      <w:r w:rsidRPr="00471758">
        <w:t>Choosing on preference alone becomes possible because modern economies have routinely delayed and diffused the consequences of poor choices.</w:t>
      </w:r>
      <w:r>
        <w:t xml:space="preserve"> </w:t>
      </w:r>
      <w:r w:rsidR="00E25CED" w:rsidRPr="00E25CED">
        <w:t>Credit cards let people spend beyond their income for months or years before the math catches up. Student loans defer the pain until after graduation, separating the choice of school from the reality of repayment by years. And family assistance provides a safety net that makes risky decisions feel manageable, because if things go wrong, someone else may absorb the cost.</w:t>
      </w:r>
    </w:p>
    <w:p w14:paraId="6DDC5A58" w14:textId="1E96E41C" w:rsidR="00E25CED" w:rsidRPr="00E25CED" w:rsidRDefault="00E25CED" w:rsidP="00E25CED">
      <w:r w:rsidRPr="00E25CED">
        <w:t xml:space="preserve">The delay and diffusion of consequences creates an environment where people can make poor decisions for extended periods without experiencing corrective feedback. Someone living beyond their means does not face immediate hunger or homelessness. Instead, they face increasing stress, accumulating debt, and pressure that builds so slowly they can adapt to it without recognizing how their earlier choices created their current predicament. Without sharp feedback connecting decisions to outcomes, people look outward for explanations. Unaffordable rent becomes a housing cost problem, not a housing choice problem. Crushing debt reflects </w:t>
      </w:r>
      <w:r w:rsidR="00463E2E">
        <w:t>"</w:t>
      </w:r>
      <w:r w:rsidRPr="00E25CED">
        <w:t>the economy,</w:t>
      </w:r>
      <w:r w:rsidR="00463E2E">
        <w:t>"</w:t>
      </w:r>
      <w:r w:rsidRPr="00E25CED">
        <w:t xml:space="preserve"> not spending patterns. And career disappointment points to a bad job market, never to the educational decisions that preceded it.</w:t>
      </w:r>
    </w:p>
    <w:p w14:paraId="4EA45B00" w14:textId="77777777" w:rsidR="00E25CED" w:rsidRPr="00E25CED" w:rsidRDefault="00E25CED" w:rsidP="00E25CED">
      <w:r w:rsidRPr="00E25CED">
        <w:t>Blame shifts outward more easily when everyone around you is making similar choices and experiencing similar consequences. When everyone in a social circle struggles with student debt, housing costs, and career disappointments, these problems feel systemic, not individual. Shared experience validates the belief that personal constraints are artificial impositions requiring political solutions, and makes it extremely difficult to recognize that different choices might have produced different outcomes. Someone who chose an expensive education, an unaffordable lifestyle, and a career mismatched to their financial obligations can maintain their sense of grievance by focusing on external factors, especially when everyone around them has made similar choices and agrees the outcomes reflect problems beyond any individual's control.</w:t>
      </w:r>
    </w:p>
    <w:p w14:paraId="1B7F01A7" w14:textId="77777777" w:rsidR="00471758" w:rsidRPr="00471758" w:rsidRDefault="00471758" w:rsidP="00471758">
      <w:r w:rsidRPr="00471758">
        <w:t>Losing the sense of constraint also explains why people become more committed to unsustainable patterns as those patterns create obvious problems. They read mounting debt, career stagnation, and lifestyle stress as signals that they need more of whatever they have been pursuing, not less. The student struggling with debt concludes they need more education, not different education. The worker experiencing career frustration concludes they need better opportunities, not more realistic expectations.</w:t>
      </w:r>
    </w:p>
    <w:p w14:paraId="1A48D434" w14:textId="77777777" w:rsidR="00471758" w:rsidRPr="00471758" w:rsidRDefault="00471758" w:rsidP="00471758">
      <w:r w:rsidRPr="00471758">
        <w:t>The escalation reflects a psychological reality: acknowledging constraints would require admitting that previous choices were mistakes. Someone who spent six figures on graduate education cannot easily accept that the investment will not produce the expected return, because acceptance would require acknowledging a deeply poor decision built on unrealistic assumptions. Admitting that an expensive urban lifestyle was financially irresponsible would mean reconstructing their entire understanding of what they deserve and what they can afford. Every new commitment deepens the problem. The graduate student who borrows more for additional degrees must believe education will eventually pay off. The professional who takes on more debt to maintain their lifestyle must believe their career will eventually deliver the income. Each escalation increases the psychological cost of ever changing course.</w:t>
      </w:r>
    </w:p>
    <w:p w14:paraId="276C1A0C" w14:textId="77777777" w:rsidR="00471758" w:rsidRPr="00471758" w:rsidRDefault="00471758" w:rsidP="00471758">
      <w:r w:rsidRPr="00471758">
        <w:t>This is why people double down on failing strategies instead of reconsidering them. From the outside, the behavior looks irrational: why would someone facing clear evidence that their approach is not working commit even more deeply to that approach? The answer is that financial costs and psychological costs run in opposite directions. Admitting that major life decisions were built on unrealistic assumptions requires more than a change of behavior. It requires rebuilding how you understand yourself. Escalation, however costly in financial terms, is often less costly in psychological terms than admitting the whole picture needs to change.</w:t>
      </w:r>
    </w:p>
    <w:p w14:paraId="59778BD5" w14:textId="77777777" w:rsidR="00E25CED" w:rsidRDefault="00E25CED">
      <w:pPr>
        <w:pStyle w:val="Heading3"/>
      </w:pPr>
      <w:bookmarkStart w:id="68" w:name="_Toc227410697"/>
      <w:r>
        <w:t>Debt as Delay</w:t>
      </w:r>
      <w:bookmarkEnd w:id="68"/>
    </w:p>
    <w:p w14:paraId="5A3C3EBF" w14:textId="7EE9455C" w:rsidR="00E25CED" w:rsidRDefault="00350950">
      <w:r w:rsidRPr="00350950">
        <w:t>People reliably overestimate their future earning potential while underestimating their future expenses</w:t>
      </w:r>
      <w:r w:rsidR="00E25CED">
        <w:t>.</w:t>
      </w:r>
      <w:r w:rsidR="00E25CED">
        <w:rPr>
          <w:rStyle w:val="EndnoteReference"/>
        </w:rPr>
        <w:endnoteReference w:id="76"/>
      </w:r>
      <w:r w:rsidR="00E25CED">
        <w:t xml:space="preserve"> </w:t>
      </w:r>
      <w:r w:rsidRPr="00350950">
        <w:t>The college student borrowing for tuition assumes a job that will service the debt and still fund the lifestyle they want. Credit card users assume income will rise or expenses will fall enough to make current spending affordable. Homebuyers assume their careers will provide the stability to carry a mortgage plus everything else homeownership costs</w:t>
      </w:r>
      <w:r w:rsidR="00E25CED">
        <w:t>.</w:t>
      </w:r>
    </w:p>
    <w:p w14:paraId="587AF2DC" w14:textId="77777777" w:rsidR="00350950" w:rsidRPr="00350950" w:rsidRDefault="00350950" w:rsidP="00350950">
      <w:r w:rsidRPr="00350950">
        <w:t>Optimistic projections feel realistic because they rest on best-case scenarios that ignore how variable most careers and most lives actually are. Someone making borrowing decisions focuses on the income they hope to earn, not the range of incomes they might actually earn, and on the expenses they expect, not the ones that emerge as people age, start families, or face health problems.</w:t>
      </w:r>
    </w:p>
    <w:p w14:paraId="7FC3C8F2" w14:textId="77777777" w:rsidR="00350950" w:rsidRPr="00350950" w:rsidRDefault="00350950" w:rsidP="00350950">
      <w:r w:rsidRPr="00350950">
        <w:t>The optimism bias intensifies during economic expansions, when jobs are plentiful and incomes are rising. Someone taking on debt during good times assumes current conditions will continue indefinitely, but economic cycles are normal and payment obligations remain constant even when income does not. Debt taken on under temporary conditions must be serviced under whatever conditions actually emerge.</w:t>
      </w:r>
    </w:p>
    <w:p w14:paraId="180B71E5" w14:textId="77777777" w:rsidR="00E25CED" w:rsidRDefault="00E25CED">
      <w:r>
        <w:t>Borrowing follows a perverse calendar. It increases during economic expansions when people feel confident and decreases during recessions when they become cautious. The result is that debt burdens peak precisely when economic conditions are most likely to deteriorate and bottom out when conditions are most likely to improve.</w:t>
      </w:r>
      <w:r>
        <w:rPr>
          <w:rStyle w:val="EndnoteReference"/>
        </w:rPr>
        <w:endnoteReference w:id="77"/>
      </w:r>
      <w:r>
        <w:t xml:space="preserve"> A couple who stretched for a house in 2006 faced their largest mortgage obligations just as the job market collapsed in 2008.</w:t>
      </w:r>
    </w:p>
    <w:p w14:paraId="61AB33C3" w14:textId="77777777" w:rsidR="00471758" w:rsidRPr="00471758" w:rsidRDefault="00471758" w:rsidP="00471758">
      <w:r w:rsidRPr="00471758">
        <w:t>The delay mechanism also prevents people from learning their own financial limits, because the delay separates consequences from decisions by months or years. When someone buys something with borrowed money, they feel the satisfaction of acquisition without the constraint of payment, which teaches them to associate spending with reward and nothing else. Affordability stops being a comparison between income and spending and becomes a projection, and projections leave room for self-deception.</w:t>
      </w:r>
    </w:p>
    <w:p w14:paraId="1A2728AE" w14:textId="2FAF990A" w:rsidR="00E25CED" w:rsidRDefault="00E25CED">
      <w:r>
        <w:t xml:space="preserve">I graduated from college in 2010, at </w:t>
      </w:r>
      <w:r w:rsidR="008219B5">
        <w:t>42</w:t>
      </w:r>
      <w:r>
        <w:t xml:space="preserve">, with a degree in economics, into the worst job market in </w:t>
      </w:r>
      <w:r w:rsidR="008219B5">
        <w:t>70</w:t>
      </w:r>
      <w:r>
        <w:t xml:space="preserve"> years. With my newfound fluency in labor market analysis, I could quite literally calculate how screwed I was. My wife and I both pursued teaching certificates, but that took a year, and substitute teaching did not come close to covering our expenses. So we did what the math said we should not do: we opened credit cards and lived on them, paying what we could and ignoring the rest.</w:t>
      </w:r>
    </w:p>
    <w:p w14:paraId="6B506670" w14:textId="77777777" w:rsidR="00E25CED" w:rsidRDefault="00E25CED">
      <w:r>
        <w:t>A decade later the remaining unpaid balances had cycled off my credit report, which meant the system was ready to let me do it again. When I lost my teaching job during COVID, we had a son and fewer options. We qualified for more cards than we had the first time. The mechanism worked exactly the way this chapter describes: the delay erased the evidence, the erasure restored access, and the access made the same pattern available again under higher stakes.</w:t>
      </w:r>
    </w:p>
    <w:p w14:paraId="2FBBE6A2" w14:textId="77777777" w:rsidR="00E25CED" w:rsidRPr="00E25CED" w:rsidRDefault="00E25CED" w:rsidP="00E25CED">
      <w:r w:rsidRPr="00E25CED">
        <w:t>That learned relationship with constraints carries over into other areas where limits really are fixed. Someone who has learned to overcome financial constraints through debt expects to overcome career constraints through additional credentials, housing constraints through additional borrowing, and lifestyle constraints through additional income. Nowhere does that habit produce more persistent damage than in the relationship between income and spending.</w:t>
      </w:r>
    </w:p>
    <w:p w14:paraId="147B647B" w14:textId="77777777" w:rsidR="00E25CED" w:rsidRDefault="00E25CED">
      <w:pPr>
        <w:pStyle w:val="Heading3"/>
      </w:pPr>
      <w:bookmarkStart w:id="69" w:name="_Toc227410698"/>
      <w:r>
        <w:t>Lifestyle Inflation Without Awareness</w:t>
      </w:r>
      <w:bookmarkEnd w:id="69"/>
    </w:p>
    <w:p w14:paraId="7144FD23" w14:textId="77777777" w:rsidR="00350950" w:rsidRDefault="00350950" w:rsidP="00471758">
      <w:r w:rsidRPr="00350950">
        <w:t>A financial trap particular to modern professional life: rising income converts automatically into rising expenses without any conscious decision that it should. As people earn more, they spend more, and the increase happens so gradually and feels so justified that they never notice how it eliminates the flexibility the higher income was supposed to provide. Instead of becoming more secure as their careers advance, they become more vulnerable, because expenses expand to meet or exceed income.</w:t>
      </w:r>
    </w:p>
    <w:p w14:paraId="38353087" w14:textId="2EEDBBA9" w:rsidR="00471758" w:rsidRPr="00471758" w:rsidRDefault="00471758" w:rsidP="00471758">
      <w:r w:rsidRPr="00471758">
        <w:t>Lifestyle expansion happens through small decisions that feel reasonable one at a time but combine into a pattern that consumes all available income no matter how much that income grows. Someone who gets a raise eats out more often because they can afford to. They upgrade the apartment because they deserve better. They buy a better car because the old one feels inadequate for the new status. Each choice feels modest and justified, but together they guarantee that higher income produces higher expenses, not greater security.</w:t>
      </w:r>
    </w:p>
    <w:p w14:paraId="060B377E" w14:textId="77777777" w:rsidR="00E25CED" w:rsidRDefault="00E25CED">
      <w:r>
        <w:t>The expansion feels natural because it aligns with social expectations about how successful people should live. Colleagues, friends, and family all expect someone earning more to spend more. Nobody questions a nicer apartment or a new car. But someone who continues living modestly after landing a professional job risks being seen as cheap, unsuccessful, or odd, and that social pressure creates powerful incentives to convert every raise into lifestyle improvement.</w:t>
      </w:r>
    </w:p>
    <w:p w14:paraId="5186687A" w14:textId="77777777" w:rsidR="00063644" w:rsidRPr="00063644" w:rsidRDefault="00063644" w:rsidP="00063644">
      <w:r w:rsidRPr="00063644">
        <w:t>Social pressure makes lifestyle inflation feel like a requirement, not a choice. In professional settings, the spending gets justified as career investment: the expensive apartment essential for networking, the fashionable clothing required for credibility, the costly entertainment necessary for relationship building. In suburban and rural communities, the pressure takes different forms but produces the same results: the bigger house that signals stability, the new truck that matches what the neighbors drive, the boat or recreational vehicle that places its owner inside a particular social world. Whether the spending gets justified as professional necessity or community belonging, the effect is identical. Lifestyle inflation gets disguised as something other than consumption, which makes it difficult to resist.</w:t>
      </w:r>
    </w:p>
    <w:p w14:paraId="329E5560" w14:textId="77777777" w:rsidR="00E25CED" w:rsidRDefault="00E25CED">
      <w:r>
        <w:t>These justifications contain elements of truth. Professional success does depend partly on social signaling and relationships that cost money to maintain. Someone who appears unsuccessful may struggle to attract clients and opportunities, and a professional who cannot participate in the social life of their industry misses connections that matter. Appearance, access, and presence all carry real career weight.</w:t>
      </w:r>
    </w:p>
    <w:p w14:paraId="03C07978" w14:textId="77777777" w:rsidR="00063644" w:rsidRPr="00063644" w:rsidRDefault="00063644" w:rsidP="00063644">
      <w:r w:rsidRPr="00063644">
        <w:t>There is usually a floor for professional appearance and social participation that can be met without consuming all available income. Most people never calculate where that floor is or ask whether spending past it produces any career benefit. They assume that more spending always produces better professional outcomes and that any reduction would damage their career prospects. The assumption rarely gets tested, because testing would mean running a social experiment that feels too risky to run. People maintain spending well above what their professional success actually requires, because the cost of overspending feels lower than the cost of looking like they have less than their peers.</w:t>
      </w:r>
    </w:p>
    <w:p w14:paraId="6173ECB4" w14:textId="77777777" w:rsidR="00063644" w:rsidRPr="00063644" w:rsidRDefault="00063644" w:rsidP="00063644">
      <w:r w:rsidRPr="00063644">
        <w:t>The lack of conscious calculation reflects a broader pattern: people apply rigorous analysis to major purchases and let minor purchases accumulate without oversight. Someone who researches for weeks before buying a house will casually increase restaurant spending, clothing budget, and entertainment expenses without tracking what those increases do to their overall financial position.</w:t>
      </w:r>
    </w:p>
    <w:p w14:paraId="723960FB" w14:textId="7A5352B8" w:rsidR="00E25CED" w:rsidRDefault="00E25CED">
      <w:r>
        <w:t>Someone who spends most of their income on lifestyle maintenance has less flexibility to handle unexpected expenses, career setbacks, or economic downturns than someone maintaining lower expenses relative to income. A higher-earning person who has inflated their lifestyle may be more financially fragile than a lower-earning person who has maintained spending discipline. The fragility compounds because lifestyle inflation typically converts variable expenses into fixed ones that cannot easily be reduced when circumstances change.</w:t>
      </w:r>
    </w:p>
    <w:p w14:paraId="58EFD878" w14:textId="77777777" w:rsidR="00063644" w:rsidRPr="00063644" w:rsidRDefault="00063644" w:rsidP="00063644">
      <w:r w:rsidRPr="00063644">
        <w:t>The conversion from variable to fixed expenses explains why people often feel financially stressed despite earning more than they ever expected. Their higher income is consumed by higher fixed expenses, which leaves them with less discretionary income than they had when they earned less and spent less on necessities. Lifestyle inflation that was supposed to improve quality of life reduces financial freedom instead.</w:t>
      </w:r>
    </w:p>
    <w:p w14:paraId="08D242D1" w14:textId="77777777" w:rsidR="00FA79F3" w:rsidRPr="00FA79F3" w:rsidRDefault="00FA79F3" w:rsidP="00FA79F3">
      <w:r w:rsidRPr="00FA79F3">
        <w:t>Stress increases because lifestyle inflation often happens faster than income growth, particularly when housing, healthcare, and education costs rise more rapidly than wages</w:t>
      </w:r>
      <w:r w:rsidR="00E25CED">
        <w:t>.</w:t>
      </w:r>
      <w:r w:rsidR="00E25CED">
        <w:rPr>
          <w:rStyle w:val="EndnoteReference"/>
        </w:rPr>
        <w:endnoteReference w:id="78"/>
      </w:r>
      <w:r w:rsidR="00E25CED">
        <w:t xml:space="preserve"> </w:t>
      </w:r>
      <w:r w:rsidRPr="00FA79F3">
        <w:t>Someone trying to maintain a lifestyle appropriate to their professional status may find that costs outpace their ability to pay, forcing a choice between scaling back and taking on debt.</w:t>
      </w:r>
    </w:p>
    <w:p w14:paraId="12D01013" w14:textId="055A1223" w:rsidR="00E25CED" w:rsidRDefault="00E25CED">
      <w:r>
        <w:t>A treadmill effect develops where people must continue earning more to maintain their current lifestyle, unable to relax earning pressure as their financial position improves. Lifestyle inflation that felt like a reward for career success turns into a trap requiring continued success to sustain.</w:t>
      </w:r>
    </w:p>
    <w:p w14:paraId="530554E2" w14:textId="77777777" w:rsidR="00E25CED" w:rsidRDefault="00E25CED">
      <w:pPr>
        <w:pStyle w:val="Heading3"/>
      </w:pPr>
      <w:bookmarkStart w:id="70" w:name="_Toc227410699"/>
      <w:r>
        <w:t>Intelligence as Rationalization</w:t>
      </w:r>
      <w:bookmarkEnd w:id="70"/>
    </w:p>
    <w:p w14:paraId="37CD9273" w14:textId="77777777" w:rsidR="00835713" w:rsidRPr="00835713" w:rsidRDefault="00835713" w:rsidP="00835713">
      <w:r w:rsidRPr="00835713">
        <w:t>The financial products that produce the most damage are not the products that target the unsophisticated. They are the products that target the educated. Stated-income mortgages, complex variable annuities, fee-heavy actively managed funds, structured products whose payoff curves require an afternoon to understand, private equity vehicles with lockup periods and opaque carry structures, leveraged exchange-traded funds marketed as long-term holdings: each of these instruments fails in predictable ways for the people who buy them, and each of them is designed for buyers whose intelligence is the precondition for the sale. A product whose pitch can only be understood by someone with an advanced degree is a product whose distribution channel depends on advanced degrees. The architecture is not stumbling onto educated buyers by accident. It is built around them.</w:t>
      </w:r>
    </w:p>
    <w:p w14:paraId="647809BC" w14:textId="20BAAAFE" w:rsidR="00835713" w:rsidRPr="00835713" w:rsidRDefault="00063644" w:rsidP="00063644">
      <w:r w:rsidRPr="00063644">
        <w:t>The architecture works on the educated because intelligence does two things at once.</w:t>
      </w:r>
      <w:r>
        <w:t xml:space="preserve"> </w:t>
      </w:r>
      <w:r w:rsidR="00835713" w:rsidRPr="00835713">
        <w:t xml:space="preserve">It enables the analysis required to evaluate a complex instrument honestly, and it enables the rationalization required to talk oneself into one regardless of what the analysis would show. Which capacity gets deployed depends on what the buyer wants to do. A graduate student evaluating whether a </w:t>
      </w:r>
      <w:r>
        <w:t>$200,000</w:t>
      </w:r>
      <w:r w:rsidR="00835713" w:rsidRPr="00835713">
        <w:t xml:space="preserve"> program will produce a return that justifies the borrowing has every analytical tool needed to answer the question accurately. The same student, having decided emotionally that they want the program, has every analytical tool needed to construct a sophisticated case for why the standard return calculations do not apply to their particular situation. The architecture does not need the student to be incapable of analysis. It needs the student to prefer the rationalization, and it provides the materials.</w:t>
      </w:r>
    </w:p>
    <w:p w14:paraId="6C1A67D5" w14:textId="77777777" w:rsidR="00835713" w:rsidRPr="00835713" w:rsidRDefault="00835713" w:rsidP="00835713">
      <w:r w:rsidRPr="00835713">
        <w:t>What the architecture provides is a vocabulary of sophistication that allows the rationalization to feel like analysis. Investment value. Career optionality. Network premium. Geographic arbitrage. Tax efficiency. Each of these phrases carries the surface texture of rigorous economic reasoning, and each of them can be deployed to justify a decision the speaker has already made on grounds that have nothing to do with the phrases. The credentialed buyer of an expensive instrument is given a script. The script is more sophisticated than the script provided to the unsophisticated buyer of a payday loan, but it serves the same function: it converts the buyer's want into a story the buyer can tell themselves and others about why the want is also wise.</w:t>
      </w:r>
    </w:p>
    <w:p w14:paraId="4C0E3DDB" w14:textId="77777777" w:rsidR="00835713" w:rsidRPr="00835713" w:rsidRDefault="00835713" w:rsidP="00835713">
      <w:r w:rsidRPr="00835713">
        <w:t>The same architecture rewards complexity preferences for the same reason. A buyer who feels insulted by simple advice (low-fee index funds, modest housing relative to income, term life insurance, no consumer debt) is a buyer the industry can sell to. A buyer who follows simple advice is a buyer the industry cannot extract fees from. The financial products engineered to feel intellectually appropriate to the credentialed are not, on the whole, the products that produce the best outcomes for the people who buy them. They are the products that produce the best outcomes for the people who sell them, and their distribution depends entirely on educated buyers being willing to dismiss simple alternatives as beneath their analytical level.</w:t>
      </w:r>
    </w:p>
    <w:p w14:paraId="5967CE8D" w14:textId="38262D54" w:rsidR="00835713" w:rsidRPr="00835713" w:rsidRDefault="00835713" w:rsidP="00835713">
      <w:r w:rsidRPr="00835713">
        <w:t xml:space="preserve">This dynamic is most consequential in education itself, which functions in the modern economy as both a product and a credentialing mechanism for the consumption of other products. The graduate program that costs </w:t>
      </w:r>
      <w:r w:rsidR="00063644">
        <w:t>$200,000</w:t>
      </w:r>
      <w:r w:rsidRPr="00835713">
        <w:t xml:space="preserve"> and produces career outcomes inferior to a </w:t>
      </w:r>
      <w:r w:rsidR="00063644">
        <w:t>$40,000</w:t>
      </w:r>
      <w:r w:rsidRPr="00835713">
        <w:t xml:space="preserve"> program operates inside an architecture that has every incentive to keep the price high and the comparative outcome data invisible. The borrower's intelligence is the asset the system requires. A less educated borrower would not qualify for the loans, would not be granted the social permission to take them on, and would not produce the rationalization machinery the system needs to convert its product into a sale. The system depends on intelligent people generating sophisticated reasons for choices the data does not support.</w:t>
      </w:r>
    </w:p>
    <w:p w14:paraId="7E6BE8CF" w14:textId="77777777" w:rsidR="00835713" w:rsidRPr="00835713" w:rsidRDefault="00835713" w:rsidP="00835713">
      <w:r w:rsidRPr="00835713">
        <w:t>What this means for the individual buyer is not that they should distrust their own reasoning in general. It means that whenever they find themselves constructing an unusually sophisticated case for a decision that more commonly fails, they should ask what role their sophistication is playing in the construction. If the sophistication is the only thing standing between them and the obvious answer, the architecture has already done what it was designed to do.</w:t>
      </w:r>
    </w:p>
    <w:p w14:paraId="2A3BA3A6" w14:textId="77777777" w:rsidR="00E25CED" w:rsidRDefault="00E25CED">
      <w:pPr>
        <w:pStyle w:val="Heading3"/>
      </w:pPr>
      <w:bookmarkStart w:id="71" w:name="_Toc227410700"/>
      <w:r>
        <w:t>Rescue as Expectation</w:t>
      </w:r>
      <w:bookmarkEnd w:id="71"/>
    </w:p>
    <w:p w14:paraId="50BAA6E2" w14:textId="77777777" w:rsidR="00063644" w:rsidRPr="00063644" w:rsidRDefault="00063644" w:rsidP="00063644">
      <w:r w:rsidRPr="00063644">
        <w:t>How people make decisions changes when they believe poor outcomes will be cushioned by assistance from others: family, employers, institutions, or programs built to help people in difficulty. Support structures alter risk calculation at the moment of choice, not only after problems emerge.</w:t>
      </w:r>
    </w:p>
    <w:p w14:paraId="00BB7146" w14:textId="77777777" w:rsidR="00384400" w:rsidRPr="00384400" w:rsidRDefault="00384400" w:rsidP="00384400">
      <w:r w:rsidRPr="00384400">
        <w:t>When the downside of a risky decision feels manageable because help will be available if needed, people rationally take more risks than they would if they had to bear the full consequences of their choices independently. The shift shows up most clearly in educational borrowing, where students take on debt for degrees with uncertain returns. They borrow partly because they believe that if their field does not produce enough income to service the debt, something will intervene: debt restructuring, family help, income-based repayment, or eventual forgiveness. The belief may be correct or incorrect, but it shapes the decision at the point when it matters: before the commitment is made.</w:t>
      </w:r>
    </w:p>
    <w:p w14:paraId="45E747C6" w14:textId="77777777" w:rsidR="00E25CED" w:rsidRDefault="00E25CED">
      <w:r>
        <w:t>None of this is irrational given the environment. Modern economies have layered assistance upon assistance: family networks subsidizing adult lifestyles, institutions offering debt restructuring and emergency relief, employers providing benefits that insulate workers from market consequences. When these structures exist and people know they exist, incorporating them into decision-making is reasonable, even if it produces decisions that would be unwise in their absence.</w:t>
      </w:r>
    </w:p>
    <w:p w14:paraId="54B951F7" w14:textId="77777777" w:rsidR="00E25CED" w:rsidRDefault="00E25CED">
      <w:r>
        <w:t>The problem is not that people are foolish to consider available support when making decisions. The problem is that the existence of support changes the decisions people make in ways that often leave them worse off than if the support did not exist. A student who would have chosen an affordable program with strong employment outcomes instead chooses an expensive program with uncertain outcomes, reasoning that the downside is manageable. A professional who would have bought a modest house instead stretches to the limit, reasoning that help exists if needed. The very mechanisms designed to help people recover from difficulty can encourage choices that make difficulty more likely.</w:t>
      </w:r>
    </w:p>
    <w:p w14:paraId="7AFA10C8" w14:textId="77777777" w:rsidR="00063644" w:rsidRPr="00063644" w:rsidRDefault="00063644" w:rsidP="00063644">
      <w:r w:rsidRPr="00063644">
        <w:t>The result is an inversion. People making decisions in environments with robust support structures often end up more financially stressed than people making decisions without such support. Someone who knows assistance is available extends themselves further, takes on more obligations, and accepts greater risks than someone who knows they must handle consequences alone.</w:t>
      </w:r>
    </w:p>
    <w:p w14:paraId="5DCE50E6" w14:textId="77777777" w:rsidR="00384400" w:rsidRPr="00384400" w:rsidRDefault="00384400" w:rsidP="00384400">
      <w:r w:rsidRPr="00384400">
        <w:t>The pattern matters most where it shapes how people develop judgment over time. When decisions carry reduced consequences because assistance is available, people never develop the understanding of their own limits that direct experience of cause and effect would produce. The college student who borrows based on expected assistance never learns to evaluate educational investments realistically. The young professional who makes housing decisions knowing family assistance exists never develops the discipline to live within their actual means. Support availability prevents the learning that would eventually make support unnecessary.</w:t>
      </w:r>
    </w:p>
    <w:p w14:paraId="4809BAB1" w14:textId="60271D01" w:rsidR="00E25CED" w:rsidRDefault="00E25CED">
      <w:r>
        <w:t xml:space="preserve">Available support also tilts choices toward high-risk strategies. When failure will be partially absorbed, rational calculation shifts: the question stops being </w:t>
      </w:r>
      <w:r w:rsidR="00463E2E">
        <w:t>"</w:t>
      </w:r>
      <w:r>
        <w:t>what is the wisest choice given my resources</w:t>
      </w:r>
      <w:r w:rsidR="00463E2E">
        <w:t>"</w:t>
      </w:r>
      <w:r>
        <w:t xml:space="preserve"> and becomes </w:t>
      </w:r>
      <w:r w:rsidR="00463E2E">
        <w:t>"</w:t>
      </w:r>
      <w:r>
        <w:t>what is the most I can attempt given that someone else will share the downside.</w:t>
      </w:r>
      <w:r w:rsidR="00463E2E">
        <w:t>"</w:t>
      </w:r>
      <w:r>
        <w:t xml:space="preserve"> The bigger the safety net, the bigger the gamble it makes sense to take.</w:t>
      </w:r>
    </w:p>
    <w:p w14:paraId="384BF86F" w14:textId="77777777" w:rsidR="00E25CED" w:rsidRDefault="00E25CED">
      <w:r>
        <w:t>Costs do not disappear just because consequences are partially absorbed. They land somewhere else. Family members who provide financial assistance redirect resources from their own savings, retirement, or other children. Institutions that restructure debts or extend relief spread those costs across their operations, ultimately affecting other participants in those systems. Employers who accommodate workers facing financial stress absorb costs that manifest as reduced flexibility, higher insurance premiums, or lower compensation for other employees. The support that makes individual risk-taking feel manageable is not cost-free; it simply relocates the cost from the decision-maker to others who often had no role in the decision being made.</w:t>
      </w:r>
    </w:p>
    <w:p w14:paraId="76B733BE" w14:textId="77777777" w:rsidR="00384400" w:rsidRPr="00384400" w:rsidRDefault="00384400" w:rsidP="00384400">
      <w:r w:rsidRPr="00384400">
        <w:t>Part of the difficulty is that the same support structures that produce these distortions also provide genuine help to people who make reasonable choices and still face difficulty through circumstances beyond their control. Economic downturns happen. Health crises occur. Industries contract. People lose jobs through no fault of their own. Support structures that help these people are not creating the problems they address. The challenge is that the same structures, simply by existing and being known to exist, also change how people approach choices before difficulty emerges. Separating these effects, providing genuine help without distorting incentives, is one of the harder problems in designing any assistance system.</w:t>
      </w:r>
    </w:p>
    <w:p w14:paraId="2730FDF5" w14:textId="77777777" w:rsidR="00E25CED" w:rsidRDefault="00E25CED">
      <w:r>
        <w:t>Recognizing that support structures alter decision-making is not an argument against their existence. It is an explanation for the predictable patterns their existence produces: more risk-taking, less independent capability, and sometimes worse outcomes than a world without the safety net would have generated. At the time the decisions were made, given what people knew and what they expected, the choices often made sense. That is precisely what makes the pattern so difficult to interrupt.</w:t>
      </w:r>
    </w:p>
    <w:p w14:paraId="060E198E" w14:textId="77777777" w:rsidR="00384400" w:rsidRPr="00384400" w:rsidRDefault="00384400" w:rsidP="00384400">
      <w:r w:rsidRPr="00384400">
        <w:t>The alternative, a world with no support structures at all, is not obviously better. It would be a world where temporary setbacks more often become permanent catastrophes, and where the fear of consequences would prevent people from attempting anything uncertain even when the attempt would be worth making. Support structures allow people to take chances that sometimes produce extraordinary outcomes. They also allow people to take chances that produce predictably poor outcomes while feeling certain that things will work out.</w:t>
      </w:r>
    </w:p>
    <w:p w14:paraId="34AD1832" w14:textId="77777777" w:rsidR="00384400" w:rsidRPr="00384400" w:rsidRDefault="00384400" w:rsidP="00384400">
      <w:r w:rsidRPr="00384400">
        <w:t>This is not a problem that admits of an easy solution. It is a problem that explains a pattern. Understanding the pattern is the first step toward making choices that account for it instead of being shaped by it in ways that remain invisible until the costs come due.</w:t>
      </w:r>
    </w:p>
    <w:p w14:paraId="3B838479" w14:textId="77777777" w:rsidR="00E25CED" w:rsidRDefault="00E25CED">
      <w:pPr>
        <w:pStyle w:val="Heading3"/>
      </w:pPr>
      <w:bookmarkStart w:id="72" w:name="_Toc227410701"/>
      <w:r>
        <w:t>The Cumulative Pattern</w:t>
      </w:r>
      <w:bookmarkEnd w:id="72"/>
    </w:p>
    <w:p w14:paraId="6DB3605E" w14:textId="77777777" w:rsidR="00384400" w:rsidRPr="00384400" w:rsidRDefault="00384400" w:rsidP="00384400">
      <w:r w:rsidRPr="00384400">
        <w:t>The mechanisms described in this chapter do not operate in isolation. They compound and reinforce each other, creating patterns of decision-making that persist even when individual choices seem reasonable and the decision-makers are intelligent and well-intentioned.</w:t>
      </w:r>
    </w:p>
    <w:p w14:paraId="5F08E3E6" w14:textId="77777777" w:rsidR="00E25CED" w:rsidRDefault="00E25CED">
      <w:r>
        <w:t>The child raised in abundance learns that limits are negotiable. The young adult who learned that limits are negotiable uses debt to extend those limits into the future. The professional whose debts require high income inflates their lifestyle to match that income, converting flexibility into fixed obligations. The educated person facing the consequences of these accumulated choices uses their intelligence to construct explanations for why the choices were sound and more commitment is needed. And the person who expects help if things go wrong has less reason to reconsider any of this.</w:t>
      </w:r>
    </w:p>
    <w:p w14:paraId="731BD414" w14:textId="77777777" w:rsidR="00E25CED" w:rsidRDefault="00E25CED">
      <w:r>
        <w:t>At each stage, the reasoning feels internally consistent. At each stage, the person making decisions is responding to the environment they actually face, not to some idealized version of reality. The problem is not that people are failing to reason, but that they are reasoning within systems that have structurally disconnected choices from their natural consequences.</w:t>
      </w:r>
    </w:p>
    <w:p w14:paraId="189DD918" w14:textId="77777777" w:rsidR="00384400" w:rsidRPr="00384400" w:rsidRDefault="00384400" w:rsidP="00384400">
      <w:r w:rsidRPr="00384400">
        <w:t>Each mechanism feeds the others. Debt-created delay reinforces the sense that limits are negotiable. Lifestyle inflation that converts variable expenses to fixed ones makes the stakes of any single decision feel lower even as cumulative vulnerability grows. Intelligence that could help see these patterns is deployed instead to justify them. And the expectation of support if things go wrong removes the urgency that might otherwise prompt reconsideration.</w:t>
      </w:r>
    </w:p>
    <w:p w14:paraId="66B0364E" w14:textId="77777777" w:rsidR="006B4463" w:rsidRPr="006B4463" w:rsidRDefault="00E25CED" w:rsidP="006B4463">
      <w:r>
        <w:t xml:space="preserve">The result is not a population of fools or moral failures, but a population of people locked inside a pattern they cannot see from the inside. Each mechanism provides the justification for the next: abundance teaches that limits are negotiable, debt confirms the lesson, lifestyle inflation makes it feel normal, intelligence provides sophisticated reasons why this is all perfectly reasonable, and expected support removes the last reason to reconsider. The person at stage four cannot recognize stages one through three because each earlier stage shaped the lens through which they now see their situation. </w:t>
      </w:r>
      <w:r w:rsidR="006B4463" w:rsidRPr="006B4463">
        <w:t>This is the personal-finance version of belief as armor: each stage deepens the investment in being right, and each deepening makes the cost of reconsidering higher than the cost of continuing.</w:t>
      </w:r>
    </w:p>
    <w:p w14:paraId="7C64707C" w14:textId="77777777" w:rsidR="00384400" w:rsidRPr="00384400" w:rsidRDefault="00384400" w:rsidP="00384400">
      <w:r w:rsidRPr="00384400">
        <w:t>This is what makes the pattern so durable. It is not maintained by ignorance in the simple sense, a lack of information that could be corrected by learning. It is maintained by an architecture that profits from each stage of the sequence and that has been designed, refined, and defended by identifiable institutions over decades. The product designers, lenders, policymakers, and regulators who built the delay-and-diffusion structures of modern consumer finance did not build them to harm the people who would use them. They built them because each layer of the architecture produced revenue for the institution that controlled it, and because the political economy of financial regulation made it cheaper to maintain the architecture than to rebuild it. The persistence of the pattern at the level of individual lives is the predictable downstream output of decisions taken in rooms the borrowers never entered. Restoring healthier decision-making does not require that people become smarter or more virtuous. It requires recognizing that the difficulty of doing so is itself informative: the costs are real, even when the systems built to capture them have been designed to make those costs invisible until the bill arrives.</w:t>
      </w:r>
    </w:p>
    <w:p w14:paraId="53CE0C51" w14:textId="77777777" w:rsidR="00E25CED" w:rsidRDefault="00E25CED">
      <w:pPr>
        <w:pStyle w:val="Heading3"/>
      </w:pPr>
      <w:bookmarkStart w:id="73" w:name="_Toc227410702"/>
      <w:r>
        <w:t>What It Looks Like to See Clearly</w:t>
      </w:r>
      <w:bookmarkEnd w:id="73"/>
    </w:p>
    <w:p w14:paraId="22BB70F2" w14:textId="77777777" w:rsidR="00E25CED" w:rsidRDefault="00E25CED">
      <w:r>
        <w:t>A couple in their early thirties sits down on a Sunday evening to discuss whether to renovate their kitchen. They have been talking about it for months. The contractor's estimate came in at $45,000.</w:t>
      </w:r>
    </w:p>
    <w:p w14:paraId="0BE8AE83" w14:textId="77777777" w:rsidR="00E25CED" w:rsidRDefault="00E25CED">
      <w:r>
        <w:t>The version of this conversation that ignores tradeoffs sounds like this: The kitchen is outdated. The new design is beautiful. They can finance it. Monthly payments are manageable. They deserve it after years of living with a kitchen they hate. They schedule the contractor.</w:t>
      </w:r>
    </w:p>
    <w:p w14:paraId="787B8CB6" w14:textId="77777777" w:rsidR="00E25CED" w:rsidRDefault="00E25CED">
      <w:r>
        <w:t>The version that sees tradeoffs sounds different. Not sadder, not more cautious, but more specific.</w:t>
      </w:r>
    </w:p>
    <w:p w14:paraId="36D21A01" w14:textId="6202DDFF" w:rsidR="00E25CED" w:rsidRDefault="00463E2E">
      <w:r>
        <w:t>"</w:t>
      </w:r>
      <w:r w:rsidR="00E25CED">
        <w:t>If we finance $45,000, that's about $850 a month for five years. Right now that $850 is split between the vacation fund and the extra mortgage payments. So the question isn't whether we want a new kitchen. It's whether we want a new kitchen more than we want vacations for five years and early mortgage payoff.</w:t>
      </w:r>
      <w:r>
        <w:t>"</w:t>
      </w:r>
    </w:p>
    <w:p w14:paraId="353C63D1" w14:textId="0806B161" w:rsidR="00E25CED" w:rsidRDefault="00463E2E">
      <w:r>
        <w:t>"</w:t>
      </w:r>
      <w:r w:rsidR="00E25CED">
        <w:t>We could do the countertops and cabinets now for about $20,000 and leave the layout alone. That gets us most of what we actually dislike about this kitchen for less than half the cost.</w:t>
      </w:r>
      <w:r>
        <w:t>"</w:t>
      </w:r>
    </w:p>
    <w:p w14:paraId="68CE1F64" w14:textId="4E1F096A" w:rsidR="00E25CED" w:rsidRDefault="00463E2E">
      <w:r>
        <w:t>"</w:t>
      </w:r>
      <w:r w:rsidR="00E25CED">
        <w:t>The contractor says eight weeks, so let's plan for fourteen. That means we're cooking on a hot plate through Thanksgiving.</w:t>
      </w:r>
      <w:r>
        <w:t>"</w:t>
      </w:r>
    </w:p>
    <w:p w14:paraId="085C78B4" w14:textId="77777777" w:rsidR="00384400" w:rsidRPr="00384400" w:rsidRDefault="00384400" w:rsidP="00384400">
      <w:r w:rsidRPr="00384400">
        <w:t>Nothing about this conversation is pessimistic. They might still renovate. But they will renovate having seen both choices, the kitchen they gain and the things they give up to get it, not only the one they could see when the conversation started.</w:t>
      </w:r>
    </w:p>
    <w:p w14:paraId="3133EFB0" w14:textId="39255E1E" w:rsidR="00E25CED" w:rsidRDefault="00E25CED">
      <w:r>
        <w:t xml:space="preserve">The mechanism is simple: before any significant commitment, ask </w:t>
      </w:r>
      <w:r>
        <w:rPr>
          <w:i/>
          <w:iCs/>
        </w:rPr>
        <w:t>instead of what?</w:t>
      </w:r>
      <w:r>
        <w:t xml:space="preserve"> Not </w:t>
      </w:r>
      <w:r w:rsidR="00463E2E">
        <w:t>"</w:t>
      </w:r>
      <w:r>
        <w:t>can we afford it?</w:t>
      </w:r>
      <w:r w:rsidR="00463E2E">
        <w:t>"</w:t>
      </w:r>
      <w:r>
        <w:t xml:space="preserve"> (which usually means </w:t>
      </w:r>
      <w:r w:rsidR="00463E2E">
        <w:t>"</w:t>
      </w:r>
      <w:r>
        <w:t>can we make the payments?</w:t>
      </w:r>
      <w:r w:rsidR="00463E2E">
        <w:t>"</w:t>
      </w:r>
      <w:r>
        <w:t xml:space="preserve">) but </w:t>
      </w:r>
      <w:r w:rsidR="00463E2E">
        <w:t>"</w:t>
      </w:r>
      <w:r>
        <w:t>what specifically will we not be doing, not saving, or not spending on because we are doing this instead?</w:t>
      </w:r>
      <w:r w:rsidR="00463E2E">
        <w:t>"</w:t>
      </w:r>
      <w:r>
        <w:t xml:space="preserve"> The answer turns an isolated decision into a comparison, which is the only form in which a decision can be honestly evaluated.</w:t>
      </w:r>
    </w:p>
    <w:p w14:paraId="307EF04E" w14:textId="17322DA4" w:rsidR="00E25CED" w:rsidRDefault="00E25CED">
      <w:r>
        <w:t xml:space="preserve">That discipline scales. Warren Buffett was mocked through the late 1990s for refusing to buy technology stocks while the rest of the market tripled. Barron's put him on the cover in 1999 asking what had gone wrong. His answer never changed: he could not evaluate what he would be giving up, because the companies had no earnings history against which to measure the price. Every investment is a tradeoff between the thing you buy and every other thing that money could have bought instead, and if you cannot see the second half of that comparison, you are not investing. You are guessing. When the Nasdaq lost nearly 80 percent of its value over the next two years, the people who had abandoned the question lost trillions. Buffett had not predicted the crash. He had simply kept asking </w:t>
      </w:r>
      <w:r w:rsidR="00463E2E">
        <w:t>"</w:t>
      </w:r>
      <w:r>
        <w:t>instead of what?</w:t>
      </w:r>
      <w:r w:rsidR="00463E2E">
        <w:t>"</w:t>
      </w:r>
      <w:r>
        <w:t xml:space="preserve"> when everyone around him had stopped.</w:t>
      </w:r>
    </w:p>
    <w:p w14:paraId="10D5B11D" w14:textId="77777777" w:rsidR="00E25CED" w:rsidRDefault="00E25CED">
      <w:pPr>
        <w:sectPr w:rsidR="00E25CED" w:rsidSect="00E25CED">
          <w:footerReference w:type="default" r:id="rId39"/>
          <w:footerReference w:type="first" r:id="rId40"/>
          <w:endnotePr>
            <w:numFmt w:val="decimal"/>
          </w:endnotePr>
          <w:pgSz w:w="12240" w:h="15840"/>
          <w:pgMar w:top="1440" w:right="1440" w:bottom="1440" w:left="1440" w:header="0" w:footer="720" w:gutter="0"/>
          <w:cols w:space="720"/>
          <w:formProt w:val="0"/>
          <w:docGrid w:linePitch="100"/>
        </w:sectPr>
      </w:pPr>
      <w:r>
        <w:t>The couple who asks this question will sometimes choose the renovation. They will sometimes choose the vacation fund. Either way, they will have chosen, not stumbled into a commitment while looking at only half the picture.</w:t>
      </w:r>
    </w:p>
    <w:p w14:paraId="70F851AA" w14:textId="77777777" w:rsidR="00E25CED" w:rsidRDefault="00E25CED">
      <w:pPr>
        <w:pStyle w:val="Heading2"/>
      </w:pPr>
      <w:bookmarkStart w:id="74" w:name="_Toc227410703"/>
      <w:r>
        <w:t>Work Without Consequences</w:t>
      </w:r>
      <w:bookmarkEnd w:id="74"/>
    </w:p>
    <w:p w14:paraId="0161E671" w14:textId="4CBFD166" w:rsidR="00E25CED" w:rsidRDefault="00E25CED">
      <w:r>
        <w:t xml:space="preserve">In 2014, a whistleblower at the Phoenix Veterans Affairs hospital revealed that administrators had been maintaining two sets of wait-time records. The official list, the one reported to Washington, showed veterans receiving timely appointments. The real list, kept on paper or in secret spreadsheets, showed the truth: thousands of veterans waiting months for basic medical care. At least </w:t>
      </w:r>
      <w:r w:rsidR="00F2294F">
        <w:t>40</w:t>
      </w:r>
      <w:r>
        <w:t xml:space="preserve"> veterans died while waiting for appointments that the system's own records said they had already received.</w:t>
      </w:r>
    </w:p>
    <w:p w14:paraId="23D21DF2" w14:textId="77777777" w:rsidR="00E25CED" w:rsidRDefault="00E25CED">
      <w:r>
        <w:t>The falsification was not the work of a few rogue employees. Investigators eventually found similar practices at VA facilities across the country. The Inspector General's report documented a system in which administrators had learned exactly what they were being measured on, exactly what happened when those measurements looked bad, and exactly how to make them look good without actually improving anything. The performance targets were being hit. The patients were not being treated.</w:t>
      </w:r>
    </w:p>
    <w:p w14:paraId="06702A74" w14:textId="77777777" w:rsidR="00384400" w:rsidRPr="00384400" w:rsidRDefault="00384400" w:rsidP="00384400">
      <w:r w:rsidRPr="00384400">
        <w:t>Nobody involved lacked commitment to the VA's mission. The doctors, nurses, and frontline staff were working inside a system that rewarded reporting good numbers and punished reporting honest ones. Administrators who flagged real wait times risked scrutiny from Washington; those who submitted clean data received satisfactory evaluations. In several documented cases, employees who raised concerns internally were retaliated against. The system made honesty costly and fabrication safe.</w:t>
      </w:r>
    </w:p>
    <w:p w14:paraId="2732C87D" w14:textId="77777777" w:rsidR="00E25CED" w:rsidRDefault="00E25CED">
      <w:r>
        <w:t>When the scandal broke, the Secretary of Veterans Affairs resigned. Congress held hearings. The President signed reform legislation. But the structural problem the scandal exposed was not unique to the VA. It was a concentrated, lethal version of something operating in every large institution where the measurements have become detached from the things being measured, where the people producing the numbers face different incentives than the people depending on what those numbers are supposed to represent.</w:t>
      </w:r>
    </w:p>
    <w:p w14:paraId="62423023" w14:textId="77777777" w:rsidR="00E25CED" w:rsidRDefault="00E25CED">
      <w:r>
        <w:t>That detachment is the subject of this chapter.</w:t>
      </w:r>
    </w:p>
    <w:p w14:paraId="58F6BB5E" w14:textId="77777777" w:rsidR="00E25CED" w:rsidRDefault="00E25CED">
      <w:pPr>
        <w:pStyle w:val="Heading3"/>
      </w:pPr>
      <w:bookmarkStart w:id="75" w:name="_Toc227410704"/>
      <w:r>
        <w:t>Accountability Without Authority</w:t>
      </w:r>
      <w:bookmarkEnd w:id="75"/>
    </w:p>
    <w:p w14:paraId="31EE9666" w14:textId="77777777" w:rsidR="00384400" w:rsidRPr="00384400" w:rsidRDefault="00384400" w:rsidP="00384400">
      <w:r w:rsidRPr="00384400">
        <w:t>Every large organization separates two things that ought to stay together: the authority to shape outcomes and the accountability for what those outcomes turn out to be. In healthy systems, the people who can change how the work is done are the same people who answer for whether the work produces results. In the systems this chapter describes, those two roles have been pulled apart. Authority concentrates in administrators, executive offices, legislatures, and boards. Accountability concentrates in the people doing the actual work. The result is that the people who shape outcomes face no consequences, and the people who absorb them face every consequence for outcomes they were not given the authority to influence.</w:t>
      </w:r>
    </w:p>
    <w:p w14:paraId="2FE7BFF2" w14:textId="77777777" w:rsidR="006D7AF8" w:rsidRPr="006D7AF8" w:rsidRDefault="006D7AF8" w:rsidP="006D7AF8">
      <w:r w:rsidRPr="006D7AF8">
        <w:t>The asymmetry runs in both directions. Upward, the rewards detach from results. The administrator who designs an evaluation system that ten thousand teachers will be measured against does not get evaluated on whether the evaluation system actually identifies good teaching. They get evaluated on whether they shipped the system on time, briefed the board persuasively, and produced reports the political principals could defend. Compensation, promotion, and reputation accrue to activity that can be documented at the level the administrator operates at, which is rarely the level at which the work happens. The person who excels at producing impressive activity reports for superiors will rise. The person who excels at producing the underlying results will not, because the underlying results are usually invisible at the level where promotions are decided.</w:t>
      </w:r>
    </w:p>
    <w:p w14:paraId="68BB792F" w14:textId="77777777" w:rsidR="006D7AF8" w:rsidRPr="006D7AF8" w:rsidRDefault="006D7AF8" w:rsidP="006D7AF8">
      <w:r w:rsidRPr="006D7AF8">
        <w:t>A selection effect develops at the top. Leadership positions fill with people who were promoted for skill at the activity layer, not the results layer. Once those people are in charge, they design new systems that reward the same skills they were rewarded for. The administrators who replaced the previous administrators understand exactly what kinds of work produce career advancement and exactly what kinds of work produce nothing but the work itself. They build evaluation systems that capture the former and ignore the latter. Over time, the gap widens between what the organization rewards and what the organization is supposed to do.</w:t>
      </w:r>
    </w:p>
    <w:p w14:paraId="7B24EAD8" w14:textId="77777777" w:rsidR="006D7AF8" w:rsidRPr="006D7AF8" w:rsidRDefault="006D7AF8" w:rsidP="006D7AF8">
      <w:r w:rsidRPr="006D7AF8">
        <w:t>Downward, the accountability detaches from authority. The teacher whose students arrive at school hungry, behind grade level, and from neighborhoods that the city has spent decades disinvesting in is held accountable for whether those students hit testing benchmarks designed in a state capital by people who have never met them. The nurse whose patient readmission rates are tracked at the unit level has no authority over the staffing ratios that drive those rates, the discharge planning protocols the hospital administration set, or the social conditions the patient returns to after leaving the building. The social worker whose case outcomes are tracked is working inside a caseload, a documentation requirement, and a benefits eligibility framework that legislators and agency leadership built without consulting anyone who would have to operate inside it. The frontline VA staff in the chapter's opening were held accountable for wait times produced by capacity decisions made by people who would never see a patient. In each case, the people closest to the outcome have the least ability to change the conditions that produce it, and the people who have the ability to change those conditions are insulated from the outcome.</w:t>
      </w:r>
    </w:p>
    <w:p w14:paraId="52525A74" w14:textId="77777777" w:rsidR="006D7AF8" w:rsidRPr="006D7AF8" w:rsidRDefault="006D7AF8" w:rsidP="006D7AF8">
      <w:r w:rsidRPr="006D7AF8">
        <w:t>The accountability that lands on the frontline, the landing zone this chapter returns to throughout, is not light. It includes performance reviews, public ratings, professional licensure consequences, sometimes lawsuits, sometimes news coverage, and almost always a slow erosion of the autonomy that made the work meaningful in the first place. The accountability that does not land on the architects is comprehensive. The administrators who designed the wait-time reporting system that punished honest reporting and rewarded falsification did not lose their jobs when veterans died. The legislators who set the agency's funding levels and its statutory obligations did not lose their jobs either. The political principals whose preferences shaped the entire structure faced no consequence. The asymmetry is not an accident. It is the structural feature that allows the architects to keep building systems like the ones they have already built.</w:t>
      </w:r>
    </w:p>
    <w:p w14:paraId="45C39B47" w14:textId="77777777" w:rsidR="00384400" w:rsidRPr="00384400" w:rsidRDefault="00384400" w:rsidP="00384400">
      <w:r w:rsidRPr="00384400">
        <w:t>People who work inside this asymmetry adapt to it. When a teacher discovers that they will be evaluated on outcomes shaped by conditions they cannot touch, they learn to focus on whatever piece of those outcomes is actually theirs to influence, which is often a much smaller piece than the evaluation pretends. When a social worker discovers that the cases they cannot resolve will be counted against them regardless of what the case file actually contained, they learn to manage their caseload toward documentation rather than toward resolution. When a frontline manager discovers that the corporate decisions they were given no input on will produce failures they will be blamed for, they learn to construct the paper trail that protects them and to stop advocating for changes that would create friction with the people who control resources. None of these adaptations are moral failures. They are rational responses to systems that punish honest engagement with reality and reward defensive performance. The adaptations also corrode the work, because they redirect attention from the outcome the work was supposed to produce toward the appearance of it that the evaluation system can capture.</w:t>
      </w:r>
    </w:p>
    <w:p w14:paraId="05611B00" w14:textId="77777777" w:rsidR="006D7AF8" w:rsidRPr="006D7AF8" w:rsidRDefault="006D7AF8" w:rsidP="006D7AF8">
      <w:r w:rsidRPr="006D7AF8">
        <w:t>The diagnosis is straightforward. When the people who have the authority to shape an outcome face no accountability for it, they design systems that serve their own incentives. When the people who face accountability for an outcome have no authority to shape it, they protect themselves. The work the organization was built to do is whatever survives between those two adaptations. In well-functioning systems, that work is most of what happens. In the systems this chapter describes, it is whatever is left after the architecture has taken its share.</w:t>
      </w:r>
    </w:p>
    <w:p w14:paraId="366795C7" w14:textId="4870EAF4" w:rsidR="00E25CED" w:rsidRDefault="00E25CED">
      <w:pPr>
        <w:pStyle w:val="Heading3"/>
      </w:pPr>
      <w:bookmarkStart w:id="76" w:name="_Toc227410705"/>
      <w:r>
        <w:t>The Incentive to Look Away</w:t>
      </w:r>
      <w:bookmarkEnd w:id="76"/>
    </w:p>
    <w:p w14:paraId="3EE9B8D4" w14:textId="77777777" w:rsidR="00E25CED" w:rsidRDefault="00E25CED">
      <w:r>
        <w:t>The patterns described so far in this chapter tend to develop gradually. Rewards drift away from results over years. Authority and accountability separate through incremental reorganizations. But sometimes the separation is not a drift. Sometimes it is a construction project.</w:t>
      </w:r>
    </w:p>
    <w:p w14:paraId="27646613" w14:textId="77777777" w:rsidR="00E25CED" w:rsidRDefault="00E25CED">
      <w:r>
        <w:t>In 1989, Congress created the Office of Thrift Supervision to regulate the nation's savings and loan associations. The agency had a structural feature that seemed unremarkable at the time: it was funded not by taxpayer appropriations but by fees collected from the institutions it supervised. The more thrifts OTS oversaw, and the larger those thrifts grew, the more revenue the agency collected. The regulator's budget depended on the health and happiness of the regulated.</w:t>
      </w:r>
    </w:p>
    <w:p w14:paraId="51AC9E33" w14:textId="77777777" w:rsidR="00E25CED" w:rsidRDefault="00E25CED">
      <w:r>
        <w:t>For a decade, this arrangement produced no visible crisis. But through the 1990s, thrifts were closing at a steady pace, and each closure meant lost revenue for OTS. Staff shrank. Budgets tightened. The agency faced a choice that any institution in its position would face: find a way to attract and retain the entities that kept it funded, or watch its own capacity erode.</w:t>
      </w:r>
    </w:p>
    <w:p w14:paraId="663DE650" w14:textId="301C4994" w:rsidR="00E25CED" w:rsidRDefault="00E25CED">
      <w:r>
        <w:t xml:space="preserve">Then two pieces of legislation, </w:t>
      </w:r>
      <w:r w:rsidR="00F2294F">
        <w:t>18</w:t>
      </w:r>
      <w:r>
        <w:t xml:space="preserve"> months apart, dismantled the guardrails.</w:t>
      </w:r>
    </w:p>
    <w:p w14:paraId="6FB97875" w14:textId="77777777" w:rsidR="00E25CED" w:rsidRDefault="00E25CED">
      <w:r>
        <w:t>The Gramm-Leach-Bliley Act of 1999 allowed financial holding companies to choose their primary federal regulator based on their charter type. A company that owned a thrift could select OTS as its consolidated supervisor instead of the Federal Reserve. The legislation passed with overwhelming bipartisan support, 90 to 8 in the Senate, 362 to 57 in the House. President Clinton signed it. Both parties owned what came next.</w:t>
      </w:r>
    </w:p>
    <w:p w14:paraId="394F01D6" w14:textId="77777777" w:rsidR="00E25CED" w:rsidRDefault="00E25CED">
      <w:r>
        <w:t>The following year, as the Supreme Court was deciding Bush v. Gore and Congress was heading for the exits, Senator Phil Gramm of Texas inserted a 262-page deregulatory bill as a rider into an 11,000-page omnibus spending bill. The Commodity Futures Modernization Act passed on December 21, 2000, the day after the Court's ruling, while the nation's attention was elsewhere. Among its provisions: the entire market for over-the-counter derivatives, including credit default swaps, was exempted from regulatory oversight. No federal agency would monitor the contracts. No exchange would require transparency. No regulator would assess whether the parties writing these instruments could actually cover what they promised. The bill had the support of the Clinton Treasury Department. It had bipartisan backing. And it removed the last structural constraint on a class of financial instruments that would, within eight years, bring the global economy to its knees.</w:t>
      </w:r>
    </w:p>
    <w:p w14:paraId="270646C9" w14:textId="77777777" w:rsidR="00E25CED" w:rsidRDefault="00E25CED">
      <w:r>
        <w:t>Now the incentive structure was complete. The Gramm-Leach-Bliley Act created a market for regulatory oversight, where financial institutions could shop for their preferred supervisor. The Commodity Futures Modernization Act eliminated oversight entirely for the most dangerous products those institutions would sell. And OTS responded the way any rational actor responds to competitive pressure. It sold what buyers wanted.</w:t>
      </w:r>
    </w:p>
    <w:p w14:paraId="36D650E8" w14:textId="2DA3CE1B" w:rsidR="00E25CED" w:rsidRDefault="00E25CED">
      <w:r>
        <w:t xml:space="preserve">In the summer of 2003, OTS director James Gilleran stood at a press conference alongside other federal banking regulators to announce a campaign for reducing regulatory burden. The other regulators brought garden shears. Gilleran brought a chainsaw. Between 2001 and 2004, he cut roughly a quarter of the agency's </w:t>
      </w:r>
      <w:r w:rsidR="00F2294F">
        <w:t>1,200</w:t>
      </w:r>
      <w:r>
        <w:t xml:space="preserve"> employees. During that same period, the total assets under OTS supervision grew by </w:t>
      </w:r>
      <w:r w:rsidR="008904E7">
        <w:t>50</w:t>
      </w:r>
      <w:r>
        <w:t xml:space="preserve"> percent. Fewer examiners watching more money. The agency's official position, stated publicly in 2004, was that its goal was </w:t>
      </w:r>
      <w:r w:rsidR="00463E2E">
        <w:t>"</w:t>
      </w:r>
      <w:r>
        <w:t>to allow thrifts to operate with a wide breadth of freedom from regulatory intrusion.</w:t>
      </w:r>
      <w:r w:rsidR="00463E2E">
        <w:t>"</w:t>
      </w:r>
      <w:r>
        <w:t xml:space="preserve"> OTS began referring to the institutions it supervised not as regulated entities but as </w:t>
      </w:r>
      <w:r w:rsidR="00463E2E">
        <w:t>"</w:t>
      </w:r>
      <w:r>
        <w:t>clients.</w:t>
      </w:r>
      <w:r w:rsidR="00463E2E">
        <w:t>"</w:t>
      </w:r>
    </w:p>
    <w:p w14:paraId="56EA9D7C" w14:textId="7B9DCAC7" w:rsidR="00E25CED" w:rsidRDefault="00E25CED">
      <w:r>
        <w:t xml:space="preserve">The financial industry understood the invitation. In 1999, American International Group purchased a small savings and loan for the express purpose of making OTS its consolidated supervisor, bringing one of the world's largest and most complex financial conglomerates under the oversight of an agency built to supervise community savings banks. In 2006, Countrywide Financial, then the largest mortgage originator in the country, reorganized its operations to move under OTS supervision. Washington Mutual, already the nation's largest thrift, was paying OTS roughly </w:t>
      </w:r>
      <w:r w:rsidR="008904E7">
        <w:t>$30 million</w:t>
      </w:r>
      <w:r>
        <w:t xml:space="preserve"> a year in supervisory fees, somewhere between </w:t>
      </w:r>
      <w:r w:rsidR="00F2294F">
        <w:t>12 an</w:t>
      </w:r>
      <w:r w:rsidR="008904E7">
        <w:t>d</w:t>
      </w:r>
      <w:r w:rsidR="00F2294F">
        <w:t xml:space="preserve"> 15</w:t>
      </w:r>
      <w:r>
        <w:t xml:space="preserve"> percent of the agency's total revenue. The referee's paycheck depended on keeping the biggest player on the field.</w:t>
      </w:r>
    </w:p>
    <w:p w14:paraId="01A889A6" w14:textId="77777777" w:rsidR="00E25CED" w:rsidRDefault="00E25CED">
      <w:r>
        <w:t>What these institutions did with that freedom is the part of the story that landed on everyone else.</w:t>
      </w:r>
    </w:p>
    <w:p w14:paraId="39B5527D" w14:textId="259724FF" w:rsidR="00E25CED" w:rsidRDefault="00E25CED">
      <w:r>
        <w:t xml:space="preserve">Washington Mutual's subprime mortgage securitization went from $4.5 billion in 2003 to $29 billion by 2006. </w:t>
      </w:r>
      <w:r w:rsidR="00F2294F" w:rsidRPr="00F2294F">
        <w:t>Countrywide sold or securitized 87 percent of the $1.5 trillion in mortgages it originated between 2002 and 2005</w:t>
      </w:r>
      <w:r>
        <w:t xml:space="preserve">. The loans feeding that pipeline were, in many cases, originated with minimal or no verification of the borrower's ability to repay. The industry had a name for them: NINJA loans. No income, no job, no assets. In one pool of mortgage-backed securities that IndyMac assembled in 2006, less than </w:t>
      </w:r>
      <w:r w:rsidR="00F2294F">
        <w:t>10</w:t>
      </w:r>
      <w:r>
        <w:t xml:space="preserve"> percent of the loans involved full documentation. The rest were stated-income loans, meaning the borrower wrote down a number and nobody checked.</w:t>
      </w:r>
    </w:p>
    <w:p w14:paraId="7C2A4D30" w14:textId="77777777" w:rsidR="00E25CED" w:rsidRDefault="00E25CED">
      <w:r>
        <w:t>The previous chapter described Casey Serin and the millions of borrowers who made structurally identical choices during the housing bubble, people navigating a financial system that had made it possible to spend years making bad decisions without experiencing consequences. The OTS story is about who built that system, and why.</w:t>
      </w:r>
    </w:p>
    <w:p w14:paraId="7DE0368D" w14:textId="225A24B7" w:rsidR="00E25CED" w:rsidRDefault="00E25CED">
      <w:r>
        <w:t xml:space="preserve">The originators faced no consequence for writing bad loans because they sold them within weeks. The </w:t>
      </w:r>
      <w:proofErr w:type="spellStart"/>
      <w:r>
        <w:t>securitizers</w:t>
      </w:r>
      <w:proofErr w:type="spellEnd"/>
      <w:r>
        <w:t xml:space="preserve"> faced no consequence for bundling bad loans because the risk was distributed across thousands of investors the moment the bonds were issued. The rating agencies faced no consequence for blessing those bonds because their revenue came from the firms issuing them. And the regulator whose job was to interrupt this chain at the first link, the agency that was supposed to examine lending practices and enforce standards at the institutions writing the loans, had identified over </w:t>
      </w:r>
      <w:r w:rsidR="00F2294F">
        <w:t>500</w:t>
      </w:r>
      <w:r>
        <w:t xml:space="preserve"> serious deficiencies at Washington Mutual between 2004 and 2008 and had taken exactly zero public enforcement actions. Not one.</w:t>
      </w:r>
    </w:p>
    <w:p w14:paraId="1D99B2D7" w14:textId="77777777" w:rsidR="00E25CED" w:rsidRDefault="00E25CED">
      <w:r>
        <w:t>This was not a system that failed. It was a system that performed exactly as its incentives dictated. Every actor in the chain did what the structure rewarded. The loan officers wrote volume because they were paid on volume. The banks securitized garbage because the fees were enormous and the risk left their books. The regulator looked away because its revenue depended on the institutions it was supposed to be watching. And the costs, all of them, flowed downhill to the people with the least information and the least power: the homeowners who lost their houses, the pension funds that held the bonds, the taxpayers who covered a $182 billion bailout of AIG alone.</w:t>
      </w:r>
    </w:p>
    <w:p w14:paraId="2C6EA013" w14:textId="77777777" w:rsidR="00E25CED" w:rsidRDefault="00E25CED">
      <w:r>
        <w:t>Then came the moment when consequences could have arrived, and didn't.</w:t>
      </w:r>
    </w:p>
    <w:p w14:paraId="2AFFB4B2" w14:textId="68B4A414" w:rsidR="00E25CED" w:rsidRDefault="00E25CED">
      <w:r>
        <w:t xml:space="preserve">On March 27, 2009, </w:t>
      </w:r>
      <w:r w:rsidR="00F2294F">
        <w:t>13</w:t>
      </w:r>
      <w:r>
        <w:t xml:space="preserve"> bank CEOs were summoned to the White House. They expected a reckoning. The public was furious. Congress was holding hearings. The banks had just been rescued with hundreds of billions in taxpayer money, and the executives who had presided over the catastrophe were still running the institutions that caused it. President Obama opened the meeting with a line that acknowledged the stakes: </w:t>
      </w:r>
      <w:r w:rsidR="00463E2E">
        <w:t>"</w:t>
      </w:r>
      <w:r>
        <w:t>My administration is the only thing between you and the pitchforks.</w:t>
      </w:r>
      <w:r w:rsidR="00463E2E">
        <w:t>"</w:t>
      </w:r>
    </w:p>
    <w:p w14:paraId="2EC3E88E" w14:textId="3C331F5D" w:rsidR="00E25CED" w:rsidRDefault="00E25CED">
      <w:r>
        <w:t xml:space="preserve">Then he pivoted. </w:t>
      </w:r>
      <w:r w:rsidR="00463E2E">
        <w:t>"</w:t>
      </w:r>
      <w:r>
        <w:t>What we have, gentlemen, is a public relations disaster that's turning into a political disaster. And I'm here to help.</w:t>
      </w:r>
      <w:r w:rsidR="00463E2E">
        <w:t>"</w:t>
      </w:r>
    </w:p>
    <w:p w14:paraId="2CBD6BE6" w14:textId="5EE8712C" w:rsidR="00E25CED" w:rsidRDefault="00E25CED">
      <w:r>
        <w:t xml:space="preserve">All </w:t>
      </w:r>
      <w:r w:rsidR="00D77242">
        <w:t>13</w:t>
      </w:r>
      <w:r>
        <w:t xml:space="preserve"> kept their jobs. All </w:t>
      </w:r>
      <w:r w:rsidR="00D77242">
        <w:t>13</w:t>
      </w:r>
      <w:r>
        <w:t xml:space="preserve"> kept their salaries, their bonuses, their pensions, their boards. No criminal referrals followed for the executives who had overseen the origination and securitization of loans they knew were failing. The banks that had been too big to fail proved too big to punish. The chapter's title had never been more literal. Work without consequences, from the loan officer's desk to the Oval Office.</w:t>
      </w:r>
    </w:p>
    <w:p w14:paraId="79E12800" w14:textId="77777777" w:rsidR="00E25CED" w:rsidRDefault="00E25CED">
      <w:r>
        <w:t>The bipartisan Senate investigation that followed, led by Carl Levin and Tom Coburn, singled out OTS for what economists call regulatory capture: the process by which a regulatory agency comes to serve the interests of the industry it oversees rather than the public it was created to protect. The Dodd-Frank Act dissolved OTS entirely. But the pattern this chapter describes was already visible in the wreckage. An agency funded by the entities it regulated had every incentive to keep those entities happy and no incentive to keep them honest. A legislative framework that let institutions choose their own overseer guaranteed they would choose the most permissive one. An exemption from derivatives oversight, slipped into an omnibus spending bill while a nation watched a contested election, ensured that the most dangerous instruments in the system would be the least supervised. And when the catastrophe finally arrived, the people who built the structure walked away whole.</w:t>
      </w:r>
    </w:p>
    <w:p w14:paraId="4DC872D9" w14:textId="77777777" w:rsidR="00E25CED" w:rsidRDefault="00E25CED">
      <w:r>
        <w:t>This case study cannot be reduced to a simple prescription. The instinct after a collapse this large is to demand more regulation, stricter oversight, better enforcement. And some of that instinct points in the right direction. But OTS was a regulator. It had the legal authority to examine, to enforce, to shut down unsafe practices. The authority existed. What did not exist was any incentive to use it. The agency's funding model turned the institutions it supervised into its revenue base. The legislative framework let those institutions choose their own overseer. The political environment celebrated regulatory restraint as a virtue. Every structural incentive pointed the same direction: away from the job the agency existed to do.</w:t>
      </w:r>
    </w:p>
    <w:p w14:paraId="1DEAC993" w14:textId="77777777" w:rsidR="00E25CED" w:rsidRDefault="00E25CED">
      <w:r>
        <w:t>The people who designed this structure were not combating a market failure with the wrong tools. They were responding to an earlier set of regulatory constraints that the financial industry found burdensome. The shadow banking system that produced the crisis grew, in part, in the spaces created by decades of regulation that pushed risk-taking into less supervised corners of the financial system. The OTS story is not a parable about markets that needed a regulator and did not have one. It is a story about a system where every participant, public and private, faced incentives that made the eventual catastrophe not just possible but likely. The banks that exploited weak oversight were responding rationally to the environment legislators and regulators had built. The regulators who provided weak oversight were responding rationally to the funding and political structures that governed their agency. The legislators who built those structures were responding to the lobbying and campaign contributions of the industry they were supposed to govern. And the eight million families who lost their homes were responding to nothing. They were simply the ones who received the bill.</w:t>
      </w:r>
    </w:p>
    <w:p w14:paraId="5343BE9A" w14:textId="0D6F881B" w:rsidR="00E25CED" w:rsidRDefault="00E25CED">
      <w:r>
        <w:t xml:space="preserve">The pattern is the same one that runs through every section of this chapter: when the people making decisions do not bear the consequences of those decisions, the decisions get worse. The VA administrators who falsified wait times were not punished for bad data. The OTS examiners who documented </w:t>
      </w:r>
      <w:r w:rsidR="00D77242">
        <w:t>500</w:t>
      </w:r>
      <w:r>
        <w:t xml:space="preserve"> deficiencies and enforced none of them were not punished for regulatory failure. The bank executives who presided over the largest financial catastrophe since the Depression were not punished at all. They were invited to the White House and offered help with their public relations problem. In each case, the system made it rational to look away. The difference is scale. The VA's dysfunction cost veterans their health and, in documented cases, their lives. The OTS's dysfunction helped enable a financial collapse that cost the global economy trillions of dollars and millions of people their homes, their savings, and their trust that the people running the system bore any relationship to the people paying for it.</w:t>
      </w:r>
    </w:p>
    <w:p w14:paraId="68F40E9B" w14:textId="77777777" w:rsidR="00E25CED" w:rsidRDefault="00E25CED">
      <w:pPr>
        <w:pStyle w:val="Heading3"/>
      </w:pPr>
      <w:bookmarkStart w:id="77" w:name="_Toc227410706"/>
      <w:r>
        <w:t>Costs Pushed Sideways</w:t>
      </w:r>
      <w:bookmarkEnd w:id="77"/>
    </w:p>
    <w:p w14:paraId="2AA059F7" w14:textId="77777777" w:rsidR="00914D5F" w:rsidRPr="00914D5F" w:rsidRDefault="00914D5F" w:rsidP="00914D5F">
      <w:r w:rsidRPr="00914D5F">
        <w:t>Dysfunction does not stay where it starts. In most organizations, the costs of poor decisions are displaced, pushed away from the people and departments that created them toward other parts of the organization, other time periods, or external populations where the costs become harder to trace. Cost displacement allows poor performance to continue indefinitely because the people responsible for that performance never experience the full consequences of their decisions.</w:t>
      </w:r>
    </w:p>
    <w:p w14:paraId="6742AFEE" w14:textId="77777777" w:rsidR="006D7AF8" w:rsidRPr="006D7AF8" w:rsidRDefault="006D7AF8" w:rsidP="006D7AF8">
      <w:r w:rsidRPr="006D7AF8">
        <w:t>Sideways cost-pushing operates inside organizations when departments can impose expenses on other departments without having to account for those expenses in their own budgets or evaluations. A human resources department that implements a complex hiring procedure does not pay for the time hiring managers spend administering it or for the productivity lost when frontline positions sit vacant for months. An information technology department that selects systems based on procurement preferences rather than user need does not bear the costs when nurses spend an hour per shift fighting an electronic medical records interface, when teachers lose preparation time to a gradebook system designed for the convenience of central administration, or when caseworkers can no longer document cases at the speed the caseload requires. The departments that designed the cost remain inside their own budgets. The departments and individuals that absorb the cost have no mechanism to push it back.</w:t>
      </w:r>
    </w:p>
    <w:p w14:paraId="046438CC" w14:textId="77777777" w:rsidR="006D7AF8" w:rsidRPr="006D7AF8" w:rsidRDefault="006D7AF8" w:rsidP="006D7AF8">
      <w:r w:rsidRPr="006D7AF8">
        <w:t>The same mechanism operates between corporate functions and the people downstream of their decisions. Pacific Gas &amp; Electric spent the 2000s and 2010s deferring vegetation management and equipment upgrades across its Northern California transmission network. The finance teams that approved the deferrals were optimizing the same way the HR and IT departments in the previous example optimize: improving their own numbers without accounting for the costs they pushed elsewhere. Maintenance budgets shrank, quarterly earnings improved, and the executives who made the calls reported strong cost performance during their tenures.</w:t>
      </w:r>
    </w:p>
    <w:p w14:paraId="13E39CD7" w14:textId="77777777" w:rsidR="006D7AF8" w:rsidRPr="006D7AF8" w:rsidRDefault="006D7AF8" w:rsidP="006D7AF8">
      <w:r w:rsidRPr="006D7AF8">
        <w:t>By the time aging transmission lines ignited dry brush in Butte County in November 2018, those executives were long gone. The Camp Fire killed 85 people, destroyed nearly 19,000 structures, and erased the town of Paradise from the map. PG&amp;E filed for bankruptcy the following January, listing $30 billion in potential fire liabilities. The savings that had looked clean on one decade's books arrived as catastrophe on the next, and the people who paid the cost had no role in the decisions that created it.</w:t>
      </w:r>
    </w:p>
    <w:p w14:paraId="1E049676" w14:textId="77777777" w:rsidR="006D7AF8" w:rsidRPr="006D7AF8" w:rsidRDefault="006D7AF8" w:rsidP="006D7AF8">
      <w:r w:rsidRPr="006D7AF8">
        <w:t>The mechanism operates at every scale. My own brother paid child support for years for children who were not biologically his. After the truth emerged, the machinery kept running. Money still came out of his paycheck. One state said the obligation had ended. Texas disagreed. The legal explanation involves procedural finality, interstate enforcement coordination, and the treatment of adjudicated fatherhood as a status that survives later biological evidence. The economic explanation is simpler: the system had made an error. Rather than absorb the cost of that error, it assigned the cost to the person it could most easily continue billing. The difference between this case and PG&amp;E is scale, not structure. In both, a system optimized for its own administrative convenience while someone else received the bill for its mistakes.</w:t>
      </w:r>
    </w:p>
    <w:p w14:paraId="310CE2BE" w14:textId="77777777" w:rsidR="006D7AF8" w:rsidRPr="006D7AF8" w:rsidRDefault="006D7AF8" w:rsidP="006D7AF8">
      <w:r w:rsidRPr="006D7AF8">
        <w:t>The most damaging form of cost displacement occurs when organizations push the costs of internal dysfunction onto external populations who become the landing zone for decisions they had no part in. Public agencies that operate inefficiently impose costs on the citizens who must work through bureaucratic procedures, wait for services, accept poor results, or simply give up on accessing what they were entitled to. Service organizations that focus on internal priorities instead of client outcomes impose costs on clients who receive inadequate help and on downstream systems that have to address problems that were never resolved. School systems that adopt curricula and evaluation regimes designed for administrative legibility rather than student learning impose costs on the teachers who have to deliver the curricula, the students who have to absorb them, and the families who have to navigate the consequences. Hospital systems that adopt staffing models designed for short-term financial performance impose costs on the nurses who have to provide care under those staffing levels and on the patients who receive the care those staffing levels produce. In every case, the cost is real and somebody is paying it. The accounting just makes the payment invisible to the people who would otherwise have to consider whether their decision was worth what it cost.</w:t>
      </w:r>
    </w:p>
    <w:p w14:paraId="21B8AC6C" w14:textId="77777777" w:rsidR="00914D5F" w:rsidRPr="00914D5F" w:rsidRDefault="00914D5F" w:rsidP="00914D5F">
      <w:r w:rsidRPr="00914D5F">
        <w:t>Temporal cost displacement creates similar problems when organizations allow current decisions to impose costs on future periods without requiring current decision-makers to account for those future costs. Administrators who defer maintenance, training, hiring, or equipment replacement to meet current budget targets push the costs of degraded capacity into future periods when different administrators will be in their positions. They receive credit for meeting current targets while the people who will work inside the degraded capacity, and the people who will be served by it, absorb the consequences. The organization loses the feedback mechanism that would normally discourage decisions that create more costs than benefits, because the costs and the benefits are assigned to different people separated by time.</w:t>
      </w:r>
    </w:p>
    <w:p w14:paraId="3D06E678" w14:textId="77777777" w:rsidR="006D7AF8" w:rsidRPr="006D7AF8" w:rsidRDefault="006D7AF8" w:rsidP="006D7AF8">
      <w:r w:rsidRPr="006D7AF8">
        <w:t>The pattern holds as long as costs remain invisible to the people who create them. When departments must account for the full costs of their decisions, including the support services they consume, the problems they generate downstream, and the long-term consequences of short-term savings, the incentive to externalize disappears. The difficulty is that making costs visible threatens every unit that has been optimizing its own scorecard at the expense of the organization as a whole.</w:t>
      </w:r>
    </w:p>
    <w:p w14:paraId="62F3B963" w14:textId="77777777" w:rsidR="00E25CED" w:rsidRDefault="00E25CED">
      <w:pPr>
        <w:pStyle w:val="Heading3"/>
      </w:pPr>
      <w:bookmarkStart w:id="78" w:name="_Toc227410707"/>
      <w:r>
        <w:t>The Reckoning That Never Comes</w:t>
      </w:r>
      <w:bookmarkEnd w:id="78"/>
    </w:p>
    <w:p w14:paraId="3A833372" w14:textId="77777777" w:rsidR="006D7AF8" w:rsidRPr="006D7AF8" w:rsidRDefault="006D7AF8" w:rsidP="006D7AF8">
      <w:r w:rsidRPr="006D7AF8">
        <w:t>Before organizations learn to deflect accountability, they learn something quieter: how to avoid being tested at all. The mechanisms described so far in this chapter, detached rewards, misaligned authority, displaced costs, tend to develop through institutional drift. But a different kind of failure sets in when organizations begin steering around any situation that would reveal what they can actually do. Instead of building competence through exposure to difficulty, they maintain the appearance of stability by making sure difficulty never arrives. The procedures are not designed to prevent improvement. They are designed to prevent the situations that would make improvement necessary.</w:t>
      </w:r>
    </w:p>
    <w:p w14:paraId="56597A4C" w14:textId="77777777" w:rsidR="006D7AF8" w:rsidRPr="006D7AF8" w:rsidRDefault="006D7AF8" w:rsidP="006D7AF8">
      <w:r w:rsidRPr="006D7AF8">
        <w:t>A county procurement office that has renewed the same small-vendor contracts for a decade no longer has anyone on staff who knows how to negotiate a complex supplier relationship. The expertise was not lost in a crisis. It simply was never built, because every year the office chose the path that did not require it. What started as a workaround became a dependency, and eventually a ceiling. Apparent stability masks growing fragility, and the fragility surfaces only when conditions shift and expose what was never built. What looked like institutional strength turns out to have been the absence of a test.</w:t>
      </w:r>
    </w:p>
    <w:p w14:paraId="41B5A64D" w14:textId="77777777" w:rsidR="006D7AF8" w:rsidRPr="006D7AF8" w:rsidRDefault="006D7AF8" w:rsidP="006D7AF8">
      <w:r w:rsidRPr="006D7AF8">
        <w:t>That absence can hold for years. But when conditions finally change, when a new mandate arrives, a budget crisis forces consolidation, or an external audit asks questions the organization has been carefully not asking itself, the gap between apparent capability and actual capability becomes a problem that can no longer be routed around. At that point, organizations do not typically confront the gap. They deploy more sophisticated defenses.</w:t>
      </w:r>
    </w:p>
    <w:p w14:paraId="70B9B901" w14:textId="77777777" w:rsidR="006D7AF8" w:rsidRPr="006D7AF8" w:rsidRDefault="006D7AF8" w:rsidP="006D7AF8">
      <w:r w:rsidRPr="006D7AF8">
        <w:t>The first defense is metric selection. Agencies that cannot accomplish their core mission shift attention to processing metrics that can be improved through operational tweaks. A workforce development program that cannot place participants in jobs reports the number of training sessions delivered. A child welfare agency that cannot reduce reentry into the system reports the number of family contacts logged. A school district that cannot improve student outcomes reports the percentage of teachers who completed required professional development. The metrics are real and the activities behind them happened. The question of whether any of it produced the outcome the agency exists to produce gets quietly removed from the conversation.</w:t>
      </w:r>
    </w:p>
    <w:p w14:paraId="1FFB3DD2" w14:textId="77777777" w:rsidR="006D7AF8" w:rsidRPr="006D7AF8" w:rsidRDefault="006D7AF8" w:rsidP="006D7AF8">
      <w:r w:rsidRPr="006D7AF8">
        <w:t>The second defense is expectation management. When metric selection cannot carry the weight, organizations redefine what success means. Service organizations that cannot help clients achieve independence reframe their mission around providing support instead of producing outcomes. Educational institutions that cannot improve learning reframe their mission around access and inclusion. Workforce programs that cannot place graduates reframe their mission around pathway development. The redefinitions contain enough truth to sound legitimate. They also serve to make actual performance unreviewable, because the new definitions are written specifically to be satisfied by whatever the organization is currently doing.</w:t>
      </w:r>
    </w:p>
    <w:p w14:paraId="43758CF1" w14:textId="77777777" w:rsidR="00914D5F" w:rsidRPr="00914D5F" w:rsidRDefault="00914D5F" w:rsidP="00914D5F">
      <w:r w:rsidRPr="00914D5F">
        <w:t>The third defense is problem redefinition. Operational failures are attributed to external factors allegedly beyond the organization's control. Inadequate funding, difficult populations, complex circumstances, structural conditions: all of these are sometimes real, and the organizations that invoke them are not always wrong. But the same vocabulary that legitimately describes hard conditions becomes a permanent shield against any internal scrutiny when an organization deploys it reflexively in response to every failure. Failure becomes evidence of the organization's heroic engagement with intractable problems, not evidence of any internal weakness in how it engages with them.</w:t>
      </w:r>
    </w:p>
    <w:p w14:paraId="1F867194" w14:textId="77777777" w:rsidR="00914D5F" w:rsidRPr="00914D5F" w:rsidRDefault="00914D5F" w:rsidP="00914D5F">
      <w:r w:rsidRPr="00914D5F">
        <w:t>The fourth defense is alliance-building. Organizations that have spent years not being tested learn to construct constituencies whose own interests are served by the organization's continuation regardless of its performance. The constituencies include funders whose budgets depend on the agency's existence, political principals whose careers depend on its visible success, vendors whose contracts depend on its purchasing patterns, and credentialing bodies whose authority depends on its participation. Once the alliance is in place, criticism of the organization is framed as criticism of the mission the organization claims to serve, and the criticism does not survive the framing.</w:t>
      </w:r>
    </w:p>
    <w:p w14:paraId="5956C0B7" w14:textId="77777777" w:rsidR="006D7AF8" w:rsidRPr="006D7AF8" w:rsidRDefault="006D7AF8" w:rsidP="006D7AF8">
      <w:r w:rsidRPr="006D7AF8">
        <w:t>These four defenses combine into something that operates well enough to protect the organization indefinitely. They do not protect anyone else. The frontline workers inside the organization absorb the costs of reckoning avoidance every day they work. The teachers in a district that has redefined success absorb the cost when their students arrive in subsequent grades unprepared, and the teachers in those subsequent grades absorb the cost a year later. The nurses in a hospital system that has reframed quality metrics absorb the cost when staffing decisions justified by the new metrics make the work unsafe. The caseworkers in an agency whose alliances have insulated it from review absorb the cost when caseloads expand without corresponding capacity. And the populations the organization exists to serve absorb the largest cost of all, because the organization that has stopped being able to fail has also stopped being able to learn, and the people who depend on what it produces get whatever it produces by default.</w:t>
      </w:r>
    </w:p>
    <w:p w14:paraId="702C09FD" w14:textId="77777777" w:rsidR="006D7AF8" w:rsidRPr="006D7AF8" w:rsidRDefault="006D7AF8" w:rsidP="006D7AF8">
      <w:r w:rsidRPr="006D7AF8">
        <w:t>How long this can last depends on whether an organization faces market feedback or political governance. Corporations that persistently avoid reckoning eventually face competitive pressure, acquisition, or bankruptcy: the market imposes the reckoning that internal culture will not. But politically governed institutions, the agencies, departments, and publicly funded organizations whose survival depends on legislative relationships rather than on performance results, can sustain this pattern for decades. The mechanisms are the same across both contexts. The timeline is not.</w:t>
      </w:r>
    </w:p>
    <w:p w14:paraId="6488231F" w14:textId="77777777" w:rsidR="006D7AF8" w:rsidRPr="006D7AF8" w:rsidRDefault="006D7AF8" w:rsidP="006D7AF8">
      <w:r w:rsidRPr="006D7AF8">
        <w:t>Understanding these patterns does not guarantee the ability to change them. But it does explain why institutional failure feels so frustrating and so persistent, and why the obvious solutions so often fail to work. The dysfunction is not a mystery requiring complex diagnosis. It is the predictable result of systems that have learned to separate work from consequences, to substitute the appearance of accountability for the reality of results, and to push the cost of doing both onto the people who have no authority to refuse.</w:t>
      </w:r>
    </w:p>
    <w:p w14:paraId="3EDB06DF" w14:textId="77777777" w:rsidR="00E25CED" w:rsidRDefault="00E25CED">
      <w:pPr>
        <w:pStyle w:val="Heading3"/>
      </w:pPr>
      <w:bookmarkStart w:id="79" w:name="_Toc227410708"/>
      <w:r>
        <w:t>Seeing the System You're Inside</w:t>
      </w:r>
      <w:bookmarkEnd w:id="79"/>
    </w:p>
    <w:p w14:paraId="73A37638" w14:textId="0F12BAF1" w:rsidR="00E25CED" w:rsidRDefault="00E25CED">
      <w:r>
        <w:t xml:space="preserve">A mid-level manager at a regional healthcare company notices that her team's quarterly reports have become an exercise in creative narrative. Results that missed targets get reframed as </w:t>
      </w:r>
      <w:r w:rsidR="00463E2E">
        <w:t>"</w:t>
      </w:r>
      <w:r>
        <w:t>progress toward goals.</w:t>
      </w:r>
      <w:r w:rsidR="00463E2E">
        <w:t>"</w:t>
      </w:r>
      <w:r>
        <w:t xml:space="preserve"> Metrics that declined get replaced by different metrics that held steady. Her boss reviews the reports, suggests minor wording changes, and submits them upward. Everyone knows. No one says.</w:t>
      </w:r>
    </w:p>
    <w:p w14:paraId="60FB410C" w14:textId="77777777" w:rsidR="00E25CED" w:rsidRDefault="00E25CED">
      <w:r>
        <w:t>She recognizes the pattern from this chapter: rewards detached from results, accountability without authority, costs pushed sideways, stability by avoidance. The question is what she does now.</w:t>
      </w:r>
    </w:p>
    <w:p w14:paraId="21FB4932" w14:textId="77777777" w:rsidR="00E25CED" w:rsidRDefault="00E25CED">
      <w:r>
        <w:t>She has four options, and each involves a tradeoff.</w:t>
      </w:r>
    </w:p>
    <w:p w14:paraId="4033C2DA" w14:textId="77777777" w:rsidR="00E25CED" w:rsidRDefault="00E25CED">
      <w:r>
        <w:t>The first is strategic compliance. She writes the reports the way the system rewards, does the best work she can within the real constraints, and stops expecting the official story to match reality. This preserves her standing and her sanity but changes nothing about the system.</w:t>
      </w:r>
    </w:p>
    <w:p w14:paraId="1CC70E2C" w14:textId="699661AB" w:rsidR="00E25CED" w:rsidRDefault="00E25CED">
      <w:r>
        <w:t>The second is selective noncompliance. She writes one section of the report honestly</w:t>
      </w:r>
      <w:r w:rsidR="0027248F">
        <w:t xml:space="preserve">: </w:t>
      </w:r>
      <w:r>
        <w:t>the section covering patient readmission rates, where the data is clear and the stakes are high, while continuing to frame the rest in the expected language. She accepts that this may draw scrutiny and prepares to explain her reasoning if asked. This changes one small part of the system and costs her some political capital.</w:t>
      </w:r>
    </w:p>
    <w:p w14:paraId="1B7773D2" w14:textId="292F1CB8" w:rsidR="00E25CED" w:rsidRDefault="00E25CED">
      <w:r>
        <w:t xml:space="preserve">The third is influence from within. She proposes a </w:t>
      </w:r>
      <w:r w:rsidR="00463E2E">
        <w:t>"</w:t>
      </w:r>
      <w:r>
        <w:t>metrics integrity review</w:t>
      </w:r>
      <w:r w:rsidR="00463E2E">
        <w:t>"</w:t>
      </w:r>
      <w:r>
        <w:t xml:space="preserve"> at the next leadership meeting, framed not as an accusation but as a quality improvement initiative, and positions it as making the organization's reports more useful for decision-making. She identifies one ally in senior leadership who she believes cares about this. This has the highest potential payoff and the highest risk of being perceived as a threat.</w:t>
      </w:r>
    </w:p>
    <w:p w14:paraId="50A2FDDA" w14:textId="77777777" w:rsidR="00E25CED" w:rsidRDefault="00E25CED">
      <w:r>
        <w:t>The fourth is exit. She updates her resume and begins exploring positions at organizations where she has reason to believe the gap between official values and actual incentives is smaller. She does this not in anger but in recognition that some systems are more expensive to fix from the inside than to leave.</w:t>
      </w:r>
    </w:p>
    <w:p w14:paraId="17F187BD" w14:textId="555EAF7D" w:rsidR="00E25CED" w:rsidRDefault="00E25CED">
      <w:r>
        <w:t xml:space="preserve">Paul O'Neill chose the third option when he became CEO of Alcoa in 1987. He inherited exactly the gap this chapter describes. Official values said safety mattered. Real incentives rewarded production volume regardless of who got hurt. Instead of launching a general transformation that the system could absorb and neutralize, he picked one metric where honest measurement could not be dismissed: workplace injuries. Safety was morally unchallengeable and structurally connected to every other operational failure, because you could not reduce injuries without understanding every step in the production process. Then he made the consequences real. Any manager who failed to report an injury immediately was fired, regardless of rank. When a senior executive at a plant in Mexico covered up a carbon monoxide leak that </w:t>
      </w:r>
      <w:r w:rsidR="00D77242" w:rsidRPr="00D77242">
        <w:t>poisoned 150 workers</w:t>
      </w:r>
      <w:r>
        <w:t xml:space="preserve">, O'Neill fired him. Lost workdays per </w:t>
      </w:r>
      <w:r w:rsidR="00D77242">
        <w:t>100</w:t>
      </w:r>
      <w:r>
        <w:t xml:space="preserve"> employees fell from 1.86 to 0.2. Market value rose from </w:t>
      </w:r>
      <w:r w:rsidR="00D77242">
        <w:t>$3 billion to $27 billion</w:t>
      </w:r>
      <w:r>
        <w:t>. The safety gains had cascaded into process improvements, communication improvements, and cost reductions that the old two-rulebook system had kept invisible. O'Neill did not close the gap between official values and real incentives across every dimension at once. He found the one place where closing it could not be framed as a threat, and he made the cost of dishonesty higher than the cost of honesty.</w:t>
      </w:r>
    </w:p>
    <w:p w14:paraId="27F11496" w14:textId="097D8EAA" w:rsidR="00E25CED" w:rsidRDefault="00E25CED">
      <w:r>
        <w:t>None of these options is costless. That is the point. The system described in this chapter persists precisely because every option for changing it carries a price, and inaction feels free. But inaction has its own cost: she becomes someone who participates in institutional dishonesty and gradually loses the capacity to distinguish between what is real and what is reported. The frameworks in this chapter do not eliminate that cost. They make it visible</w:t>
      </w:r>
      <w:r w:rsidR="00D77242">
        <w:t xml:space="preserve">, </w:t>
      </w:r>
      <w:r>
        <w:t>which is when it becomes a choice instead of a drift.</w:t>
      </w:r>
    </w:p>
    <w:p w14:paraId="1B80C93F" w14:textId="77777777" w:rsidR="00914D5F" w:rsidRPr="00914D5F" w:rsidRDefault="00914D5F" w:rsidP="00914D5F">
      <w:r w:rsidRPr="00914D5F">
        <w:t>Taken together, the patterns traced in these chapters are not unsolvable puzzles. They share a common root: the refusal to accept that resources are limited and choices have costs. What would it look like to reason differently: to start from limits instead of resisting them, to treat tradeoffs as practical realities instead of moral accusations? That is the subject of what follows.</w:t>
      </w:r>
    </w:p>
    <w:p w14:paraId="66AF7770" w14:textId="43547E5F" w:rsidR="00E25CED" w:rsidRDefault="00E25CED">
      <w:pPr>
        <w:sectPr w:rsidR="00E25CED" w:rsidSect="00E25CED">
          <w:footerReference w:type="default" r:id="rId41"/>
          <w:footerReference w:type="first" r:id="rId42"/>
          <w:endnotePr>
            <w:numFmt w:val="decimal"/>
          </w:endnotePr>
          <w:pgSz w:w="12240" w:h="15840"/>
          <w:pgMar w:top="1440" w:right="1440" w:bottom="1440" w:left="1440" w:header="0" w:footer="720" w:gutter="0"/>
          <w:cols w:space="720"/>
          <w:formProt w:val="0"/>
          <w:docGrid w:linePitch="100"/>
        </w:sectPr>
      </w:pPr>
    </w:p>
    <w:p w14:paraId="7485DF52" w14:textId="77777777" w:rsidR="00E25CED" w:rsidRDefault="00E25CED">
      <w:pPr>
        <w:pStyle w:val="Heading2"/>
      </w:pPr>
      <w:bookmarkStart w:id="80" w:name="_Toc227410709"/>
      <w:r>
        <w:t>Economics Is About Limits</w:t>
      </w:r>
      <w:bookmarkEnd w:id="80"/>
    </w:p>
    <w:p w14:paraId="5BF33C6B" w14:textId="77777777" w:rsidR="006D7AF8" w:rsidRPr="006D7AF8" w:rsidRDefault="006D7AF8" w:rsidP="006D7AF8">
      <w:r w:rsidRPr="006D7AF8">
        <w:t>Most readers can name a moment when they took on a commitment they would not have taken on if they had let themselves see what it actually cost. A house bought at the peak of a salary that turned out to be the peak. A graduate program entered on the assumption that the income to repay it would arrive. A career trajectory accepted on the assumption that the time and attention it required could be borrowed indefinitely from sleep, from family, from the parts of life that do not generate meeting invitations. A move to a city for a job that did not survive its first downturn. A renovation, a vehicle, a wedding, a second child, a parent moving in, a startup founded on a credit card. The decisions felt different from each other in the moment. In structure they were identical. Each one rested on the assumption that a constraint could be held off, deferred, or worked around through additional effort, additional borrowing, additional commitment, or additional belief that things would work out. In each case, the constraint was real the entire time. The refusal to acknowledge it did not make it disappear. It just made the eventual arrival more expensive than the acknowledgment would have been.</w:t>
      </w:r>
    </w:p>
    <w:p w14:paraId="0319D87E" w14:textId="77777777" w:rsidR="000A6067" w:rsidRDefault="006D7AF8" w:rsidP="004A7168">
      <w:r w:rsidRPr="006D7AF8">
        <w:t>This chapter is about the reality underneath every chapter that preceded it: economics is about limits, and the refusal to accept that is the most expensive form of the ignorance tax there is</w:t>
      </w:r>
      <w:r w:rsidR="000A6067">
        <w:t>.</w:t>
      </w:r>
    </w:p>
    <w:p w14:paraId="2A9A3869" w14:textId="498EB746" w:rsidR="006D7AF8" w:rsidRPr="006D7AF8" w:rsidRDefault="006D7AF8" w:rsidP="006D7AF8">
      <w:r w:rsidRPr="006D7AF8">
        <w:t>Everything in this chapter, the reader has already seen. Scarcity, tradeoffs, second-order consequences, the discomfort of accepting constraints: these have been operating beneath every case study, every policy failure, every institutional dysfunction the preceding chapters examined. The cobra breeders and the VA administrators, the rent-controlled apartments and the Kansas City classrooms, the voter who punishes honesty and the believer who treats correction as attack: every pattern traced in this book has been a pattern of limits denied, costs deferred, or tradeoffs refused. The previous two chapters traced how those refusals land on the people who navigate household finance and on the people who work inside the institutions other people designed. This chapter traces how the same pattern operates in your own thinking about what is possible and what is not. The diagnosis arrives late on purpose. It lands harder after you have watched the pattern work in other people's decisions than it would have if the book had led with definitions.</w:t>
      </w:r>
    </w:p>
    <w:p w14:paraId="133CECBF" w14:textId="77777777" w:rsidR="00E25CED" w:rsidRDefault="00E25CED">
      <w:pPr>
        <w:pStyle w:val="Heading3"/>
      </w:pPr>
      <w:bookmarkStart w:id="81" w:name="_Toc227410710"/>
      <w:r>
        <w:t>Scarcity as the Starting Point</w:t>
      </w:r>
      <w:bookmarkEnd w:id="81"/>
    </w:p>
    <w:p w14:paraId="7D7AE1FC" w14:textId="77777777" w:rsidR="000A6067" w:rsidRPr="000A6067" w:rsidRDefault="000A6067" w:rsidP="000A6067">
      <w:r w:rsidRPr="000A6067">
        <w:t>By now, the pattern should be familiar. Every chapter in this book has circled the same reality: you cannot spend the same dollar twice, devote the same hour to two commitments, or give your full attention to competing priorities simultaneously. You feel this every time you choose between spending a Saturday afternoon with your children or catching up on work that has been piling up all week. You feel it when you decide whether to save or spend, whether to say yes to one thing knowing it means saying no to something else. The feeling is so ordinary that it barely registers as economic reasoning. But it is. Every economic question begins with exactly this kind of scarcity, whether or not the scarcity is acknowledged.</w:t>
      </w:r>
    </w:p>
    <w:p w14:paraId="77F6A02A" w14:textId="77777777" w:rsidR="006D7AF8" w:rsidRPr="006D7AF8" w:rsidRDefault="006D7AF8" w:rsidP="006D7AF8">
      <w:r w:rsidRPr="006D7AF8">
        <w:t>Scarcity-first thinking feels uncomfortable because it immediately introduces conflict and competition into decisions people prefer to treat as expressions of values. The decision about whether to take a job that pays more but requires a longer commute becomes a calculation about which hours of your week you are willing to convert into income and which hours you are not. The decision about whether to commit to coaching a child's team becomes an honest accounting of which other obligations will get less of you because of the commitment. The decision about whether to help an aging parent becomes a question about which parts of your own career, marriage, friendships, or health will absorb the time that helping requires. None of these are new questions. The discomfort comes from being forced to answer them in the language of tradeoffs rather than in the language of intentions.</w:t>
      </w:r>
    </w:p>
    <w:p w14:paraId="4B6B7161" w14:textId="77777777" w:rsidR="006D7AF8" w:rsidRPr="006D7AF8" w:rsidRDefault="006D7AF8" w:rsidP="006D7AF8">
      <w:r w:rsidRPr="006D7AF8">
        <w:t>Money is the most obvious scarce resource, but time is equally limited and often more important. Every reader has experienced the moment when they realized that a commitment they had agreed to in principle would have to be paid for in hours they did not actually have. The schedule that looked workable when each commitment was added one at a time turns out, in aggregate, to require more hours than the week contains. The math was always there. The choice not to do the math was a choice to discover the constraint by failure rather than by acknowledgment.</w:t>
      </w:r>
    </w:p>
    <w:p w14:paraId="720F43E9" w14:textId="77777777" w:rsidR="000A6067" w:rsidRPr="000A6067" w:rsidRDefault="000A6067" w:rsidP="000A6067">
      <w:r w:rsidRPr="000A6067">
        <w:t>Attention represents another scarce resource that is routinely ignored, and not only by institutions. The person who takes on a demanding new project at work while also volunteering on a board, parenting two children through difficult years, training for a half-marathon, and trying to maintain a marriage is not facing a money problem or even, strictly, a time problem. They are facing an attention problem. Each of these commitments requires not just hours but the kind of engaged focus that cannot be split, batched, or recovered through caffeine. When attention runs out, the commitments do not stop demanding it. They start receiving the version of attention the person can still produce, which is degraded, distracted, and increasingly resented by everyone who depends on it.</w:t>
      </w:r>
    </w:p>
    <w:p w14:paraId="5E4C77A0" w14:textId="77777777" w:rsidR="006D7AF8" w:rsidRPr="006D7AF8" w:rsidRDefault="006D7AF8" w:rsidP="006D7AF8">
      <w:r w:rsidRPr="006D7AF8">
        <w:t>Social capital operates the same way at human scale that political capital operates at institutional scale. Every reader has a finite stock of credibility, goodwill, and accumulated reciprocity inside their family, their workplace, their friendships, and their community. Each request for help, each favor asked, each commitment broken, each disagreement pursued draws on that stock. The person who treats their social capital as inexhaustible, who assumes that the relationships will be there when needed regardless of how often or how heavily they are drawn upon, eventually discovers that the stock is not infinite and that it does not refill on demand.</w:t>
      </w:r>
    </w:p>
    <w:p w14:paraId="369618DB" w14:textId="77777777" w:rsidR="006D7AF8" w:rsidRPr="006D7AF8" w:rsidRDefault="006D7AF8" w:rsidP="006D7AF8">
      <w:r w:rsidRPr="006D7AF8">
        <w:t>The scarcity of good ideas and proven solutions is the constraint people are most likely to refuse to acknowledge inside their own lives. The implicit assumption behind most of the ambitious commitments people make is that effective solutions already exist and just need sufficient effort. The person who takes on a complex life change, a new business, a major lifestyle reinvention, a stretch career move, often does so on the assumption that the playbook is figured out and that successful execution is mostly a matter of will. The bottleneck is rarely will. It is usually understanding. Effort applied without understanding produces expensive disappointment at every scale, from a household renovation that grows unrecognizable from its original plan to a career pivot that consumes years before the person realizes they did not understand what the new field actually rewarded.</w:t>
      </w:r>
    </w:p>
    <w:p w14:paraId="37445A55" w14:textId="77777777" w:rsidR="006D7AF8" w:rsidRPr="006D7AF8" w:rsidRDefault="006D7AF8" w:rsidP="006D7AF8">
      <w:r w:rsidRPr="006D7AF8">
        <w:t>Acknowledging scarcity as the starting point does not mean accepting current resource levels as fixed or optimal. It means recognizing that increasing resources in one area requires decreasing them in another, that every choice involves opportunity costs, and that the effectiveness of resource use matters as much as the quantity. Inside a life, that recognition is the difference between a series of commitments that compound into a coherent existence and a series of commitments that collide into an exhausted one.</w:t>
      </w:r>
    </w:p>
    <w:p w14:paraId="544A4160" w14:textId="77777777" w:rsidR="006D7AF8" w:rsidRPr="006D7AF8" w:rsidRDefault="006D7AF8" w:rsidP="006D7AF8">
      <w:r w:rsidRPr="006D7AF8">
        <w:t>The same pattern that produces an exhausted life produces a collapsed economy when applied at national scale. Venezuela sits on the largest proven oil reserves on the planet. In the early 2000s, surging oil prices made it one of the wealthiest countries in Latin America. Hugo Chávez built a political project premised on the same idea every reader has at some point tried to build a life on: that constraints are optional if the will to overcome them is strong enough. Price controls kept goods artificially cheap. The government nationalized industries. Currency controls fixed exchange rates that bore no relationship to actual market conditions. Social spending expanded massively, funded almost entirely by a single commodity. The math only worked as long as oil prices stayed high, and the government operated as though they would stay high forever because the alternative required accepting limits that the political project had been built to deny. When oil prices collapsed in 2014, every suppressed constraint surfaced at once. Inflation eventually exceeded a million percent. Hospitals ran out of basic supplies. Millions of Venezuelans fled the country in one of the largest displacement crises in the Western Hemisphere. The constraints were real the entire time. The scale of the eventual reckoning was a function of how completely they had been refused.</w:t>
      </w:r>
    </w:p>
    <w:p w14:paraId="3FBAD931" w14:textId="77777777" w:rsidR="006D7AF8" w:rsidRPr="006D7AF8" w:rsidRDefault="006D7AF8" w:rsidP="006D7AF8">
      <w:r w:rsidRPr="006D7AF8">
        <w:t>The pattern at national scale and the pattern at personal scale are the same pattern. The currencies are different. The arithmetic is identical.</w:t>
      </w:r>
    </w:p>
    <w:p w14:paraId="54387E89" w14:textId="77777777" w:rsidR="00E25CED" w:rsidRDefault="00E25CED">
      <w:pPr>
        <w:pStyle w:val="Heading3"/>
      </w:pPr>
      <w:bookmarkStart w:id="82" w:name="_Toc227410711"/>
      <w:r>
        <w:t>Tradeoffs Are Not Moral Choices</w:t>
      </w:r>
      <w:bookmarkEnd w:id="82"/>
    </w:p>
    <w:p w14:paraId="13244509" w14:textId="77777777" w:rsidR="000A6067" w:rsidRDefault="000A6067" w:rsidP="006D7AF8">
      <w:r w:rsidRPr="000A6067">
        <w:t>A persistent confusion in the way people argue with themselves is the treatment of tradeoffs as moral decisions instead of practical realities. When someone notices that taking a job that pays more means seeing their family less, the observation is read internally as a verdict about which they value more, as if acknowledging the tradeoff reveals something damning about their priorities. The tradeoff itself becomes a moral position rather than a factual description of what their week contains.</w:t>
      </w:r>
    </w:p>
    <w:p w14:paraId="06C28AD3" w14:textId="77777777" w:rsidR="000A6067" w:rsidRPr="000A6067" w:rsidRDefault="000A6067" w:rsidP="000A6067">
      <w:r w:rsidRPr="000A6067">
        <w:t>This moral interpretation makes productive internal reasoning difficult. The person who calculates that helping an aging parent at the level the parent needs will require slowing their own career feels accused, by their own honesty, of insufficient love for the parent. The person who acknowledges that a third child will reshape their marriage, their finances, and their other children's experience for two decades feels accused, by their own honesty, of insufficient commitment to family. But the accusations miss the point. Tradeoffs exist independently of anyone's values. Limited resources mean that every choice involves giving up alternatives, regardless of what moral framework guides the choice. The person who values their parent above all else still faces tradeoffs between different ways of helping. The person who prioritizes family above career still must choose among different ways of being present.</w:t>
      </w:r>
    </w:p>
    <w:p w14:paraId="67B99E7C" w14:textId="77777777" w:rsidR="006D7AF8" w:rsidRPr="006D7AF8" w:rsidRDefault="006D7AF8" w:rsidP="006D7AF8">
      <w:r w:rsidRPr="006D7AF8">
        <w:t>Tradeoffs operate within value categories in ways that make the moral interpretation even more disabling. Someone who wants to be a good parent must choose between spending evenings reading with their children and spending evenings preparing for the meeting that will determine whether they get the promotion that funds their children's college. Both choices serve the same value. Neither is the wrong choice. The tradeoff is not between caring about the children and not caring about the children. It is between different ways of caring when the resources of one life cannot pursue all of them simultaneously.</w:t>
      </w:r>
    </w:p>
    <w:p w14:paraId="4C90C3C7" w14:textId="77777777" w:rsidR="000A6067" w:rsidRPr="000A6067" w:rsidRDefault="000A6067" w:rsidP="000A6067">
      <w:r w:rsidRPr="000A6067">
        <w:t>Moral consensus does not resolve the difficulty. Even when you agree with yourself about goals, choices about methods and priorities remain, and those choices cannot be settled by arguing about values. The honest internal accounting that asks which approach will actually produce the outcome you want is not a betrayal of the goal. It is the only way the goal has a chance of being reached. When that accounting is dismissed as cold, calculating, or insufficiently committed, the ability to learn from approaches that did not work disappears with it. Failures are attributed to insufficient sincerity rather than to the specific choices that produced them, and the next attempt repeats the same structure with more determination.</w:t>
      </w:r>
    </w:p>
    <w:p w14:paraId="7D4DCEC1" w14:textId="77777777" w:rsidR="006D7AF8" w:rsidRPr="006D7AF8" w:rsidRDefault="006D7AF8" w:rsidP="006D7AF8">
      <w:r w:rsidRPr="006D7AF8">
        <w:t>Tradeoffs become particularly invisible when they involve time delays. The decision to commit to one thing today often forecloses options for addressing different problems later. The career path you accept in your thirties shapes the options available in your fifties. The financial commitments you take on in good years constrain the moves you can make when conditions change. These delayed tradeoffs are just as real as immediate ones, but they are harder to see, and what is harder to see is easier to refuse.</w:t>
      </w:r>
    </w:p>
    <w:p w14:paraId="2D01B07C" w14:textId="77777777" w:rsidR="006D7AF8" w:rsidRPr="006D7AF8" w:rsidRDefault="006D7AF8" w:rsidP="006D7AF8">
      <w:r w:rsidRPr="006D7AF8">
        <w:t>Tradeoffs that span time also link your present decisions to your future self. The current version of you decides what the future version of you will be required to honor, sustain, pay for, or work around. The future version does not get to participate in the current decision. The intergenerational version of this problem operates inside a single life: the person you will be in twenty years inherits the consequences of the person you are now, and the person you are now is making commitments on behalf of someone who has no vote.</w:t>
      </w:r>
    </w:p>
    <w:p w14:paraId="34DC4DF4" w14:textId="77777777" w:rsidR="006D7AF8" w:rsidRPr="006D7AF8" w:rsidRDefault="006D7AF8" w:rsidP="006D7AF8">
      <w:r w:rsidRPr="006D7AF8">
        <w:t>Tradeoffs that involve time delays also point toward a deeper discipline. When you commit to a course of action, the question is not just what you intend but what you will trigger once your own real responses to the new conditions begin to operate. This is second-order thinking applied to your own life: the habit of asking what happens next, not in terms of the goal but in terms of what you will actually do when the new conditions arrive. The debt taken on to fund a degree assumes a future self who will accept the lifestyle constraints required to repay it. The job accepted across the country assumes a future self who will absorb the loss of every relationship that does not survive the move. The lifestyle taken on at a peak assumes a future self who will tolerate the work required to sustain it. These futures are not hypothetical. They are the predictable behavioral responses of the person you actually are to the conditions you are about to create.</w:t>
      </w:r>
    </w:p>
    <w:p w14:paraId="02A7595E" w14:textId="77777777" w:rsidR="006D7AF8" w:rsidRPr="006D7AF8" w:rsidRDefault="006D7AF8" w:rsidP="006D7AF8">
      <w:r w:rsidRPr="006D7AF8">
        <w:t>The same pattern that produces failed policies produces failed life decisions. Welfare phase-outs that discourage the work they were designed to support, accountability systems that reward test preparation over learning, sentencing laws that manufacture the recidivism they were designed to prevent: these are the institutional version of what happens inside a single life when someone designs commitments around the version of themselves they wish they were rather than the version they actually are. Goals do not achieve themselves. They have to be designed for, by someone with a clear view of what the constrained, tired, distracted, real version of them will actually do once the conditions get hard.</w:t>
      </w:r>
    </w:p>
    <w:p w14:paraId="691C28D0" w14:textId="77777777" w:rsidR="006D7AF8" w:rsidRPr="006D7AF8" w:rsidRDefault="006D7AF8" w:rsidP="006D7AF8">
      <w:r w:rsidRPr="006D7AF8">
        <w:t>Understanding tradeoffs as practical realities rather than moral positions changes what becomes possible. It turns the conversation from position-taking to problem-solving. Tradeoffs cannot be eliminated through better intentions, more resources, or stronger commitment. They can only be managed through better understanding of costs, consequences, and the behavioral responses that determine whether anything works.</w:t>
      </w:r>
    </w:p>
    <w:p w14:paraId="7856A035" w14:textId="77777777" w:rsidR="006D7AF8" w:rsidRPr="006D7AF8" w:rsidRDefault="006D7AF8" w:rsidP="006D7AF8">
      <w:r w:rsidRPr="006D7AF8">
        <w:t>You have faced this yourself, and not just in political arguments. The decision about whether to take a higher-paying job that demands more hours, whether to help an aging parent at the cost of your own career momentum: these are not hypothetical policy exercises. They are your life, governed by the same constraints this chapter describes. The reason these choices feel agonizing is not that you lack values. It is that your values exceed your resources, and no amount of conviction changes the arithmetic.</w:t>
      </w:r>
    </w:p>
    <w:p w14:paraId="2E4D10A2" w14:textId="77777777" w:rsidR="006D7AF8" w:rsidRPr="006D7AF8" w:rsidRDefault="006D7AF8" w:rsidP="006D7AF8">
      <w:r w:rsidRPr="006D7AF8">
        <w:t>Over the course of my life, I have experienced this tradeoff many times. When I enlisted in the Army at 18, the tradeoff was not complicated, but it was real. What was familiar felt hopeless. What was unfamiliar offered hope. I traded proximity to everyone I knew for a chance at something I could not yet describe, and the cost of that exchange followed me for years in the best possible way.</w:t>
      </w:r>
    </w:p>
    <w:p w14:paraId="0599622E" w14:textId="77777777" w:rsidR="00E25CED" w:rsidRDefault="00E25CED">
      <w:pPr>
        <w:pStyle w:val="Heading3"/>
      </w:pPr>
      <w:bookmarkStart w:id="83" w:name="_Toc227410712"/>
      <w:r>
        <w:t>Why This Feels Uncomfortable</w:t>
      </w:r>
      <w:bookmarkEnd w:id="83"/>
    </w:p>
    <w:p w14:paraId="685832C9" w14:textId="77777777" w:rsidR="00E25CED" w:rsidRDefault="00E25CED">
      <w:r>
        <w:t>If you have read this far and felt occasional resistance, a sense that something important is being left out, that real human suffering deserves more than cost-benefit calculations, then that resistance is worth examining. Not because it is wrong, but because understanding where it comes from changes what you can do with it.</w:t>
      </w:r>
    </w:p>
    <w:p w14:paraId="1AA12C14" w14:textId="77777777" w:rsidR="00E25CED" w:rsidRDefault="00E25CED">
      <w:r>
        <w:t>The discomfort stems partly from how economic thinking appears to treat people as selfish calculators who respond only to material incentives, not as moral agents capable of acting according to principles and values that transcend narrow self-interest. When economists predict that people will respond to policy changes in ways that serve their individual interests, not social goals, this prediction sounds like cynicism about human nature, not realistic assessment of how incentive structures influence behavior.</w:t>
      </w:r>
    </w:p>
    <w:p w14:paraId="3424B3B0" w14:textId="77777777" w:rsidR="00E25CED" w:rsidRDefault="00E25CED">
      <w:r>
        <w:t>But this framing mistakes description for prescription. Economic thinking does not claim that people should respond to incentives or that self-interest is morally superior to altruism. It observes that people do respond to incentives, even when those people are compassionate and well-intentioned. The welfare recipient who calculates whether working will make their family better or worse off is not being selfish. They are being responsible. The teacher who devotes more time to test preparation when accountability systems emphasize test scores is not abandoning educational ideals; they are adapting to the constraints institutional design has created. Understanding these responses does not mean approving of the incentive structures that produce them. It means recognizing that changing outcomes requires changing incentives, not just appealing to better intentions.</w:t>
      </w:r>
    </w:p>
    <w:p w14:paraId="7F0E3828" w14:textId="754B2703" w:rsidR="00E25CED" w:rsidRDefault="00E25CED">
      <w:r>
        <w:t>There is also the matter of urgency. When people are suffering from problems that seem solvable, insisting on careful analysis feels like delay, and emphasizing unintended consequences sounds like making excuses for inaction. The tension is real, but it points in a direction most people do not expect. The policy analyst who anticipates how behavioral responses might undermine a well-intentioned program is not opposing that program</w:t>
      </w:r>
      <w:r w:rsidR="00463E2E">
        <w:t>'</w:t>
      </w:r>
      <w:r>
        <w:t>s goals. They are trying to design something that actually achieves them. The urgency of the problem is precisely the reason to get the analysis right.</w:t>
      </w:r>
    </w:p>
    <w:p w14:paraId="0EFCF19D" w14:textId="77777777" w:rsidR="00DB0413" w:rsidRDefault="00DB0413" w:rsidP="00E84637">
      <w:r w:rsidRPr="00DB0413">
        <w:t>A deeper source of resistance is the genuine conflict between economic analysis and cultural beliefs about human potential and social progress. Modern affluent societies have experienced dramatic improvements in living standards and technology over the past century. These improvements create reasonable expectations that current problems can be solved just as previous problems were solved through human ingenuity and resource mobilization. The economic insistence that some problems may be genuinely difficult or that some solutions may create new problems can feel like unnecessary pessimism about human capabilities.</w:t>
      </w:r>
    </w:p>
    <w:p w14:paraId="1CAD862C" w14:textId="440856F6" w:rsidR="00E84637" w:rsidRPr="00E84637" w:rsidRDefault="00E84637" w:rsidP="00E84637">
      <w:r w:rsidRPr="00E84637">
        <w:t>Acknowledging difficulty is not accepting defeat. It is describing the conditions under which genuine progress becomes possible. The century of dramatic improvement that fuels our optimism did not come from ignoring constraints; it came from understanding them well enough to work within and around them. Solutions had to be discovered, tested, and refined. Good intentions had to be combined with practical competence. Moral commitment had to be matched by knowledge of what actually works. That process is harder and slower than simply implementing the obvious answer through force of will. It is also the only process that has ever reliably produced lasting improvement.</w:t>
      </w:r>
    </w:p>
    <w:p w14:paraId="26D7893F" w14:textId="77777777" w:rsidR="00DB0413" w:rsidRPr="00DB0413" w:rsidRDefault="00DB0413" w:rsidP="00DB0413">
      <w:r w:rsidRPr="00DB0413">
        <w:t>Popular programs that lack clear evidence of effectiveness pose a sharper version of this problem. The social program that makes participants and providers feel good about themselves may not improve participants' long-term prospects. The educational reform that generates enthusiasm may not enhance student learning. This uncertainty is uncomfortable, but it becomes productive when it drives better evaluation and more adaptive policy design instead of either paralysis or unfounded confidence.</w:t>
      </w:r>
    </w:p>
    <w:p w14:paraId="494D5423" w14:textId="77777777" w:rsidR="00E84637" w:rsidRPr="00E84637" w:rsidRDefault="00E84637" w:rsidP="00E84637">
      <w:r w:rsidRPr="00E84637">
        <w:t>Said plainly: the discomfort with economic thinking reflects the gap between what we want to be true about the world and what is actually true. Closing this gap requires accepting reality as the starting point for moral action instead of treating moral aspirations as sufficient to change reality. This acceptance does not mean abandoning moral goals but pursuing them through methods that work within the world as it exists, not methods that would work in a world where resources are unlimited, incentives do not matter, and good intentions automatically produce good outcomes. When moral aspirations are grounded in how the world actually works, they stop being aspirations and start becoming achievements. That is what the economic lens offers: not a reason to care less, but a way to make caring count.</w:t>
      </w:r>
    </w:p>
    <w:p w14:paraId="00BE5334" w14:textId="77777777" w:rsidR="00E25CED" w:rsidRDefault="00E25CED">
      <w:pPr>
        <w:pStyle w:val="Heading3"/>
      </w:pPr>
      <w:bookmarkStart w:id="84" w:name="_Toc227410713"/>
      <w:r>
        <w:t>Three Resources, One Decision</w:t>
      </w:r>
      <w:bookmarkEnd w:id="84"/>
    </w:p>
    <w:p w14:paraId="5DA18891" w14:textId="77777777" w:rsidR="00AA58EF" w:rsidRPr="00AA58EF" w:rsidRDefault="00AA58EF" w:rsidP="00AA58EF">
      <w:r w:rsidRPr="00AA58EF">
        <w:t>A reader is offered a promotion. The new role pays substantially more, includes a title that will read well on a resume for the rest of their career, and represents the kind of opportunity that does not come around twice. The board of the volunteer organization they have served for six years is enthusiastic on their behalf. Their spouse is supportive. The numbers, on first look, are clear. They sit down on a Sunday evening to think it through.</w:t>
      </w:r>
    </w:p>
    <w:p w14:paraId="19010A01" w14:textId="77777777" w:rsidR="00AA58EF" w:rsidRPr="00AA58EF" w:rsidRDefault="00AA58EF" w:rsidP="00AA58EF">
      <w:r w:rsidRPr="00AA58EF">
        <w:t>Under Money, the picture looks fine. The salary increase covers the additional commute costs, the higher tax bracket, the daycare expansion they had been putting off. The math adds up.</w:t>
      </w:r>
    </w:p>
    <w:p w14:paraId="57E98E58" w14:textId="77777777" w:rsidR="00AA58EF" w:rsidRPr="00AA58EF" w:rsidRDefault="00AA58EF" w:rsidP="00AA58EF">
      <w:r w:rsidRPr="00AA58EF">
        <w:t>They pull out a yellow pad and draw three columns: Time, Money, Attention.</w:t>
      </w:r>
    </w:p>
    <w:p w14:paraId="3606B8D6" w14:textId="77777777" w:rsidR="00AA58EF" w:rsidRPr="00AA58EF" w:rsidRDefault="00AA58EF" w:rsidP="00AA58EF">
      <w:r w:rsidRPr="00AA58EF">
        <w:t>Under Time, the picture shifts. The new role requires regular evening calls with the international team and quarterly travel they had not had to do before. They estimate the actual weekly hours, including the work that will follow them home and the work that will require them to be on at hours their current role lets them be off. The hours that disappear are hours that currently go to their kids, their marriage, their training, and the volunteer organization they have served for six years. They write down what those hours are currently producing in the parts of their life that do not generate paychecks.</w:t>
      </w:r>
    </w:p>
    <w:p w14:paraId="3AEDAEAD" w14:textId="77777777" w:rsidR="00AA58EF" w:rsidRPr="00AA58EF" w:rsidRDefault="00AA58EF" w:rsidP="00AA58EF">
      <w:r w:rsidRPr="00AA58EF">
        <w:t>Under Attention, the picture shifts again. The new role does not just require more hours. It requires the kind of focused, anxious, present cognition that does not switch off cleanly when the laptop closes. They call a friend who took a similar promotion three years ago. The friend confirms: "The work itself isn't the problem. The fact that it's always partway running in your head is the problem. I haven't had a real Saturday in eighteen months."</w:t>
      </w:r>
    </w:p>
    <w:p w14:paraId="4B5300E2" w14:textId="77777777" w:rsidR="00AA58EF" w:rsidRPr="00AA58EF" w:rsidRDefault="00AA58EF" w:rsidP="00AA58EF">
      <w:r w:rsidRPr="00AA58EF">
        <w:t>They look at the three columns together. The Money column says yes. The Time column says yes only if they are willing to give up the volunteer board, reduce their training to maintenance, and accept that they will be a different kind of parent for the next several years. The Attention column says that the marriage and the relationships with the kids will not get the version of them they have spent years building, because that version cannot be sustained when the cognitive baseline is set somewhere else.</w:t>
      </w:r>
    </w:p>
    <w:p w14:paraId="4A55B65E" w14:textId="77777777" w:rsidR="00AA58EF" w:rsidRPr="00AA58EF" w:rsidRDefault="00AA58EF" w:rsidP="00AA58EF">
      <w:r w:rsidRPr="00AA58EF">
        <w:t>They had been looking at one column. They now see three.</w:t>
      </w:r>
    </w:p>
    <w:p w14:paraId="55420CF0" w14:textId="77777777" w:rsidR="00AA58EF" w:rsidRPr="00AA58EF" w:rsidRDefault="00AA58EF" w:rsidP="00AA58EF">
      <w:r w:rsidRPr="00AA58EF">
        <w:t>They do not necessarily decline the promotion. They might take it. But they take it, if they take it, having seen what it actually costs across all three resources, and having decided in advance which sacrifices they will accept and which they will not. They negotiate the travel down. They tell the volunteer board they will be stepping back. They schedule a recurring weekly time with their spouse that the new job is not allowed to override. The decision they make is not the decision that would have been made by looking only at money. It is more honest, and more likely to survive contact with the year that follows.</w:t>
      </w:r>
    </w:p>
    <w:p w14:paraId="27F51F59" w14:textId="77777777" w:rsidR="00DB0413" w:rsidRPr="00DB0413" w:rsidRDefault="00DB0413" w:rsidP="00DB0413">
      <w:r w:rsidRPr="00DB0413">
        <w:t>The discipline is not complicated. Before any significant commitment, identify what it costs in all three columns: not just money, but time and attention. Assume these three resources do not substitute for each other. You cannot solve a time problem by spending money, and you cannot solve an attention problem by spending time. Look at all three columns before deciding. The decision that looks obvious in one column rarely looks obvious in three.</w:t>
      </w:r>
    </w:p>
    <w:p w14:paraId="63EE870C" w14:textId="77777777" w:rsidR="00AA58EF" w:rsidRDefault="00AA58EF" w:rsidP="00AA58EF">
      <w:r w:rsidRPr="00AA58EF">
        <w:t>Southwest Airlines built a 50-year business on that discipline. Flying only Boeing 737s looks like a constraint in the money column. Different aircraft types are more efficient on different routes, and a mixed fleet lets an airline match capacity to demand. But the time column tells a different story. Training crews on multiple aircraft types, maintaining separate parts inventories, and managing crew certifications for each type consume resources that no amount of spending can recover. The attention column tells a third story. When every gate crew can service every plane and every pilot can fly every route, operational complexity drops enough to free management to focus on what actually differentiates the airline. Southwest was profitable for 47 consecutive years before COVID broke the streak. The decision that looked like a limitation in one column had been a competitive advantage across three.</w:t>
      </w:r>
    </w:p>
    <w:p w14:paraId="4FB79D34" w14:textId="77777777" w:rsidR="0001086C" w:rsidRPr="0001086C" w:rsidRDefault="0001086C" w:rsidP="0001086C">
      <w:r w:rsidRPr="0001086C">
        <w:t>Every tool in this chapter, and every corrective the book has offered, depends on something the preceding pages have taken for granted. The discipline of seeing scarcity, acknowledging tradeoffs, and thinking past the first visible effect requires information reliable enough to reason about and the cognitive equipment to evaluate what that information contains. Both have been assumed. Neither is guaranteed.</w:t>
      </w:r>
    </w:p>
    <w:p w14:paraId="53360137" w14:textId="77777777" w:rsidR="0001086C" w:rsidRPr="00AA58EF" w:rsidRDefault="0001086C" w:rsidP="00AA58EF"/>
    <w:p w14:paraId="19808ED3" w14:textId="24F4C7CB" w:rsidR="00987062" w:rsidRPr="00987062" w:rsidRDefault="00987062" w:rsidP="00987062"/>
    <w:p w14:paraId="78BC1ECA" w14:textId="77777777" w:rsidR="00987062" w:rsidRDefault="00987062">
      <w:pPr>
        <w:sectPr w:rsidR="00987062" w:rsidSect="00E25CED">
          <w:footerReference w:type="default" r:id="rId43"/>
          <w:footerReference w:type="first" r:id="rId44"/>
          <w:endnotePr>
            <w:numFmt w:val="decimal"/>
          </w:endnotePr>
          <w:pgSz w:w="12240" w:h="15840"/>
          <w:pgMar w:top="1440" w:right="1440" w:bottom="1440" w:left="1440" w:header="0" w:footer="720" w:gutter="0"/>
          <w:cols w:space="720"/>
          <w:formProt w:val="0"/>
          <w:docGrid w:linePitch="100"/>
        </w:sectPr>
      </w:pPr>
    </w:p>
    <w:p w14:paraId="71773CA4" w14:textId="06F407B4" w:rsidR="001A5E1F" w:rsidRDefault="001A5E1F" w:rsidP="005E4766">
      <w:pPr>
        <w:pStyle w:val="Heading1"/>
      </w:pPr>
      <w:bookmarkStart w:id="85" w:name="_Ref226197201"/>
      <w:bookmarkStart w:id="86" w:name="_Ref226197417"/>
      <w:bookmarkStart w:id="87" w:name="_Toc227410714"/>
      <w:r>
        <w:t xml:space="preserve">PART IV: </w:t>
      </w:r>
      <w:r w:rsidRPr="001A5E1F">
        <w:t>The Illusion's Deepest Cost</w:t>
      </w:r>
      <w:bookmarkEnd w:id="85"/>
      <w:bookmarkEnd w:id="86"/>
      <w:bookmarkEnd w:id="87"/>
    </w:p>
    <w:p w14:paraId="1C5E60FE" w14:textId="77777777" w:rsidR="00377D25" w:rsidRPr="00377D25" w:rsidRDefault="00377D25" w:rsidP="00377D25">
      <w:r w:rsidRPr="00377D25">
        <w:t>The first three parts of this book examined the illusion from the outside in. What it is, how it operates, why it persists, and what it looks like when you find it running in your own decisions and your own workplace. The tools developed along the way share an assumption so basic it never needed to be stated: that a careful thinker, armed with the right questions, can improve their understanding of what is actually true. That the information environment is noisy but navigable. That the cognitive equipment people bring to it, while imperfect, is adequate to the task if they are willing to do the work.</w:t>
      </w:r>
    </w:p>
    <w:p w14:paraId="268D7DD6" w14:textId="77777777" w:rsidR="00D922B6" w:rsidRPr="00D922B6" w:rsidRDefault="00D922B6" w:rsidP="00D922B6">
      <w:r w:rsidRPr="00D922B6">
        <w:t>These chapters examine what happens when both of those conditions begin to fail.</w:t>
      </w:r>
    </w:p>
    <w:p w14:paraId="0968540D" w14:textId="77777777" w:rsidR="00377D25" w:rsidRPr="00377D25" w:rsidRDefault="00377D25" w:rsidP="00377D25">
      <w:r w:rsidRPr="00377D25">
        <w:t>The information environment is degrading. AI-generated content is flooding the space where verified knowledge used to live, and the cost of producing convincing falsehoods is collapsing while the cost of detecting them remains high. Independently, and through an entirely different mechanism, the cognitive capacity to evaluate quantitative claims has been eroded by an education system that stopped requiring the work that develops it. Both degradations took hold inside a culture that had already begun treating the tools that reveal constraints as morally suspect rather than merely imperfect. One is an external problem. The other is internal. Neither caused the other. They are connected only by where they arrive. And underneath both, operating through an analytical error so fundamental it has gone unexamined for as long as the systems it shapes have existed, is the mechanism that connects these two degradations to every pattern this book has described.</w:t>
      </w:r>
    </w:p>
    <w:p w14:paraId="22CDA8C5" w14:textId="7200947C" w:rsidR="00D922B6" w:rsidRPr="00D922B6" w:rsidRDefault="00D922B6" w:rsidP="00D922B6">
      <w:r w:rsidRPr="00D922B6">
        <w:t>The framework this book has built is what makes that convergence visible. It is also what is at stake if the convergence continues.</w:t>
      </w:r>
    </w:p>
    <w:p w14:paraId="1A6B19C1" w14:textId="4D5447C6" w:rsidR="001A5E1F" w:rsidRPr="001A5E1F" w:rsidRDefault="001A5E1F" w:rsidP="001A5E1F">
      <w:pPr>
        <w:sectPr w:rsidR="001A5E1F" w:rsidRPr="001A5E1F" w:rsidSect="00E25CED">
          <w:footerReference w:type="default" r:id="rId45"/>
          <w:footerReference w:type="first" r:id="rId46"/>
          <w:endnotePr>
            <w:numFmt w:val="decimal"/>
          </w:endnotePr>
          <w:pgSz w:w="12240" w:h="15840"/>
          <w:pgMar w:top="1440" w:right="1440" w:bottom="1440" w:left="1440" w:header="0" w:footer="720" w:gutter="0"/>
          <w:cols w:space="720"/>
          <w:formProt w:val="0"/>
          <w:docGrid w:linePitch="100"/>
        </w:sectPr>
      </w:pPr>
    </w:p>
    <w:p w14:paraId="63F62417" w14:textId="77777777" w:rsidR="00E25CED" w:rsidRDefault="00E25CED">
      <w:pPr>
        <w:pStyle w:val="Heading2"/>
      </w:pPr>
      <w:bookmarkStart w:id="88" w:name="_Ref226197191"/>
      <w:bookmarkStart w:id="89" w:name="_Ref226197387"/>
      <w:bookmarkStart w:id="90" w:name="_Toc227410715"/>
      <w:r>
        <w:t>The Epistemic Commons</w:t>
      </w:r>
      <w:bookmarkEnd w:id="88"/>
      <w:bookmarkEnd w:id="89"/>
      <w:bookmarkEnd w:id="90"/>
    </w:p>
    <w:p w14:paraId="74D3782B" w14:textId="77777777" w:rsidR="00E25CED" w:rsidRDefault="00E25CED">
      <w:r>
        <w:t>On the morning of May 22, 2023, an AI-generated image of a massive explosion at the Pentagon appeared on Twitter. The account that posted it called itself Bloomberg Feed, mimicking the name and style of the actual Bloomberg news service. The image showed a column of black smoke rising from what appeared to be the side of the building, with emergency vehicles in the foreground and debris scattered across the lawn. None of it was real. The building in the image did not closely resemble the Pentagon. The fence in the foreground melted into crowd barriers in a way no physical structure could. To anyone who looked carefully, the tells were visible.</w:t>
      </w:r>
    </w:p>
    <w:p w14:paraId="6FB60673" w14:textId="77777777" w:rsidR="00E25CED" w:rsidRDefault="00E25CED">
      <w:r>
        <w:t>No one looked carefully.</w:t>
      </w:r>
    </w:p>
    <w:p w14:paraId="35225B4B" w14:textId="77777777" w:rsidR="00E25CED" w:rsidRDefault="00E25CED">
      <w:r>
        <w:t>Within minutes, the image was shared by dozens of accounts carrying blue verification checkmarks, the symbols that once meant a platform had confirmed you were who you claimed to be. A cryptocurrency account with half a million followers posted it as breaking news. RT, the Russian state media network, amplified it to its three million followers. Republic TV, a major Indian television network, put it on the air as a confirmed report, citing the Russian outlet as its source. The image moved from a single anonymous post to international broadcast television in less time than it takes to read this paragraph.</w:t>
      </w:r>
    </w:p>
    <w:p w14:paraId="02152D48" w14:textId="20B8D894" w:rsidR="00E25CED" w:rsidRDefault="00E25CED">
      <w:r>
        <w:t xml:space="preserve">The stock market noticed before the journalists did. Between 10:06 and 10:10 a.m., the S&amp;P 500 dropped from a slight gain to a loss of 0.15 percent. The Dow fell roughly </w:t>
      </w:r>
      <w:r w:rsidR="00415A80">
        <w:t>80</w:t>
      </w:r>
      <w:r>
        <w:t xml:space="preserve"> points. Automated trading systems, designed to react faster than humans can think, processed the signal and moved billions of dollars before anyone had verified whether the Pentagon was actually on fire. It was not. The Arlington County Fire Department issued a statement within minutes: there was no explosion, no incident of any kind. The market recovered by 10:13</w:t>
      </w:r>
      <w:r w:rsidR="00C624D9">
        <w:t xml:space="preserve"> a.m</w:t>
      </w:r>
      <w:r>
        <w:t>.</w:t>
      </w:r>
    </w:p>
    <w:p w14:paraId="0176DF41" w14:textId="77777777" w:rsidR="00E25CED" w:rsidRDefault="00E25CED">
      <w:r>
        <w:t>Seven minutes. That is how long it took for a picture that never happened to travel from an anonymous account to the global financial system, trigger a measurable reaction, get broadcast as fact on international television, and get corrected. The correction worked, this time, because the claim was dramatic enough to check and simple enough to debunk. A building is either on fire or it is not. Call the fire department.</w:t>
      </w:r>
    </w:p>
    <w:p w14:paraId="485F67A7" w14:textId="77777777" w:rsidR="00E25CED" w:rsidRDefault="00E25CED">
      <w:r>
        <w:t>But notice what the seven minutes revealed. The entire sequence, from fabrication to international broadcast to market reaction, ran on a single assumption: that images appearing in the information environment have some connection to events in the physical world. That is the assumption every person makes every time they encounter a piece of information and decide whether to act on it. It is the foundation of every decision described in this book, from the voter evaluating a policy claim to the homeowner calculating a renovation budget to the administrator reviewing a program's outcomes. The assumption is not that all information is perfect. It is that the information environment has enough fidelity that careful reasoning can improve your understanding.</w:t>
      </w:r>
    </w:p>
    <w:p w14:paraId="0F18547F" w14:textId="77777777" w:rsidR="00E25CED" w:rsidRDefault="00E25CED">
      <w:r>
        <w:t>The Pentagon image did not challenge that assumption. It was caught too quickly. But the technology that produced it is not going away. It generates convincing content at near-zero cost, with no mechanism for distinguishing what it creates from what actually happened. It is getting cheaper, faster, and better at passing casual inspection. The gap between what can be faked and what can be detected is widening, and it is widening in the wrong direction.</w:t>
      </w:r>
    </w:p>
    <w:p w14:paraId="336E42E9" w14:textId="77777777" w:rsidR="00E25CED" w:rsidRDefault="00E25CED">
      <w:r>
        <w:t>One cost is not being discussed.</w:t>
      </w:r>
    </w:p>
    <w:p w14:paraId="2809B605" w14:textId="77777777" w:rsidR="00E25CED" w:rsidRDefault="00E25CED">
      <w:pPr>
        <w:pStyle w:val="Heading3"/>
      </w:pPr>
      <w:bookmarkStart w:id="91" w:name="_Toc227410716"/>
      <w:r>
        <w:t>The Pattern in Real Time</w:t>
      </w:r>
      <w:bookmarkEnd w:id="91"/>
    </w:p>
    <w:p w14:paraId="17989B56" w14:textId="77777777" w:rsidR="00E25CED" w:rsidRDefault="00E25CED">
      <w:r>
        <w:t>The patterns diagnosed throughout this book are not historical curiosities. They are operating right now, at civilization scale, in the technology everyone is celebrating.</w:t>
      </w:r>
    </w:p>
    <w:p w14:paraId="548BEA96" w14:textId="77777777" w:rsidR="00E25CED" w:rsidRDefault="00E25CED">
      <w:r>
        <w:t>Consider how the conversation about artificial intelligence is structured. The benefits are concrete, immediate, demonstrable. The costs, when acknowledged at all, are treated as temporary limitations: bugs to be fixed, problems to be engineered away, friction that will smooth out in the next version.</w:t>
      </w:r>
    </w:p>
    <w:p w14:paraId="16B36D1D" w14:textId="77777777" w:rsidR="00E25CED" w:rsidRDefault="00E25CED">
      <w:r>
        <w:t>This is free lunch thinking applied to information itself.</w:t>
      </w:r>
    </w:p>
    <w:p w14:paraId="7C6DA53B" w14:textId="77777777" w:rsidR="00E25CED" w:rsidRDefault="00E25CED">
      <w:r>
        <w:t>The systems produce text that sounds authoritative regardless of whether it is true. They generate plausible-sounding citations to sources that do not exist.</w:t>
      </w:r>
      <w:r>
        <w:rPr>
          <w:rStyle w:val="EndnoteReference"/>
        </w:rPr>
        <w:endnoteReference w:id="79"/>
      </w:r>
      <w:r>
        <w:t xml:space="preserve"> They cannot reliably distinguish between what they know and what they are fabricating on the fly. This is not a bug being fixed. It is a structural feature of systems trained to produce fluent, convincing text, systems that have no mechanism for checking their outputs against reality.</w:t>
      </w:r>
    </w:p>
    <w:p w14:paraId="1568D560" w14:textId="77777777" w:rsidR="00E25CED" w:rsidRDefault="00E25CED">
      <w:r>
        <w:t>In 2023, a New York attorney used ChatGPT to research a personal injury case and submitted a brief to federal court citing six legal precedents. None of them existed. The system had generated complete fabrications: fake case names, fake docket numbers, fake judicial opinions with fake internal citations. When opposing counsel could not locate the cases, the attorney went back to ChatGPT and asked whether they were real. It assured him they were, and could be found on LexisNexis and Westlaw. He submitted that assurance to the court as well. The judge sanctioned both attorneys and their firm. The case made national news, but the pattern it revealed is more important than the embarrassment it caused. The system did not malfunction. It performed exactly as designed: it produced fluent, convincing text. It had no way of knowing, and no mechanism for caring, whether any of it was true.</w:t>
      </w:r>
    </w:p>
    <w:p w14:paraId="71CE90F9" w14:textId="77777777" w:rsidR="00E25CED" w:rsidRDefault="00E25CED">
      <w:r>
        <w:t>The response from the industry follows a familiar script: these problems are being worked on, reliability is improving, the next model will be better. The framing treats unreliability as a temporary stage on a known trajectory toward trustworthiness, not as an architectural feature that may be inherent to how these systems work.</w:t>
      </w:r>
    </w:p>
    <w:p w14:paraId="1C9C9D24" w14:textId="77777777" w:rsidR="00E25CED" w:rsidRDefault="00E25CED">
      <w:r>
        <w:t>Meanwhile, the systems are deployed anyway. Millions of people use them daily: businesses integrate them into workflows, students rely on them for research, professionals for drafting and analysis. People treat the unreliability as an acceptable cost of early adoption, a price worth paying for the benefits.</w:t>
      </w:r>
    </w:p>
    <w:p w14:paraId="3F452B25" w14:textId="4F034C19" w:rsidR="00E25CED" w:rsidRDefault="00E25CED">
      <w:r>
        <w:t>Now consider what happens when you predict how people will actually use these systems. The refusal to expect behavioral responses to new incentives, a pattern diagnosed throughout this book, operates here with particular force. Everyone knows that bad actors will exploit tools that generate convincing falsehoods at scale. Fraud, disinformation, impersonation, manipulation. None of this is speculative. It is already happening.</w:t>
      </w:r>
      <w:r>
        <w:rPr>
          <w:rStyle w:val="EndnoteReference"/>
        </w:rPr>
        <w:endnoteReference w:id="80"/>
      </w:r>
      <w:r>
        <w:t xml:space="preserve"> The predictions are not pessimistic; they are obvious to anyone who thinks for </w:t>
      </w:r>
      <w:r w:rsidR="00415A80">
        <w:t>30</w:t>
      </w:r>
      <w:r>
        <w:t xml:space="preserve"> seconds about incentives.</w:t>
      </w:r>
    </w:p>
    <w:p w14:paraId="5B9505B4" w14:textId="11A102B4" w:rsidR="00E25CED" w:rsidRDefault="00E25CED">
      <w:r>
        <w:t xml:space="preserve">In January 2024, a finance worker at the British engineering firm Arup joined a video call with what appeared to be his company's chief financial officer and several colleagues. Every person on the call was a deepfake. The worker followed their instructions to make </w:t>
      </w:r>
      <w:r w:rsidR="00415A80">
        <w:t>15</w:t>
      </w:r>
      <w:r>
        <w:t xml:space="preserve"> wire transfers totaling $25.6 million. The money was never recovered. The technology that made the call possible costs a fraction of what it stole.</w:t>
      </w:r>
    </w:p>
    <w:p w14:paraId="7F08AD5E" w14:textId="18A60E58" w:rsidR="00E25CED" w:rsidRDefault="00E25CED">
      <w:r>
        <w:t xml:space="preserve">The response is dismissal. Anyone who dwells on these uses gets called a </w:t>
      </w:r>
      <w:proofErr w:type="spellStart"/>
      <w:r>
        <w:t>doomer</w:t>
      </w:r>
      <w:proofErr w:type="spellEnd"/>
      <w:r>
        <w:t>, a Luddite, a person who doesn</w:t>
      </w:r>
      <w:r w:rsidR="00463E2E">
        <w:t>'</w:t>
      </w:r>
      <w:r>
        <w:t xml:space="preserve">t understand the technology or appreciate its potential. The </w:t>
      </w:r>
      <w:r w:rsidR="00463E2E">
        <w:t>"</w:t>
      </w:r>
      <w:r>
        <w:t>no one would do that</w:t>
      </w:r>
      <w:r w:rsidR="00463E2E">
        <w:t>"</w:t>
      </w:r>
      <w:r>
        <w:t xml:space="preserve"> reflex, the instinct to treat predictions about behavioral responses as moral accusations instead of analytical observations, operates exactly as it does in every other domain this book has examined. The people building these systems are not stupid. They know what will happen. They ship anyway, promising to mitigate later. The costs will be borne by someone else.</w:t>
      </w:r>
    </w:p>
    <w:p w14:paraId="0AEFED55" w14:textId="77777777" w:rsidR="00E25CED" w:rsidRDefault="00E25CED">
      <w:r>
        <w:t>And what are those costs? This is where the pattern reaches its fullest expression.</w:t>
      </w:r>
    </w:p>
    <w:p w14:paraId="317084DC" w14:textId="0CAE5AE4" w:rsidR="00E25CED" w:rsidRDefault="00E25CED">
      <w:r>
        <w:t xml:space="preserve">The degradation of shared epistemological ground does not appear on any balance sheet. There is no line item for </w:t>
      </w:r>
      <w:r w:rsidR="00463E2E">
        <w:t>"</w:t>
      </w:r>
      <w:r>
        <w:t>civilization's ability to distinguish true from false.</w:t>
      </w:r>
      <w:r w:rsidR="00463E2E">
        <w:t>"</w:t>
      </w:r>
      <w:r>
        <w:t xml:space="preserve"> There is no quarterly report tracking </w:t>
      </w:r>
      <w:r w:rsidR="00463E2E">
        <w:t>"</w:t>
      </w:r>
      <w:r>
        <w:t>public capacity to verify claims.</w:t>
      </w:r>
      <w:r w:rsidR="00463E2E">
        <w:t>"</w:t>
      </w:r>
      <w:r>
        <w:t xml:space="preserve"> The cost is real, but it is not the kind of cost that gets measured, because it is not the kind of cost that looks like a cost. It looks like nothing. It looks like the gradual, invisible erosion of something we used to take for granted.</w:t>
      </w:r>
    </w:p>
    <w:p w14:paraId="44A5C17D" w14:textId="77777777" w:rsidR="00E25CED" w:rsidRDefault="00E25CED">
      <w:r>
        <w:t>The people building these systems are not villains. Many are genuinely working to make the technology safer. Their intentions are not in question. But good intentions do not substitute for good systems. The belief that you are doing something beneficial does not change the architecture of what you have built. The engineers and executives working on artificial intelligence are subject to the same dynamics as everyone else in this book: the tendency to focus on intended benefits, the difficulty of seeing unintended costs, the social pressure to be optimistic over realistic, the incentives that reward deployment over caution.</w:t>
      </w:r>
    </w:p>
    <w:p w14:paraId="25FCC2E3" w14:textId="77777777" w:rsidR="00E25CED" w:rsidRDefault="00E25CED">
      <w:r>
        <w:t>Notice the pattern is not new. What is new is the domain where it is operating.</w:t>
      </w:r>
    </w:p>
    <w:p w14:paraId="6CCD3636" w14:textId="77777777" w:rsidR="00E25CED" w:rsidRDefault="00E25CED">
      <w:pPr>
        <w:pStyle w:val="Heading3"/>
      </w:pPr>
      <w:bookmarkStart w:id="92" w:name="_Toc227410717"/>
      <w:r>
        <w:t>The Ultimate Cost</w:t>
      </w:r>
      <w:bookmarkEnd w:id="92"/>
    </w:p>
    <w:p w14:paraId="17A594DB" w14:textId="77777777" w:rsidR="00E25CED" w:rsidRDefault="00E25CED">
      <w:r>
        <w:t>Every example in this book shows free lunch thinking producing hidden costs in a specific domain. In every case, the costs are real but bounded. They damage a system, distort a market, waste resources, harm people within that domain. But the damage, however severe, is contained. You can eventually see it if you learn to look. You can trace it, measure it, name it.</w:t>
      </w:r>
    </w:p>
    <w:p w14:paraId="464C43F0" w14:textId="77777777" w:rsidR="00E25CED" w:rsidRDefault="00E25CED">
      <w:r>
        <w:t>Artificial intelligence is different. The domain is not education or healthcare or policy or personal finance. The domain is information itself. The infrastructure of knowing.</w:t>
      </w:r>
    </w:p>
    <w:p w14:paraId="76D738BC" w14:textId="77777777" w:rsidR="00E25CED" w:rsidRDefault="00E25CED">
      <w:r>
        <w:t>This is free lunch thinking applied to the capacity to distinguish true from false.</w:t>
      </w:r>
    </w:p>
    <w:p w14:paraId="39A86960" w14:textId="77777777" w:rsidR="00E25CED" w:rsidRDefault="00E25CED">
      <w:r>
        <w:t>The costs of unreliable information systems do not stay in one place. They do not affect only the people who use the systems or the companies that deploy them. They propagate. An AI-generated falsehood does not announce itself. It enters the information environment and circulates like everything else. It gets repeated, cited, built upon. It becomes part of the background. The proportion of information that cannot be trusted increases, and the effort required to verify anything increases with it.</w:t>
      </w:r>
    </w:p>
    <w:p w14:paraId="0CDF6311" w14:textId="77777777" w:rsidR="00E25CED" w:rsidRDefault="00E25CED">
      <w:r>
        <w:t>The Pentagon image was caught because the claim was dramatic and the check was simple: call the fire department. But most fabrications are not explosions. They are statistics, citations, historical claims, policy details. A fabricated statistic about recidivism rates enters a policy brief. The brief is cited in a newspaper column. The column is referenced in a legislative hearing. By the time anyone checks the original number, it has been laundered through three layers of apparent credibility, and the people citing it have no idea they are building on a fabrication. Each repetition makes the claim harder to challenge, because challenging it now means challenging everyone who repeated it.</w:t>
      </w:r>
    </w:p>
    <w:p w14:paraId="70E838D2" w14:textId="77777777" w:rsidR="00E25CED" w:rsidRDefault="00E25CED">
      <w:r>
        <w:t>None of this is prediction about some distant future. It is a description of what is already happening. The information environment is being flooded with text and images generated by systems that do not know or care whether what they produce is true. Some of this content is created with intent to deceive. Much of it is created carelessly, by people who do not check whether the systems they use are giving them accurate information. The intent matters less than the effect. The effect is dilution. The effect is the slow degradation of the signal-to-noise ratio in human communication.</w:t>
      </w:r>
    </w:p>
    <w:p w14:paraId="17D8D298" w14:textId="77777777" w:rsidR="00E25CED" w:rsidRDefault="00E25CED">
      <w:r>
        <w:t>Consider what this means for the framework taught in this book.</w:t>
      </w:r>
    </w:p>
    <w:p w14:paraId="7413BFE5" w14:textId="46B40C1D" w:rsidR="00E25CED" w:rsidRDefault="00E25CED">
      <w:r>
        <w:t xml:space="preserve">The skill of asking </w:t>
      </w:r>
      <w:r w:rsidR="00463E2E">
        <w:t>"</w:t>
      </w:r>
      <w:r>
        <w:t>compared to what?</w:t>
      </w:r>
      <w:r w:rsidR="00463E2E">
        <w:t>"</w:t>
      </w:r>
      <w:r>
        <w:t xml:space="preserve"> depends on being able to know what actually happened. If you cannot verify the baseline, you cannot evaluate the alternative. Tracing second-order effects depends on trusting what you know about first-order effects, and if you cannot confirm what the initial intervention actually did, what happened next becomes unknowable. Seeing hidden costs depends on reliable information about outcomes. If the information itself is unreliable, the costs stay hidden no matter how carefully you look.</w:t>
      </w:r>
    </w:p>
    <w:p w14:paraId="34B5BA9D" w14:textId="77777777" w:rsidR="00E25CED" w:rsidRDefault="00E25CED">
      <w:r>
        <w:t>Every tool listed in the Action Phase of each chapter assumes something that is starting to become unsafe to assume: that the information you are reasoning about has some connection to reality. Not perfect information. That has never existed. But information with enough fidelity that careful reasoning can improve your understanding. Information where effort and attention can separate true from false, signal from noise, pattern from illusion.</w:t>
      </w:r>
    </w:p>
    <w:p w14:paraId="3AC4EDC8" w14:textId="77777777" w:rsidR="00E25CED" w:rsidRDefault="00E25CED">
      <w:r>
        <w:t>That assumption is eroding.</w:t>
      </w:r>
    </w:p>
    <w:p w14:paraId="2FE2D5D8" w14:textId="29DBE9ED" w:rsidR="00E25CED" w:rsidRDefault="00E25CED">
      <w:r>
        <w:t>The defenders of the current trajectory will point out that misinformation existed before AI, that verifying information has always required effort.</w:t>
      </w:r>
      <w:r w:rsidR="00270E11">
        <w:rPr>
          <w:rStyle w:val="EndnoteReference"/>
        </w:rPr>
        <w:endnoteReference w:id="81"/>
      </w:r>
      <w:r>
        <w:t xml:space="preserve"> This is true. But it misses the structural change. The cost of producing convincing falsehoods has collapsed.</w:t>
      </w:r>
      <w:r>
        <w:rPr>
          <w:rStyle w:val="EndnoteReference"/>
        </w:rPr>
        <w:endnoteReference w:id="82"/>
      </w:r>
      <w:r>
        <w:t xml:space="preserve"> The volume of unverified and unverifiable content is exploding. The tools for generating convincing text are now available to anyone. The asymmetry between creating misinformation and detecting it has shifted dramatically, and it has shifted in the wrong direction.</w:t>
      </w:r>
    </w:p>
    <w:p w14:paraId="2C327E2F" w14:textId="77777777" w:rsidR="00E25CED" w:rsidRDefault="00E25CED">
      <w:r>
        <w:t>There is a name for what is being lost. Philosophers call it the epistemic commons: the shared infrastructure of facts, evidence, and verification that allows a society to reason together about what is true. Like other commons, it can be degraded. Like other commons, its degradation is a collective action problem. Every company deploying AI, every platform amplifying engagement over accuracy faces incentives that make sense locally. The costs are borne collectively. No one is in charge of protecting the commons because no one owns it.</w:t>
      </w:r>
    </w:p>
    <w:p w14:paraId="281FAC30" w14:textId="77777777" w:rsidR="00E25CED" w:rsidRDefault="00E25CED">
      <w:r>
        <w:t>Here is the ultimate version of that pattern: refusing to acknowledge the costs of deploying systems that cannot distinguish true from false, and paying those costs in the currency of collective knowledge itself.</w:t>
      </w:r>
    </w:p>
    <w:p w14:paraId="621D827B" w14:textId="77777777" w:rsidR="00E25CED" w:rsidRDefault="00E25CED">
      <w:r>
        <w:t>If the epistemic commons degrades far enough, the framework in this book becomes impossible to apply. Not because the framework is wrong. Because the conditions for using it no longer exist. You cannot reason carefully about tradeoffs in an environment where you cannot verify what the tradeoffs actually are. You cannot see hidden costs when the entire information environment has become a hall of mirrors.</w:t>
      </w:r>
    </w:p>
    <w:p w14:paraId="212388BE" w14:textId="77777777" w:rsidR="00E25CED" w:rsidRDefault="00E25CED">
      <w:r>
        <w:t>That is the ultimate ignorance tax: the loss of the ability to see clearly at all.</w:t>
      </w:r>
    </w:p>
    <w:p w14:paraId="6B41B59D" w14:textId="77777777" w:rsidR="00E25CED" w:rsidRDefault="00E25CED">
      <w:pPr>
        <w:pStyle w:val="Heading3"/>
      </w:pPr>
      <w:bookmarkStart w:id="93" w:name="_Toc227410718"/>
      <w:r>
        <w:t>Why This Matters Now</w:t>
      </w:r>
      <w:bookmarkEnd w:id="93"/>
    </w:p>
    <w:p w14:paraId="52E14B02" w14:textId="77777777" w:rsidR="00E25CED" w:rsidRDefault="00E25CED">
      <w:r>
        <w:t>Nothing written here is prediction. This is not a warning about what might happen if we are not careful. It is a description of what is already happening while most people look elsewhere.</w:t>
      </w:r>
    </w:p>
    <w:p w14:paraId="2807790C" w14:textId="394F9620" w:rsidR="00E25CED" w:rsidRDefault="00E25CED">
      <w:r>
        <w:t xml:space="preserve">The information environment has already changed. AI-generated content now saturates search results, social media, academic work, journalism, and customer interactions, </w:t>
      </w:r>
      <w:r w:rsidR="00944A25" w:rsidRPr="00944A25">
        <w:t>much of it difficult or impossible to distinguish from human-created content</w:t>
      </w:r>
      <w:r>
        <w:t>.</w:t>
      </w:r>
      <w:r>
        <w:rPr>
          <w:rStyle w:val="EndnoteReference"/>
        </w:rPr>
        <w:endnoteReference w:id="83"/>
      </w:r>
      <w:r>
        <w:rPr>
          <w:vertAlign w:val="superscript"/>
        </w:rPr>
        <w:t xml:space="preserve">, </w:t>
      </w:r>
      <w:r>
        <w:rPr>
          <w:rStyle w:val="EndnoteReference"/>
        </w:rPr>
        <w:endnoteReference w:id="84"/>
      </w:r>
      <w:r>
        <w:t xml:space="preserve"> </w:t>
      </w:r>
      <w:r w:rsidR="00944A25" w:rsidRPr="00944A25">
        <w:t>The boundaries between authentic and synthetic</w:t>
      </w:r>
      <w:r>
        <w:t>, between verified and fabricated, are blurring faster than most people realize.</w:t>
      </w:r>
    </w:p>
    <w:p w14:paraId="41BB9BB9" w14:textId="77777777" w:rsidR="00E25CED" w:rsidRDefault="00E25CED">
      <w:r>
        <w:t>So far, the response has been adaptation, not resistance. People are learning to live with unreliability. They are adjusting their expectations downward. They are developing a kind of permanent low-grade skepticism that treats everything as potentially fake without doing the work to determine what actually is fake. This is not critical thinking. It is exhaustion disguised as sophistication. It is the slow surrender of the expectation that information should be true.</w:t>
      </w:r>
    </w:p>
    <w:p w14:paraId="5551E44B" w14:textId="77777777" w:rsidR="00E25CED" w:rsidRDefault="00E25CED">
      <w:r>
        <w:t>Adaptation is itself a cost, paid invisibly. Every hour spent trying to verify whether a source is real, whether an image has been manipulated, whether a voice on a call is human: that is time not spent on the actual work of thinking, deciding, creating. The tax is levied in attention, in the friction that accumulates when trust cannot be assumed. It does not appear in any measure of productivity. It is simply the new normal, an overhead cost baked into every interaction with information.</w:t>
      </w:r>
    </w:p>
    <w:p w14:paraId="41AFF427" w14:textId="77777777" w:rsidR="00E25CED" w:rsidRDefault="00E25CED">
      <w:r>
        <w:t>This is the hidden-cost pattern from the first chapter of this book, operating in its purest form. No one decided to impose this cost. No one is collecting it. It emerged as a structural consequence of deploying systems optimized for fluency in an environment that depends on accuracy. The people paying it do not experience it as a tax. They experience it as the way things are now.</w:t>
      </w:r>
    </w:p>
    <w:p w14:paraId="16364D05" w14:textId="77777777" w:rsidR="00E25CED" w:rsidRDefault="00E25CED">
      <w:r>
        <w:t>Meanwhile, the systems continue to improve in the wrong dimension. They become more fluent, more convincing, more capable of producing text and images and audio and video that pass casual inspection. The gap between what can be faked and what can be detected widens. The skills required to identify synthetic content become more specialized, more technical, less accessible to ordinary people trying to navigate their daily information diet. The asymmetry is structural, not personal.</w:t>
      </w:r>
    </w:p>
    <w:p w14:paraId="3C356BEB" w14:textId="77777777" w:rsidR="00E25CED" w:rsidRDefault="00E25CED">
      <w:r>
        <w:t>Researchers who study misinformation, engineers who build detection systems, journalists who track synthetic media: the people closest to this problem are increasingly pessimistic about the trajectory.</w:t>
      </w:r>
      <w:r>
        <w:rPr>
          <w:rStyle w:val="EndnoteReference"/>
        </w:rPr>
        <w:endnoteReference w:id="85"/>
      </w:r>
      <w:r>
        <w:t xml:space="preserve"> Not because they are </w:t>
      </w:r>
      <w:proofErr w:type="spellStart"/>
      <w:r>
        <w:t>doomers</w:t>
      </w:r>
      <w:proofErr w:type="spellEnd"/>
      <w:r>
        <w:t xml:space="preserve"> or technophobes, but because they understand the math. Production is cheap and getting cheaper. Detection is expensive and getting harder. The economics do not favor truth.</w:t>
      </w:r>
      <w:r>
        <w:rPr>
          <w:rStyle w:val="EndnoteReference"/>
        </w:rPr>
        <w:endnoteReference w:id="86"/>
      </w:r>
      <w:r>
        <w:t xml:space="preserve"> </w:t>
      </w:r>
    </w:p>
    <w:p w14:paraId="6879EB90" w14:textId="77777777" w:rsidR="00E25CED" w:rsidRDefault="00E25CED">
      <w:r>
        <w:t>None of this means that truth is impossible or that all information is now suspect. That conclusion would be its own form of surrender, and it would be wrong. Reliable sources still exist. Verification is still possible. Expertise still matters. The institutions and individuals who do the slow, unglamorous work of checking facts, maintaining standards, and insisting on evidence have not disappeared. They are harder to find, and their work is harder to do, and the environment rewards them less than it used to. But the infrastructure of knowing has not collapsed. It has become more expensive to maintain. The capacity to distinguish true from false now requires more effort, more attention, and more discipline than it did a decade ago. That is the cost. Not the end of knowledge, but the rising price of it. The ignorance tax is rising.</w:t>
      </w:r>
    </w:p>
    <w:p w14:paraId="284EE14F" w14:textId="77777777" w:rsidR="00E25CED" w:rsidRDefault="00E25CED">
      <w:r>
        <w:t>And that is precisely why the skills in this book matter now more than they have ever mattered.</w:t>
      </w:r>
    </w:p>
    <w:p w14:paraId="7526600C" w14:textId="77777777" w:rsidR="00E25CED" w:rsidRDefault="00E25CED">
      <w:r>
        <w:t>A careful reader who has worked through these chapters has developed something valuable: the habit of asking what costs are being hidden, what tradeoffs are being wished away. These are not abstract intellectual exercises. They are survival skills for an information environment that is actively degrading. The capacity to reason carefully about constraints and incentives and consequences, the very capacity this book has tried to build, is precisely the capacity being threatened by systems that generate convincing nonsense at scale.</w:t>
      </w:r>
    </w:p>
    <w:p w14:paraId="5C3FB015" w14:textId="77777777" w:rsidR="00E25CED" w:rsidRDefault="00E25CED">
      <w:r>
        <w:t>The framework is more necessary than ever. And it is more difficult to apply than ever. Both of these things are true at the same time. Understanding that is the beginning of knowing what to do next.</w:t>
      </w:r>
    </w:p>
    <w:p w14:paraId="1252FC0F" w14:textId="77777777" w:rsidR="00E25CED" w:rsidRDefault="00E25CED">
      <w:pPr>
        <w:pStyle w:val="Heading3"/>
      </w:pPr>
      <w:bookmarkStart w:id="94" w:name="_Toc227410719"/>
      <w:r>
        <w:t>The Verification Triage</w:t>
      </w:r>
      <w:bookmarkEnd w:id="94"/>
    </w:p>
    <w:p w14:paraId="149C8A8B" w14:textId="77777777" w:rsidR="00E25CED" w:rsidRDefault="00E25CED">
      <w:r>
        <w:t>The correctives in earlier chapters assumed that the information you were reasoning about had some connection to reality. This one cannot make that assumption. That is what makes it different, and it is what makes the temptation to skip it understandable. When the information environment itself is degrading, the natural response is either paralysis (verify everything, accomplish nothing) or surrender (verify nothing, accept the noise). Both responses are rational in the moment and catastrophic over time.</w:t>
      </w:r>
    </w:p>
    <w:p w14:paraId="547BA7B9" w14:textId="77777777" w:rsidR="00E25CED" w:rsidRDefault="00E25CED">
      <w:r>
        <w:t>The alternative is triage. Not verifying everything. Verifying the things that matter, at the moments they matter, using questions that do not depend on your ability to detect whether a specific piece of content was generated by a machine.</w:t>
      </w:r>
    </w:p>
    <w:p w14:paraId="26DE4B03" w14:textId="77777777" w:rsidR="00E25CED" w:rsidRDefault="00E25CED">
      <w:r>
        <w:t>That last point is important. Any corrective built on detection is already losing. The systems that produce synthetic content are improving faster than the systems designed to identify it. A technique for spotting AI-generated text that works today will not work in two years. The corrective that lasts is not a detection method. It is a reasoning habit.</w:t>
      </w:r>
    </w:p>
    <w:p w14:paraId="38F06DA9" w14:textId="77777777" w:rsidR="00E25CED" w:rsidRDefault="00E25CED">
      <w:r>
        <w:t>Three questions. They apply whether the content you are evaluating was produced by a human, a machine, or some combination of the two. They do not require technical sophistication. They require the willingness to slow down at the moments when the cost of being wrong is high.</w:t>
      </w:r>
    </w:p>
    <w:p w14:paraId="7AABAF61" w14:textId="77777777" w:rsidR="00E25CED" w:rsidRPr="00BA435C" w:rsidRDefault="00E25CED" w:rsidP="00BA435C">
      <w:pPr>
        <w:rPr>
          <w:i/>
          <w:iCs/>
        </w:rPr>
      </w:pPr>
      <w:r w:rsidRPr="00BA435C">
        <w:rPr>
          <w:i/>
          <w:iCs/>
        </w:rPr>
        <w:t>What happens to me if this is wrong?</w:t>
      </w:r>
    </w:p>
    <w:p w14:paraId="277404EA" w14:textId="64F3C888" w:rsidR="00E25CED" w:rsidRDefault="00E25CED">
      <w:r>
        <w:t xml:space="preserve">This is triage. Not every piece of information deserves the same verification effort. A fabricated recipe wastes your evening. A fabricated statistic in a policy brief wastes public resources. A fabricated citation in a legal filing produces sanctions, or worse. Before spending any effort verifying a claim, ask what happens if you act on it and it turns out to be false. If the answer is </w:t>
      </w:r>
      <w:r w:rsidR="00463E2E">
        <w:t>"</w:t>
      </w:r>
      <w:r>
        <w:t>not much,</w:t>
      </w:r>
      <w:r w:rsidR="00463E2E">
        <w:t>"</w:t>
      </w:r>
      <w:r>
        <w:t xml:space="preserve"> move on. If the answer involves money, reputation, health, or decisions that are difficult to reverse, the claim has earned your skepticism. The Pentagon image moved billions of dollars in seven minutes because automated systems treated it as information without asking what it would cost to be wrong. The finance worker at Arup transferred $25.6 million because the call looked right and the request felt urgent. In both cases, the cost of pausing to verify was minutes. The cost of not pausing was catastrophic.</w:t>
      </w:r>
    </w:p>
    <w:p w14:paraId="28ED5568" w14:textId="77777777" w:rsidR="00E25CED" w:rsidRPr="00BA435C" w:rsidRDefault="00E25CED" w:rsidP="00BA435C">
      <w:pPr>
        <w:rPr>
          <w:i/>
          <w:iCs/>
        </w:rPr>
      </w:pPr>
      <w:r w:rsidRPr="00BA435C">
        <w:rPr>
          <w:i/>
          <w:iCs/>
        </w:rPr>
        <w:t>Is my confidence coming from evidence or from presentation?</w:t>
      </w:r>
    </w:p>
    <w:p w14:paraId="33F24CCD" w14:textId="77777777" w:rsidR="00E25CED" w:rsidRDefault="00E25CED">
      <w:r>
        <w:t>The systems this chapter describes are optimized to produce text that sounds authoritative. Fluent, well-structured, confident prose. The confidence is in the packaging, not in the relationship between the claim and reality. This is not a new problem. Con artists have always sounded confident. But the scale is new.</w:t>
      </w:r>
    </w:p>
    <w:p w14:paraId="71791C07" w14:textId="77777777" w:rsidR="00E25CED" w:rsidRDefault="00E25CED">
      <w:r>
        <w:t xml:space="preserve">When anyone can produce polished, professional-sounding content at near-zero cost, polish stops being a signal of quality. The question is not whether the content sounds credible. The question is whether you can trace the claim back to something that exists independently of the text in front of you. A named source. A verifiable dataset. An institution with a reputation it is risking by making the claim. If the chain of evidence terminates in the text itself, if the claim is its own source, you are looking at a closed loop. The attorney in </w:t>
      </w:r>
      <w:r w:rsidRPr="00944A25">
        <w:rPr>
          <w:i/>
          <w:iCs/>
        </w:rPr>
        <w:t>Mata v. Avianca</w:t>
      </w:r>
      <w:r>
        <w:t xml:space="preserve"> was caught in exactly that loop. He asked ChatGPT whether its citations were real. It said they were. The system's confidence was self-referential. There was no external anchor.</w:t>
      </w:r>
    </w:p>
    <w:p w14:paraId="4E35244A" w14:textId="77777777" w:rsidR="00E25CED" w:rsidRPr="00BA435C" w:rsidRDefault="00E25CED" w:rsidP="00BA435C">
      <w:pPr>
        <w:rPr>
          <w:i/>
          <w:iCs/>
        </w:rPr>
      </w:pPr>
      <w:r w:rsidRPr="00BA435C">
        <w:rPr>
          <w:i/>
          <w:iCs/>
        </w:rPr>
        <w:t>Who benefits from my believing this, and what did they pay to make it convincing?</w:t>
      </w:r>
    </w:p>
    <w:p w14:paraId="67BE0C83" w14:textId="5F3668CD" w:rsidR="00E25CED" w:rsidRDefault="00E25CED">
      <w:r>
        <w:t xml:space="preserve">This is </w:t>
      </w:r>
      <w:r w:rsidR="00463E2E">
        <w:t>"</w:t>
      </w:r>
      <w:r>
        <w:t>trace the incentives</w:t>
      </w:r>
      <w:r w:rsidR="00463E2E">
        <w:t>"</w:t>
      </w:r>
      <w:r>
        <w:t xml:space="preserve"> applied to the information environment. Every piece of content that reaches you was produced by someone, for a reason, at a cost. When the cost of production is high, there is at least some filtering: a newspaper that employs reporters and editors has invested in the accuracy of what it publishes, not because newspapers are virtuous but because inaccuracy is expensive for them. When the cost of production collapses, that filter weakens. Someone can now produce a thousand plausible-sounding articles for less than the cost of reporting one real story. The question is not whether the content is AI-generated. The question is what the producer invested in getting it right. If the answer is nothing, the content is worth exactly what was invested in it.</w:t>
      </w:r>
    </w:p>
    <w:p w14:paraId="77E22833" w14:textId="2DA33ACE" w:rsidR="00431DDF" w:rsidRPr="00431DDF" w:rsidRDefault="00431DDF" w:rsidP="00431DDF">
      <w:r w:rsidRPr="00431DDF">
        <w:t xml:space="preserve">The attorney in </w:t>
      </w:r>
      <w:r w:rsidRPr="00944A25">
        <w:rPr>
          <w:i/>
          <w:iCs/>
        </w:rPr>
        <w:t>Mata v. Avianca</w:t>
      </w:r>
      <w:r w:rsidRPr="00431DDF">
        <w:t xml:space="preserve"> cited cases that did not exist. That was the easy version. In 2026, a criminal defense attorney in the Sixth Circuit used Westlaw's </w:t>
      </w:r>
      <w:proofErr w:type="spellStart"/>
      <w:r w:rsidRPr="00431DDF">
        <w:t>CoCounsel</w:t>
      </w:r>
      <w:proofErr w:type="spellEnd"/>
      <w:r w:rsidRPr="00431DDF">
        <w:t>, a premium legal research tool built by one of the most established names in the industry, to draft an appellate brief. The cases he cited were real. The quotations were not. The holdings were misrepresented. He had worked in the file for six hours without catching what the tool had fabricated inside citations that looked, at first glance, like they checked out. The court sanctioned him, denied his compensation, referred him for disciplinary proceedings, and removed him from the case. But notice the escalation. Fake cases can be caught by checking whether the case exists. Fake quotations inside real cases can only be caught by reading the actual opinion and comparing it to what the brief claims it says. The verification cost just went up by an order of magnitude.</w:t>
      </w:r>
    </w:p>
    <w:p w14:paraId="3A2D1281" w14:textId="7722D5C6" w:rsidR="00431DDF" w:rsidRPr="00431DDF" w:rsidRDefault="00431DDF" w:rsidP="00431DDF">
      <w:r w:rsidRPr="00431DDF">
        <w:t xml:space="preserve">Now extend the pattern beyond the courtroom. In 2025, a Nature analysis estimated that more than </w:t>
      </w:r>
      <w:r w:rsidR="00944A25">
        <w:t>100,000</w:t>
      </w:r>
      <w:r w:rsidRPr="00431DDF">
        <w:t xml:space="preserve"> scholarly publications from that year alone contained invalid references generated by AI. Not fabricated journals. Not obvious junk. Plausible citations with real-sounding titles, real co-author pairings, and volume numbers that matched the format of the journals they claimed to be from. The references looked correct. They pointed to research that did not exist. The contamination was not concentrated in fringe outlets. It was distributed across the literature, embedded in publications that other researchers, journalists, and policymakers would cite without knowing they were building on fabrications.</w:t>
      </w:r>
    </w:p>
    <w:p w14:paraId="6E2BC0F1" w14:textId="689DAF58" w:rsidR="00431DDF" w:rsidRPr="00431DDF" w:rsidRDefault="00431DDF" w:rsidP="00431DDF">
      <w:r w:rsidRPr="00431DDF">
        <w:t xml:space="preserve">That is the environment these three questions are designed to operate in. Suppose you encounter a claim in a news article that a recent study found a </w:t>
      </w:r>
      <w:r w:rsidR="00944A25">
        <w:t>30</w:t>
      </w:r>
      <w:r w:rsidRPr="00431DDF">
        <w:t xml:space="preserve"> percent reduction in hospital readmissions after a particular policy change. The claim is specific. It cites a journal. The number sounds precise. Run the triage. First: what happens to you if this is wrong? If you are sharing it in conversation, not much. If you are using it to justify a budget decision or a policy position, the cost of being wrong is significant, and the claim has earned your skepticism. Second: is your confidence coming from evidence or from presentation? The claim has the polish of authority: a percentage, a journal, a specific outcome. But you have not read the study. You do not know whether the </w:t>
      </w:r>
      <w:r w:rsidR="00944A25">
        <w:t>30</w:t>
      </w:r>
      <w:r w:rsidRPr="00431DDF">
        <w:t xml:space="preserve"> percent figure appears in the abstract, the conclusion, or nowhere at all. The chain of evidence terminates in the article's characterization of a study you have not verified. Third: who benefits from your believing this, and what did they pay to make it convincing? </w:t>
      </w:r>
      <w:r w:rsidR="007F36F5" w:rsidRPr="007F36F5">
        <w:t>If the article lives on a site that sells consulting services to hospitals implementing the same policy it is praising, the producer's incentives are not aligned with yours. The claim may still be true. But you no longer have a reason to assume it is</w:t>
      </w:r>
      <w:r w:rsidRPr="00431DDF">
        <w:t>.</w:t>
      </w:r>
    </w:p>
    <w:p w14:paraId="1F95D4D7" w14:textId="77777777" w:rsidR="00431DDF" w:rsidRPr="00431DDF" w:rsidRDefault="00431DDF" w:rsidP="00431DDF">
      <w:r w:rsidRPr="00431DDF">
        <w:t>Three questions. Thirty seconds. You have not determined whether the claim is true. You have determined that it does not deserve your confidence until you check the source yourself. That is what triage looks like when the information environment can no longer be trusted to do the filtering for you.</w:t>
      </w:r>
    </w:p>
    <w:p w14:paraId="00F2F16F" w14:textId="78ECE024" w:rsidR="00E25CED" w:rsidRDefault="00E25CED">
      <w:pPr>
        <w:sectPr w:rsidR="00E25CED" w:rsidSect="001A5E1F">
          <w:endnotePr>
            <w:numFmt w:val="decimal"/>
          </w:endnotePr>
          <w:type w:val="oddPage"/>
          <w:pgSz w:w="12240" w:h="15840"/>
          <w:pgMar w:top="1440" w:right="1440" w:bottom="1440" w:left="1440" w:header="0" w:footer="720" w:gutter="0"/>
          <w:cols w:space="720"/>
          <w:formProt w:val="0"/>
          <w:docGrid w:linePitch="100"/>
        </w:sectPr>
      </w:pPr>
      <w:r>
        <w:t xml:space="preserve">None of this makes you immune. The chapter's diagnosis stands: the information environment is degrading, the asymmetry between production and detection is structural, and the trend is accelerating. But the habit of asking what it costs to be wrong, whether your confidence has an external anchor, and what the producer invested in accuracy is the same habit this book has been building from the first chapter. It is </w:t>
      </w:r>
      <w:r w:rsidR="00463E2E">
        <w:t>"</w:t>
      </w:r>
      <w:r>
        <w:t>compared to what?</w:t>
      </w:r>
      <w:r w:rsidR="00463E2E">
        <w:t>"</w:t>
      </w:r>
      <w:r>
        <w:t xml:space="preserve"> applied to the infrastructure of knowing. It will not fix the commons. It will make you harder to fool while the commons is being repaired, if it is repaired, by people and institutions willing to pay the cost of getting things right.</w:t>
      </w:r>
    </w:p>
    <w:p w14:paraId="5CF3D9F3" w14:textId="77777777" w:rsidR="004A7617" w:rsidRDefault="004A7617" w:rsidP="004A7617">
      <w:pPr>
        <w:pStyle w:val="Heading2"/>
      </w:pPr>
      <w:bookmarkStart w:id="95" w:name="_Toc227410720"/>
      <w:r>
        <w:t>When Measurement Becomes a Moral Threat</w:t>
      </w:r>
      <w:bookmarkEnd w:id="95"/>
    </w:p>
    <w:p w14:paraId="509EBF7F" w14:textId="77777777" w:rsidR="00422E8C" w:rsidRPr="00422E8C" w:rsidRDefault="00422E8C" w:rsidP="00422E8C">
      <w:r w:rsidRPr="00422E8C">
        <w:t>In 2020, the University of California system announced it would stop requiring the SAT and ACT for undergraduate admissions. The decision was not a quiet administrative adjustment. It was the culmination of years of political pressure, legal challenges, and a public campaign that framed standardized testing as an instrument of exclusion.</w:t>
      </w:r>
    </w:p>
    <w:p w14:paraId="0088A72F" w14:textId="77777777" w:rsidR="00392C14" w:rsidRPr="00392C14" w:rsidRDefault="00392C14" w:rsidP="00392C14">
      <w:r w:rsidRPr="00392C14">
        <w:t>The university had its own data. A faculty task force had spent two years analyzing the performance of hundreds of thousands of UC students. Its conclusion was unambiguous: standardized test scores predicted first-year GPA more accurately than high school grades, personal essays, or any other metric the system collected. The tests were not perfect. No one had claimed they were. They exhibited gaps across racial and socioeconomic groups, gaps the task force acknowledged and documented. But the task force also found that the tests identified talented students from disadvantaged backgrounds who would otherwise have been missed by high school GPA alone, students whose schools gave inflated grades or whose transcripts did not reflect what they had actually learned.</w:t>
      </w:r>
    </w:p>
    <w:p w14:paraId="358891D1" w14:textId="77777777" w:rsidR="00422E8C" w:rsidRPr="00422E8C" w:rsidRDefault="00422E8C" w:rsidP="00422E8C">
      <w:r w:rsidRPr="00422E8C">
        <w:t>The UC Board of Regents voted unanimously to eliminate the requirement anyway.</w:t>
      </w:r>
    </w:p>
    <w:p w14:paraId="534EC715" w14:textId="77777777" w:rsidR="00422E8C" w:rsidRPr="00422E8C" w:rsidRDefault="00422E8C" w:rsidP="00422E8C">
      <w:r w:rsidRPr="00422E8C">
        <w:t>The vote was not about whether the tests worked. The evidence that they worked was sitting in front of the board in a report its own faculty had produced. The vote was about whether the act of measuring was morally acceptable when the measurements revealed differences that the institution would rather not confront. The tests surfaced a constraint: student preparation varied, and the variation tracked with demographics. The calibrating response would have been to use that information to improve preparation, to target resources where the gaps were largest, to treat the measurement as diagnostic rather than dispositive. The delegitimizing response was to stop measuring. The University of California chose the second.</w:t>
      </w:r>
    </w:p>
    <w:p w14:paraId="10384766" w14:textId="77777777" w:rsidR="00422E8C" w:rsidRPr="00422E8C" w:rsidRDefault="00422E8C" w:rsidP="00422E8C">
      <w:r w:rsidRPr="00422E8C">
        <w:t>What happened at UC was not an isolated decision by one institution. It was a specific instance of a broader epistemological shift that has been operating for decades, and it is the shift that made every pattern in this book culturally durable.</w:t>
      </w:r>
    </w:p>
    <w:p w14:paraId="5A17D491" w14:textId="77777777" w:rsidR="00422E8C" w:rsidRPr="00422E8C" w:rsidRDefault="00422E8C" w:rsidP="00422E8C">
      <w:r w:rsidRPr="00422E8C">
        <w:t>The preceding chapters examined what happens when the information environment degrades from the outside and when the cognitive tools for navigating it atrophy from the inside. This chapter examines the prior move that made both degradations possible. The tools that reveal constraints, whether of human ability, of resources, or of institutional feasibility, were not simply neglected. They were delegitimized. That delegitimization did not happen by accident. It happened through specific intellectual moves, in specific domains, for specific reasons. And it cleared the ground for everything this book has diagnosed.</w:t>
      </w:r>
    </w:p>
    <w:p w14:paraId="0BA37091" w14:textId="77777777" w:rsidR="00392C14" w:rsidRPr="00392C14" w:rsidRDefault="00392C14" w:rsidP="00392C14">
      <w:r w:rsidRPr="00392C14">
        <w:t>The shift was not a single policy decision or intellectual fad. It was a gradual change in how constraint itself came to be perceived. Tools that reveal limits were increasingly viewed with suspicion. In some cases, they were criticized as incomplete or misused. In others, they were recast as morally suspect. Over time, the distinction between imperfect tools and illegitimate tools quietly collapsed.</w:t>
      </w:r>
    </w:p>
    <w:p w14:paraId="1B2397A2" w14:textId="77777777" w:rsidR="00422E8C" w:rsidRPr="00422E8C" w:rsidRDefault="00422E8C" w:rsidP="00422E8C">
      <w:r w:rsidRPr="00422E8C">
        <w:t>What follows is about epistemology, not policy design or particular outcomes. It examines how societies decide what kinds of information are admissible when reasoning about difficult problems, and how skepticism toward measurement and modeling hardened into a broader distrust of constraint-revealing analysis itself.</w:t>
      </w:r>
    </w:p>
    <w:p w14:paraId="3F7CE48A" w14:textId="77777777" w:rsidR="00422E8C" w:rsidRPr="00422E8C" w:rsidRDefault="00422E8C" w:rsidP="00422E8C">
      <w:r w:rsidRPr="00422E8C">
        <w:t>The argument is narrower and more consequential than it sounds. When imperfect tools are rejected instead of disciplined, when their limitations are read as reasons to discard them instead of to use them carefully, blind spots emerge. Those blind spots do not eliminate constraints. They only make constraints harder to see, easier to deny, and easier to shift onto people who are not in a position to object.</w:t>
      </w:r>
    </w:p>
    <w:p w14:paraId="35584EEF" w14:textId="1EF377A7" w:rsidR="00422E8C" w:rsidRPr="00422E8C" w:rsidRDefault="00422E8C" w:rsidP="00422E8C">
      <w:r w:rsidRPr="00422E8C">
        <w:t xml:space="preserve">Two domains reveal how the loss of constraint-aware thinking made </w:t>
      </w:r>
      <w:r w:rsidR="00F0435B">
        <w:t>free lunch</w:t>
      </w:r>
      <w:r w:rsidRPr="00422E8C">
        <w:t xml:space="preserve"> reasoning not just appealing, but culturally defensible: the measurement of human ability and the practice of economic reasoning.</w:t>
      </w:r>
    </w:p>
    <w:p w14:paraId="17D907A2" w14:textId="77777777" w:rsidR="00422E8C" w:rsidRPr="00422E8C" w:rsidRDefault="00422E8C" w:rsidP="00422E8C">
      <w:pPr>
        <w:pStyle w:val="Heading3"/>
      </w:pPr>
      <w:bookmarkStart w:id="96" w:name="_Toc227410721"/>
      <w:r w:rsidRPr="00422E8C">
        <w:t>When Measuring Ability Became Morally Suspect</w:t>
      </w:r>
      <w:bookmarkEnd w:id="96"/>
    </w:p>
    <w:p w14:paraId="7C069F66" w14:textId="77777777" w:rsidR="00422E8C" w:rsidRPr="00422E8C" w:rsidRDefault="00422E8C" w:rsidP="00422E8C">
      <w:r w:rsidRPr="00422E8C">
        <w:t>Few topics provoke more discomfort than the idea of measuring human ability, and the discomfort is not unreasonable. Intelligence is not a single, uniform trait. It expresses itself differently across contexts, tasks, and stages of life. Any attempt to reduce it to a single number risks oversimplification, misinterpretation, and misuse, especially when those numbers are attached to policies with lasting consequences for real people. Skepticism toward such measures is not only reasonable but necessary. No serious account of human ability should pretend that a test score captures the full range of a person's capacities, potential, or worth. The problem examined here begins not with skepticism, but with what followed it.</w:t>
      </w:r>
    </w:p>
    <w:p w14:paraId="647EF313" w14:textId="77777777" w:rsidR="00392C14" w:rsidRPr="00392C14" w:rsidRDefault="00392C14" w:rsidP="00392C14">
      <w:r w:rsidRPr="00392C14">
        <w:t xml:space="preserve">Legitimate concerns about the limits of intelligence measurement were transformed into a broader claim: that attempts to measure cognitive ability are not merely flawed, but suspect at root. Influential critiques reinforced this shift, most prominently Stephen Jay Gould's </w:t>
      </w:r>
      <w:r w:rsidRPr="00392C14">
        <w:rPr>
          <w:i/>
          <w:iCs/>
        </w:rPr>
        <w:t>The Mismeasure of Man</w:t>
      </w:r>
      <w:r w:rsidRPr="00392C14">
        <w:t xml:space="preserve"> (1981), which documented historical abuses of intelligence testing, from eugenic sorting to racially biased assessments, while blurring an important distinction. Demonstrating that some measurements were biased, misused, or ideologically motivated gradually became grounds for treating the entire enterprise of measurement as morally compromised.</w:t>
      </w:r>
    </w:p>
    <w:p w14:paraId="0CC631EE" w14:textId="77777777" w:rsidR="00422E8C" w:rsidRPr="00422E8C" w:rsidRDefault="00422E8C" w:rsidP="00422E8C">
      <w:r w:rsidRPr="00422E8C">
        <w:t>The distinction that was lost is crucial. Showing that a tool is imperfect is not the same as showing that it conveys no information. Demonstrating misuse does not establish impossibility. Yet in public discourse, these ideas increasingly collapsed into one another. Measurement came to be associated less with uncertainty and humility, and more with oppression, reductionism, or moral indifference.</w:t>
      </w:r>
    </w:p>
    <w:p w14:paraId="2A763C8C" w14:textId="77777777" w:rsidR="00422E8C" w:rsidRPr="00422E8C" w:rsidRDefault="00422E8C" w:rsidP="00422E8C">
      <w:r w:rsidRPr="00422E8C">
        <w:t>Once that association took hold, an epistemic shift followed. Instead of asking how to measure ability carefully, conditionally, and with appropriate limits, the safer move became to deny the relevance of measurement altogether. Debates over college admissions, for instance, shifted from whether standardized tests should be weighted differently across contexts to whether they should be used at all, treating elimination as safer than calibration. Variations in capacity were reframed as artifacts of systems alone. Differences in outcome were attributed entirely to external forces. Constraint was relocated from human reality to institutional failure.</w:t>
      </w:r>
    </w:p>
    <w:p w14:paraId="14FD8C79" w14:textId="77777777" w:rsidR="00422E8C" w:rsidRPr="00422E8C" w:rsidRDefault="00422E8C" w:rsidP="00422E8C">
      <w:r w:rsidRPr="00422E8C">
        <w:t>The moral appeal of this move is powerful. If ability cannot be meaningfully measured, or if acknowledging variation is itself suspect, then no outcome need be treated as constrained by capacity. Ambition becomes costless. Expectations can be raised without reference to feasibility. When results disappoint, the explanation is never mismatch or limitation, but insufficient commitment, insufficient resources, or insufficient urgency.</w:t>
      </w:r>
    </w:p>
    <w:p w14:paraId="5E02A79E" w14:textId="67F30C44" w:rsidR="00422E8C" w:rsidRPr="00422E8C" w:rsidRDefault="00422E8C" w:rsidP="00422E8C">
      <w:r w:rsidRPr="00422E8C">
        <w:t xml:space="preserve">When the very idea of measuring ability becomes morally suspect, constraint itself becomes negotiable. And once constraint is negotiable, </w:t>
      </w:r>
      <w:r w:rsidR="00F0435B">
        <w:t>free lunch</w:t>
      </w:r>
      <w:r w:rsidRPr="00422E8C">
        <w:t xml:space="preserve"> thinking no longer sounds naïve. It sounds compassionate.</w:t>
      </w:r>
    </w:p>
    <w:p w14:paraId="26E531F1" w14:textId="77777777" w:rsidR="00422E8C" w:rsidRPr="00422E8C" w:rsidRDefault="00422E8C" w:rsidP="00422E8C">
      <w:r w:rsidRPr="00422E8C">
        <w:t>What makes this shift so striking is that it was never universal. The delegitimization of measurement did not happen inside the fields whose entire purpose is measuring cognitive ability. It happened around them.</w:t>
      </w:r>
    </w:p>
    <w:p w14:paraId="41B9A059" w14:textId="77777777" w:rsidR="00422E8C" w:rsidRPr="00422E8C" w:rsidRDefault="00422E8C" w:rsidP="00422E8C">
      <w:r w:rsidRPr="00422E8C">
        <w:t xml:space="preserve">Within psychometrics and clinical psychology, the measurement of general intelligence is not a live controversy. The general factor of intelligence, the g factor that emerges from the positive correlations among all cognitive ability tests, is one of the most replicated findings in behavioral science. IQ scores load on it at .88 to .95, meaning the tests are capturing something real and stable with a high degree of consistency. The Wechsler Adult Intelligence Scale, the most widely administered IQ test in the world, released its fifth edition in 2024. Pearson collected fresh normative data on a sample reflective of the U.S. Census. Clinical psychologists administer the Wechsler scales routinely: diagnosing intellectual disabilities, assessing the cognitive effects of brain injuries, evaluating decline in aging patients, guiding treatment for neurological and psychiatric conditions. The instrument is not a relic. It is a working tool in daily clinical use, refined and </w:t>
      </w:r>
      <w:proofErr w:type="spellStart"/>
      <w:r w:rsidRPr="00422E8C">
        <w:t>restandardized</w:t>
      </w:r>
      <w:proofErr w:type="spellEnd"/>
      <w:r w:rsidRPr="00422E8C">
        <w:t xml:space="preserve"> across five editions over seven decades.</w:t>
      </w:r>
    </w:p>
    <w:p w14:paraId="7C57F956" w14:textId="427DA1C6" w:rsidR="00392C14" w:rsidRPr="00392C14" w:rsidRDefault="00392C14" w:rsidP="00392C14">
      <w:r w:rsidRPr="00392C14">
        <w:t xml:space="preserve">In 1996, the American Psychological Association convened a task force specifically because the public debate over intelligence had become politically explosive. The panel was deliberately assembled from experts with diverse viewpoints: researchers who emphasized genetic contributions, researchers who emphasized environmental ones, proponents of the hierarchical model of intelligence, and skeptics of it. Their report, </w:t>
      </w:r>
      <w:r w:rsidRPr="00D22427">
        <w:rPr>
          <w:i/>
          <w:iCs/>
        </w:rPr>
        <w:t>Intelligence: Knowns and Unknowns</w:t>
      </w:r>
      <w:r w:rsidRPr="00392C14">
        <w:t>, was unanimous. Psychometric testing is the most well-established approach to measuring intelligence. IQ scores predict academic achievement, job performance, health outcomes, and mortality more reliably than other psychological measures. The tests are not perfect. They have known limitations, known biases, known blind spots. The debates within the field are about what causes group differences in scores, about which specific abilities the tests capture and which they miss, about how to correct for cultural and socioeconomic confounds. Those are calibration debates. They are arguments about how to make an imperfect tool more precise. They are not arguments about whether cognitive ability can be meaningfully measured. That question, within the discipline that studies it most rigorously, is settled.</w:t>
      </w:r>
    </w:p>
    <w:p w14:paraId="5EFC9DFB" w14:textId="77777777" w:rsidR="00422E8C" w:rsidRPr="00422E8C" w:rsidRDefault="00422E8C" w:rsidP="00422E8C">
      <w:r w:rsidRPr="00422E8C">
        <w:t>The contrast with what happened outside those fields is the point. The same finding, that IQ tests are imperfect, produced opposite epistemological responses depending on the field's relationship to measurement. Psychology looked at the imperfections and asked how to correct them. Education looked at the imperfections and asked whether to stop measuring. The University of California's decision was not an aberration. It was the downstream consequence of decades of epistemological drift in which the imperfection of a tool was treated as grounds for eliminating the tool, rather than improving it. The fields that live inside measurement kept disciplining their instruments. The fields that experienced measurement as politically uncomfortable abandoned the instruments and called it progress.</w:t>
      </w:r>
    </w:p>
    <w:p w14:paraId="1C458006" w14:textId="77777777" w:rsidR="00422E8C" w:rsidRPr="00422E8C" w:rsidRDefault="00422E8C" w:rsidP="00422E8C">
      <w:pPr>
        <w:pStyle w:val="Heading3"/>
      </w:pPr>
      <w:bookmarkStart w:id="97" w:name="_Toc227410722"/>
      <w:r w:rsidRPr="00422E8C">
        <w:t>When Economics Became a Moral Liability</w:t>
      </w:r>
      <w:bookmarkEnd w:id="97"/>
    </w:p>
    <w:p w14:paraId="03250602" w14:textId="77FCC2A9" w:rsidR="003355AB" w:rsidRPr="003355AB" w:rsidRDefault="003355AB" w:rsidP="003355AB">
      <w:r w:rsidRPr="003355AB">
        <w:t xml:space="preserve">An earlier chapter examined why voters resist economic reasoning when they encounter it: the psychological discomfort, the political incentives, the professional machinery of simplification. That resistance is real, and it operates through the mechanisms that chapter diagnosed. But it operates on top of something deeper. Before voters can reject the message, the messenger </w:t>
      </w:r>
      <w:r w:rsidR="008C52D7">
        <w:t>must</w:t>
      </w:r>
      <w:r w:rsidRPr="003355AB">
        <w:t xml:space="preserve"> have been delegitimized. That is what happened to economics as a discipline, through an epistemological shift that mirrors what happened to intelligence measurement, and through a mechanism the earlier chapter did not examine.</w:t>
      </w:r>
    </w:p>
    <w:p w14:paraId="7A647F95" w14:textId="77777777" w:rsidR="00422E8C" w:rsidRPr="00422E8C" w:rsidRDefault="00422E8C" w:rsidP="00422E8C">
      <w:r w:rsidRPr="00422E8C">
        <w:t>Economics was not merely resisted. It was intellectually recast. A discipline designed to surface constraints, to ask what things cost and who pays, gradually acquired a moral reputation that made invoking its tools socially risky. The shift did not arise because economic tools stopped working. It arose because the tools' outputs were systematically reinterpreted: not as information about how systems behave, but as evidence of what the people using those tools valued.</w:t>
      </w:r>
    </w:p>
    <w:p w14:paraId="7C7F6BB7" w14:textId="77777777" w:rsidR="00422E8C" w:rsidRPr="00422E8C" w:rsidRDefault="00422E8C" w:rsidP="00422E8C">
      <w:r w:rsidRPr="00422E8C">
        <w:t>Behavioral experiments played a central role in that reinterpretation, particularly when their results were read far beyond their design. Laboratory games, dictator games, prisoner's dilemmas, and similar constructs, are powerful tools for understanding strategic interaction, cooperation, and incentive structure. Used properly, they have clarified everything from bargaining behavior to institutional design.</w:t>
      </w:r>
    </w:p>
    <w:p w14:paraId="2A6389E0" w14:textId="77777777" w:rsidR="003355AB" w:rsidRPr="003355AB" w:rsidRDefault="003355AB" w:rsidP="003355AB">
      <w:r w:rsidRPr="003355AB">
        <w:t>The problem arose when results from highly constrained, artificial settings were read as moral diagnostics, not behavioral signals. In many such experiments, participants were given unearned money, placed in one-shot interactions, and asked to allocate resources under rules that bear little resemblance to real-world ownership, responsibility, or time horizons. Behavioral differences across groups were then read not as products of context or strategy, but as evidence of character.</w:t>
      </w:r>
    </w:p>
    <w:p w14:paraId="1DCBE2A3" w14:textId="77777777" w:rsidR="00422E8C" w:rsidRPr="00422E8C" w:rsidRDefault="00422E8C" w:rsidP="00422E8C">
      <w:r w:rsidRPr="00422E8C">
        <w:t>This interpretive leap mattered. When studies found that economics students kept more of the experimental windfall in dictator games, the results were often framed as revealing selfishness, evidence that studying tradeoffs dulled moral sensitivity. The possibility that economic training encouraged participants to take the structure of the game seriously, to distinguish earned from unearned resources, or to view the experimental rules as the relevant context, was rarely central to the narrative. A behavioral finding became a character verdict. As with intelligence measurement, the issue was not that the tools were useless. Their limits were ignored in one direction and exaggerated in another. Experimental abstraction was read as morally revealing, not context-bound. And when critics objected to the conclusions, the objection itself was often reframed as further evidence of moral deficiency: proof that economic thinking dulls empathy instead of disciplining reasoning.</w:t>
      </w:r>
    </w:p>
    <w:p w14:paraId="5096DE97" w14:textId="77777777" w:rsidR="003355AB" w:rsidRPr="003355AB" w:rsidRDefault="003355AB" w:rsidP="003355AB">
      <w:r w:rsidRPr="003355AB">
        <w:t xml:space="preserve">The consequences of that reframing distinguish this chapter's concern from the earlier </w:t>
      </w:r>
      <w:proofErr w:type="spellStart"/>
      <w:r w:rsidRPr="003355AB">
        <w:t>one's</w:t>
      </w:r>
      <w:proofErr w:type="spellEnd"/>
      <w:r w:rsidRPr="003355AB">
        <w:t>. The earlier chapter traced the political and psychological machinery by which voters avoid constraint-based reasoning. This chapter traces the intellectual move that made the avoidance respectable. If economic reasoning is associated with selfishness, then invoking tradeoffs can be dismissed as moral evasion. If attention to incentives is dismissed as cynicism, then policies can be evaluated primarily on how they sound, not on how they work. Constraint-aware analysis becomes reputationally risky, while symbolic generosity becomes a substitute for structural effectiveness. The voter who rejects economic reasoning in the ballot box is not operating in a vacuum. That voter is operating in a culture that has already marked constraint-based reasoning as morally suspect, through the intellectual pathway this section has traced.</w:t>
      </w:r>
    </w:p>
    <w:p w14:paraId="056BF1CB" w14:textId="77777777" w:rsidR="00422E8C" w:rsidRPr="00422E8C" w:rsidRDefault="00422E8C" w:rsidP="00422E8C">
      <w:r w:rsidRPr="00422E8C">
        <w:t>None of this requires rejecting economics, game theory, or behavioral research. It requires restoring the distinction between tools and verdicts. Models do not tell us what to value, and experiments do not reveal moral worth. They provide information about how people behave under specified conditions. When that information is used as a character judgment, or when discomfort with its implications serves as grounds for discrediting the discipline itself, constraint-based reasoning quietly loses legitimacy.</w:t>
      </w:r>
    </w:p>
    <w:p w14:paraId="1927A867" w14:textId="609E294E" w:rsidR="00422E8C" w:rsidRPr="00422E8C" w:rsidRDefault="00422E8C" w:rsidP="00422E8C">
      <w:r w:rsidRPr="00422E8C">
        <w:t xml:space="preserve">The trajectory mirrors what occurred with ability measurement. A discipline designed to surface limits is cast as morally problematic precisely because it does so. And once constraint-revealing tools are viewed as suspect, the intellectual ground is cleared for </w:t>
      </w:r>
      <w:r w:rsidR="00F0435B">
        <w:t>free lunch</w:t>
      </w:r>
      <w:r w:rsidRPr="00422E8C">
        <w:t xml:space="preserve"> thinking to flourish without appearing naïve or irresponsible.</w:t>
      </w:r>
    </w:p>
    <w:p w14:paraId="21743EFA" w14:textId="77777777" w:rsidR="00422E8C" w:rsidRPr="00422E8C" w:rsidRDefault="00422E8C" w:rsidP="00422E8C">
      <w:pPr>
        <w:pStyle w:val="Heading3"/>
      </w:pPr>
      <w:bookmarkStart w:id="98" w:name="_Toc227410723"/>
      <w:r w:rsidRPr="00422E8C">
        <w:t>Constraint, Blindness, and the Cost of Refusal</w:t>
      </w:r>
      <w:bookmarkEnd w:id="98"/>
    </w:p>
    <w:p w14:paraId="03A0C235" w14:textId="4EBEE517" w:rsidR="00422E8C" w:rsidRPr="00422E8C" w:rsidRDefault="00422E8C" w:rsidP="00422E8C">
      <w:r w:rsidRPr="00422E8C">
        <w:t xml:space="preserve">The two shifts traced in this chapter operated in different domains and through different mechanisms, but they arrived at the same destination. The capacity to measure human ability and the discipline of reasoning about economic constraints were both delegitimized, not because they stopped producing useful information, but because the information they produced grew culturally uncomfortable. Together, they removed two of the primary tools that would have made </w:t>
      </w:r>
      <w:r w:rsidR="00F0435B">
        <w:t>free lunch</w:t>
      </w:r>
      <w:r w:rsidRPr="00422E8C">
        <w:t xml:space="preserve"> thinking recognizable as such. Without the ability to measure capacity, ambition has no ceiling. Without the discipline of tracing costs, generosity has no price. The combination is what made the patterns diagnosed throughout this book not just possible but culturally defensible.</w:t>
      </w:r>
    </w:p>
    <w:p w14:paraId="4947265F" w14:textId="77777777" w:rsidR="00422E8C" w:rsidRPr="00422E8C" w:rsidRDefault="00422E8C" w:rsidP="00422E8C">
      <w:r w:rsidRPr="00422E8C">
        <w:t>Limits that could no longer be acknowledged directly were relocated into language about systems, structures, or intentions. Capacity constraints became matters of equity. Tradeoffs were recast as failures of commitment. Incentive effects became cynicism. Outcomes that resisted improvement were read not as feedback, but as evidence that effort had been insufficient or values insufficiently pure.</w:t>
      </w:r>
    </w:p>
    <w:p w14:paraId="4997F06A" w14:textId="77777777" w:rsidR="00422E8C" w:rsidRPr="00422E8C" w:rsidRDefault="00422E8C" w:rsidP="00422E8C">
      <w:r w:rsidRPr="00422E8C">
        <w:t>The problem is not measurement, modeling, or abstraction. The problem is when limited tools are wielded as moral proofs, or when their limitations are used as justification for abandoning constraint-based reasoning altogether.</w:t>
      </w:r>
    </w:p>
    <w:p w14:paraId="64EEED8B" w14:textId="77777777" w:rsidR="00422E8C" w:rsidRPr="00422E8C" w:rsidRDefault="00422E8C" w:rsidP="00422E8C">
      <w:r w:rsidRPr="00422E8C">
        <w:t>When that happens, ambition detaches from feasibility. Policy becomes expressive, not corrective. Disappointment is explained morally, not analytically. And because constraints are no longer allowed to inform design, they are left to operate silently, shaping outcomes without accountability or visibility.</w:t>
      </w:r>
    </w:p>
    <w:p w14:paraId="3D1BE1EF" w14:textId="77777777" w:rsidR="00422E8C" w:rsidRPr="00422E8C" w:rsidRDefault="00422E8C" w:rsidP="00422E8C">
      <w:r w:rsidRPr="00422E8C">
        <w:t>The consequences of this delegitimization did not stay in the abstract. They landed, with particular force, in the one domain where constraint-revealing tools had done their most fundamental developmental work: education. When a culture decides that measuring ability is suspect and that economic reasoning is morally compromised, the institutions responsible for developing cognitive capacity lose their two strongest arguments for rigor. The pressure to maintain demanding standards in mathematics, in analytical reasoning, in any discipline that forces students to confront limits, weakens. It weakens not because anyone decides that rigor is unimportant, but because the tools that would have defended rigor have been stripped of their authority. The result is a generation whose minds were never forced to do the work that builds the capacity to evaluate quantitative claims, to sense when a number has been pushed past the point of plausibility, to feel the difference between ambitious and impossible.</w:t>
      </w:r>
    </w:p>
    <w:p w14:paraId="71B77200" w14:textId="77777777" w:rsidR="00422E8C" w:rsidRPr="00422E8C" w:rsidRDefault="00422E8C" w:rsidP="00422E8C">
      <w:r w:rsidRPr="00422E8C">
        <w:t>Constraint is not an obstacle to moral action but the condition under which it becomes effective. Refusing to see it does not make outcomes kinder. It makes them harder to understand, and harder to correct. And when the refusal is institutionalized, when it shapes what schools require and what disciplines are permitted to say, the cost compounds across generations.</w:t>
      </w:r>
    </w:p>
    <w:p w14:paraId="259D6496" w14:textId="77777777" w:rsidR="00422E8C" w:rsidRPr="00422E8C" w:rsidRDefault="00422E8C" w:rsidP="00422E8C">
      <w:pPr>
        <w:pStyle w:val="Heading3"/>
      </w:pPr>
      <w:bookmarkStart w:id="99" w:name="_Toc227410724"/>
      <w:r w:rsidRPr="00422E8C">
        <w:t>The Delegitimization Test</w:t>
      </w:r>
      <w:bookmarkEnd w:id="99"/>
    </w:p>
    <w:p w14:paraId="2C91E91A" w14:textId="77777777" w:rsidR="00700262" w:rsidRPr="00700262" w:rsidRDefault="00700262" w:rsidP="00700262">
      <w:r w:rsidRPr="00700262">
        <w:t>The previous chapter's corrective taught you to verify whether the information you are reasoning about is real. This one teaches you to verify whether the tools you are using to evaluate it have been discredited for reasons that have nothing to do with their accuracy.</w:t>
      </w:r>
    </w:p>
    <w:p w14:paraId="74A8543F" w14:textId="1EA77256" w:rsidR="00700262" w:rsidRPr="00700262" w:rsidRDefault="00700262" w:rsidP="00700262">
      <w:r w:rsidRPr="00700262">
        <w:t xml:space="preserve">The epistemological shift this chapter describes does not announce itself. It does not arrive with a sign reading </w:t>
      </w:r>
      <w:r w:rsidR="00463E2E">
        <w:t>"</w:t>
      </w:r>
      <w:r w:rsidRPr="00700262">
        <w:t>we have decided to stop measuring.</w:t>
      </w:r>
      <w:r w:rsidR="00463E2E">
        <w:t>"</w:t>
      </w:r>
      <w:r w:rsidRPr="00700262">
        <w:t xml:space="preserve"> It arrives as moral progress. It sounds like compassion, like humility, like long-overdue sensitivity to the harm that flawed tools have caused. Those concerns are often legitimate. The question is whether the response to them is calibration or elimination, and whether you can tell the difference in real time.</w:t>
      </w:r>
    </w:p>
    <w:p w14:paraId="78B4F1DD" w14:textId="77777777" w:rsidR="00700262" w:rsidRPr="00700262" w:rsidRDefault="00700262" w:rsidP="00700262">
      <w:r w:rsidRPr="00700262">
        <w:t>The difference is audible if you know what to listen for. Calibration and delegitimization both begin in the same place: a tool has limitations. A test has biases. A model omits variables. An analytical framework produces outputs that make people uncomfortable. Up to that point, the two responses are indistinguishable. They diverge in the next sentence.</w:t>
      </w:r>
    </w:p>
    <w:p w14:paraId="50AFAA96" w14:textId="77777777" w:rsidR="00700262" w:rsidRPr="00700262" w:rsidRDefault="00700262" w:rsidP="00700262">
      <w:r w:rsidRPr="00700262">
        <w:rPr>
          <w:i/>
          <w:iCs/>
        </w:rPr>
        <w:t>Calibration says: the tool is flawed, so let's fix the tool.</w:t>
      </w:r>
      <w:r w:rsidRPr="00700262">
        <w:t xml:space="preserve"> It focuses on specific limitations. Which contexts does the test fail in? Which populations does the model mismeasure? Which variables has the framework omitted? The criticism points toward a better instrument. When someone argues that IQ tests have cultural biases, the calibrating response asks how to correct the biases. When someone argues that cost-benefit analysis is incomplete, the calibrating response asks what the analysis is missing. The tool survives the criticism because the criticism was never about the tool's existence. It was about the tool's precision.</w:t>
      </w:r>
    </w:p>
    <w:p w14:paraId="7E302DB5" w14:textId="77777777" w:rsidR="00700262" w:rsidRPr="00700262" w:rsidRDefault="00700262" w:rsidP="00700262">
      <w:r w:rsidRPr="00700262">
        <w:rPr>
          <w:i/>
          <w:iCs/>
        </w:rPr>
        <w:t>Delegitimization says: the tool is flawed, so let's stop using tools like this.</w:t>
      </w:r>
      <w:r w:rsidRPr="00700262">
        <w:t xml:space="preserve"> The imperfections are treated not as engineering problems but as evidence that the entire enterprise of measurement is suspect. The same biases in IQ tests become grounds for abandoning cognitive assessment altogether. The same incompleteness in cost-benefit analysis becomes grounds for declaring cost-benefit analysis morally inappropriate. The criticism no longer points toward a better instrument. It points toward no instrument at all. The distinction is between repairing a specific tool and banning a category of tools. Calibration preserves information, however imperfect. Delegitimization destroys it.</w:t>
      </w:r>
    </w:p>
    <w:p w14:paraId="19566434" w14:textId="77777777" w:rsidR="00700262" w:rsidRPr="00700262" w:rsidRDefault="00700262" w:rsidP="00700262">
      <w:r w:rsidRPr="00700262">
        <w:t>The practical test is what comes after. When a constraint-revealing tool is criticized, look at what replaces the information it provided. Constraints do not disappear when the tools that reveal them are eliminated. They become invisible. When standardized tests are dropped from admissions, the differences in preparation that institutions need to manage do not go away. When cost-benefit analysis is rejected as inappropriate for environmental policy, the tradeoffs in the proposals do not resolve themselves. When a diagnostic instrument is removed from clinical practice, the conditions it was designed to detect do not cease to exist.</w:t>
      </w:r>
    </w:p>
    <w:p w14:paraId="224EE4A7" w14:textId="59B055F6" w:rsidR="00700262" w:rsidRPr="00700262" w:rsidRDefault="00700262" w:rsidP="00700262">
      <w:r w:rsidRPr="00700262">
        <w:t xml:space="preserve">If the replacement is </w:t>
      </w:r>
      <w:r w:rsidR="00463E2E">
        <w:t>"</w:t>
      </w:r>
      <w:r w:rsidRPr="00700262">
        <w:t>professional judgment,</w:t>
      </w:r>
      <w:r w:rsidR="00463E2E">
        <w:t>"</w:t>
      </w:r>
      <w:r w:rsidRPr="00700262">
        <w:t xml:space="preserve"> ask what that judgment is calibrated against. If the replacement is </w:t>
      </w:r>
      <w:r w:rsidR="00463E2E">
        <w:t>"</w:t>
      </w:r>
      <w:r w:rsidRPr="00700262">
        <w:t>holistic review,</w:t>
      </w:r>
      <w:r w:rsidR="00463E2E">
        <w:t>"</w:t>
      </w:r>
      <w:r w:rsidRPr="00700262">
        <w:t xml:space="preserve"> ask how its accuracy is measured. If the replacement is nothing, then the constraint has not been addressed. It has been made harder to see, easier to deny, and easier to shift onto people who lack the standing to point out that it still exists. The University of California did not make preparation gaps disappear by eliminating the SAT. It made them invisible to the admissions process. The gaps are still there. The students still arrive with them. The institution can no longer see them coming.</w:t>
      </w:r>
    </w:p>
    <w:p w14:paraId="47A69244" w14:textId="77777777" w:rsidR="00700262" w:rsidRPr="00700262" w:rsidRDefault="00700262" w:rsidP="00700262">
      <w:r w:rsidRPr="00700262">
        <w:t>That invisibility is not neutral. It benefits someone. When a tool that reveals limits is eliminated, the people who benefit most are the people whose proposals would not survive the tool's scrutiny. The politician whose policy cannot survive cost-benefit analysis benefits when cost-benefit analysis is delegitimized. The institution whose outcomes cannot survive standardized measurement benefits when standardized measurement is eliminated. The administrator whose program cannot demonstrate results benefits when the expectation of demonstrating results is reframed as an unfair burden. The question does not assume bad faith. The politician may sincerely believe the policy is good. The institution may sincerely believe holistic review is better. Sincerity does not change the structural observation: when a constraint-revealing tool is removed, the people whose ambitions are no longer checked by that information are the primary beneficiaries of its absence. Trace the benefit. It will lead you to the constraint that was made to disappear.</w:t>
      </w:r>
    </w:p>
    <w:p w14:paraId="5C460C00" w14:textId="77777777" w:rsidR="00700262" w:rsidRPr="00700262" w:rsidRDefault="00700262" w:rsidP="00700262">
      <w:r w:rsidRPr="00700262">
        <w:t>So when you encounter an argument that a tool, a method, or a discipline should be abandoned rather than refined, listen for the turn. Does the criticism land on specific failures and point toward repair? Or does it land on the act of measuring itself and point toward elimination? The first is how knowledge gets better. The second is how it gets lost. They will sound almost identical at the start. They will sound nothing alike by the end.</w:t>
      </w:r>
    </w:p>
    <w:p w14:paraId="064738EA" w14:textId="63A16DFE" w:rsidR="00700262" w:rsidRPr="00700262" w:rsidRDefault="00700262" w:rsidP="00700262">
      <w:r w:rsidRPr="00700262">
        <w:t xml:space="preserve">None of this will make you immune to the epistemological shift this chapter describes. The cultural pressure to treat constraint-revealing tools as morally suspect is genuine and persistent, and it operates most powerfully in environments where questioning the shift carries social costs. But the habit of distinguishing calibration from delegitimization, of asking what replaces the information that was lost, of tracing who benefits from the constraint becoming invisible, is the same discipline this book has been building from the first chapter. It is </w:t>
      </w:r>
      <w:r w:rsidR="00463E2E">
        <w:t>"</w:t>
      </w:r>
      <w:r w:rsidRPr="00700262">
        <w:t>compared to what?</w:t>
      </w:r>
      <w:r w:rsidR="00463E2E">
        <w:t>"</w:t>
      </w:r>
      <w:r w:rsidRPr="00700262">
        <w:t xml:space="preserve"> applied to the tools of knowing themselves.</w:t>
      </w:r>
    </w:p>
    <w:p w14:paraId="023A9BBB" w14:textId="77777777" w:rsidR="00422E8C" w:rsidRDefault="00422E8C" w:rsidP="00F879B2"/>
    <w:p w14:paraId="66CCC3CF" w14:textId="77777777" w:rsidR="00F879B2" w:rsidRDefault="00F879B2" w:rsidP="00F879B2">
      <w:pPr>
        <w:sectPr w:rsidR="00F879B2" w:rsidSect="00422E8C">
          <w:footerReference w:type="default" r:id="rId47"/>
          <w:footerReference w:type="first" r:id="rId48"/>
          <w:endnotePr>
            <w:numFmt w:val="decimal"/>
          </w:endnotePr>
          <w:type w:val="oddPage"/>
          <w:pgSz w:w="12240" w:h="15840"/>
          <w:pgMar w:top="1440" w:right="1440" w:bottom="1440" w:left="1440" w:header="0" w:footer="720" w:gutter="0"/>
          <w:cols w:space="720"/>
          <w:formProt w:val="0"/>
          <w:docGrid w:linePitch="100"/>
        </w:sectPr>
      </w:pPr>
      <w:bookmarkStart w:id="100" w:name="_Toc227410725"/>
    </w:p>
    <w:p w14:paraId="0324DBC3" w14:textId="3F9665B4" w:rsidR="00E25CED" w:rsidRDefault="00E25CED" w:rsidP="004A7617">
      <w:pPr>
        <w:pStyle w:val="Heading2"/>
      </w:pPr>
      <w:r>
        <w:t>Why Scale No Longer Constrains Ambition</w:t>
      </w:r>
      <w:bookmarkEnd w:id="100"/>
    </w:p>
    <w:p w14:paraId="380F704E" w14:textId="6AF4B0B7" w:rsidR="00E25CED" w:rsidRDefault="00E25CED">
      <w:r>
        <w:t xml:space="preserve">In 2014, Theranos was valued at </w:t>
      </w:r>
      <w:r w:rsidR="004C45A5">
        <w:t>$10 billion</w:t>
      </w:r>
      <w:r>
        <w:t>. The company's founder, Elizabeth Holmes, had promised a revolution in blood diagnostics: a proprietary device that could run hundreds of tests from a single finger-prick of blood. The promise was extraordinary. Investors believed it. Patients began showing up at Walgreens locations in Arizona and California to have their blood drawn. The company's board of directors included Henry Kissinger, George Shultz, James Mattis, Sam Nunn, and William Perry. Between them, they had overseen wars, negotiated treaties, run the Department of Defense, and shaped half a century of American foreign policy.</w:t>
      </w:r>
    </w:p>
    <w:p w14:paraId="4354229C" w14:textId="77777777" w:rsidR="00E25CED" w:rsidRDefault="00E25CED">
      <w:r>
        <w:t>None of them caught the math.</w:t>
      </w:r>
    </w:p>
    <w:p w14:paraId="0DC083BB" w14:textId="3C3272CB" w:rsidR="00E25CED" w:rsidRDefault="00E25CED">
      <w:r>
        <w:t xml:space="preserve">A finger-prick produces roughly </w:t>
      </w:r>
      <w:r w:rsidR="004C45A5">
        <w:t>25 to 50</w:t>
      </w:r>
      <w:r>
        <w:t xml:space="preserve"> microliters of blood. Divide that by hundreds of tests and you are working with sub-microliter samples, quantities so small that the molecules being tested for fall below the threshold where instruments can reliably detect them. This is not a subtle problem. It is not a problem that requires a graduate degree in biochemistry to understand. It requires only the ability to hold two numbers in your head at the same time and sense that one of them has been divided into something that cannot possibly work. Lab technicians heard the pitch and knew it was impossible. Not suspected. Knew. The volume math ruled it out before any question about the technology needed to be asked.</w:t>
      </w:r>
    </w:p>
    <w:p w14:paraId="5A3D7413" w14:textId="5AEBA36C" w:rsidR="003D0499" w:rsidRDefault="003D0499">
      <w:r w:rsidRPr="003D0499">
        <w:t xml:space="preserve">The board did not hear what the lab technicians heard. They did not have the </w:t>
      </w:r>
      <w:r w:rsidR="000F050D" w:rsidRPr="000F050D">
        <w:t>trained intuition</w:t>
      </w:r>
      <w:r w:rsidR="000F050D">
        <w:t xml:space="preserve"> </w:t>
      </w:r>
      <w:r w:rsidRPr="003D0499">
        <w:t>that made the impossibility obvious. Kissinger, Shultz, Mattis, Nunn, Perry: these were not unintelligent people. They were among the most experienced institutional decision-makers alive. But their experience was in domains where quantitative intuition about physical constraints was never the skill that mattered. They evaluated Theranos the way they had been trained by decades of high-level decision-making to evaluate anything: Is the person credible? Is the mission important? Who else has committed? Those are social questions and moral questions. They are precisely the kind of questions you ask when the mathematical check is absent.</w:t>
      </w:r>
    </w:p>
    <w:p w14:paraId="2ECE3739" w14:textId="2E77DADA" w:rsidR="00E25CED" w:rsidRDefault="00E25CED">
      <w:r>
        <w:t xml:space="preserve">Holmes understood this, whether consciously or not. She built a board of people whose authority was political, military, and diplomatic, people whose judgment had been tested at the highest levels on questions of strategy and credibility, and never on questions of volume, concentration, or detection thresholds. A board of lab scientists would have killed the company in its first funding round. A board of generals and secretaries of state kept it alive to </w:t>
      </w:r>
      <w:r w:rsidR="00961EEC">
        <w:t>$10 billion</w:t>
      </w:r>
      <w:r>
        <w:t xml:space="preserve">. The difference was not intelligence. It was not diligence. It was the presence or absence of a </w:t>
      </w:r>
      <w:r w:rsidR="00D3412E" w:rsidRPr="00D3412E">
        <w:t>single trained sense</w:t>
      </w:r>
      <w:r>
        <w:t xml:space="preserve">: the ability to </w:t>
      </w:r>
      <w:r w:rsidR="00D3412E">
        <w:t>feel</w:t>
      </w:r>
      <w:r>
        <w:t xml:space="preserve"> when a number has been pushed past the point where it can possibly work.</w:t>
      </w:r>
    </w:p>
    <w:p w14:paraId="43CC815D" w14:textId="1A90A788" w:rsidR="003D0499" w:rsidRPr="003D0499" w:rsidRDefault="003D0499" w:rsidP="003D0499">
      <w:r w:rsidRPr="003D0499">
        <w:t xml:space="preserve">Holmes was eventually convicted on four counts of wire fraud and conspiracy. She was sentenced to more than </w:t>
      </w:r>
      <w:r w:rsidR="004C45A5">
        <w:t>11</w:t>
      </w:r>
      <w:r w:rsidRPr="003D0499">
        <w:t xml:space="preserve"> years in federal prison. Theranos collapsed. But the fraud is not the lesson that matters here. Fraud has always existed and will always exist. What the Theranos story reveals is something more unsettling than the existence of a con artist: what a society looks like when the first line of defense against fraud, the instinctive sense that something does not add up, has been lost by the people in charge of catching it. The lab technicians still had it. The board, the investors, and eventually the patients did not. The question is how that happened, what it is costing, and whether </w:t>
      </w:r>
      <w:r w:rsidR="00D3412E">
        <w:t>that intuition</w:t>
      </w:r>
      <w:r w:rsidRPr="003D0499">
        <w:t xml:space="preserve"> can be rebuilt.</w:t>
      </w:r>
    </w:p>
    <w:p w14:paraId="2371CFFE" w14:textId="55733957" w:rsidR="00E25CED" w:rsidRDefault="00E25CED">
      <w:pPr>
        <w:pStyle w:val="Heading3"/>
      </w:pPr>
      <w:bookmarkStart w:id="101" w:name="_Toc227410726"/>
      <w:r>
        <w:t>What Mathematical Thinking Actually Is</w:t>
      </w:r>
      <w:bookmarkEnd w:id="101"/>
    </w:p>
    <w:p w14:paraId="60451B3D" w14:textId="77777777" w:rsidR="00E25CED" w:rsidRDefault="00E25CED">
      <w:r>
        <w:t>The ignorance tax takes many forms in this book. It appears in housing policy, in drug enforcement, in school discipline reform, in the gap between what politicians promise and what institutions deliver. But one of its least visible and most consequential forms was paid in the classroom, over decades, by a system that wanted mathematically capable graduates without doing the work of actually producing them. That trade seemed reasonable at the time. It has been catastrophic in practice.</w:t>
      </w:r>
    </w:p>
    <w:p w14:paraId="5632D670" w14:textId="35C8A34F" w:rsidR="00E25CED" w:rsidRDefault="00E25CED">
      <w:r>
        <w:t xml:space="preserve">The problem is not what people usually mean when they say society is bad at math: declining test scores, fear of algebra, dependence on calculators. Those are symptoms. The deeper loss is a much older and more basic capacity: the ability to reason intuitively about magnitude, scale, proportion, and accumulation. This form of thinking once functioned as a background check on ambition, the mental </w:t>
      </w:r>
      <w:r w:rsidR="00D3412E">
        <w:t>reflex</w:t>
      </w:r>
      <w:r>
        <w:t xml:space="preserve"> that sensed when a number was wrong, a budget couldn't balance, or a plan couldn't survive being multiplied by a million. For a growing share of the people now making institutional decisions, that check is simply gone.</w:t>
      </w:r>
    </w:p>
    <w:p w14:paraId="77597A60" w14:textId="77777777" w:rsidR="00E25CED" w:rsidRDefault="00E25CED">
      <w:r>
        <w:t>What follows may sound abstract, because it touches the structure of the mind, not a specific policy. But it is not difficult to understand.</w:t>
      </w:r>
    </w:p>
    <w:p w14:paraId="3EB8A019" w14:textId="77777777" w:rsidR="00E25CED" w:rsidRDefault="00E25CED">
      <w:r>
        <w:t>Human intelligence is not a single, general-purpose ability that improves across all domains at once. We can become highly competent in language, social reasoning, moral judgment, and professional expertise while remaining surprisingly weak at one specific thing: tracking quantity. A chess grandmaster is not necessarily a shrewd investor. A brilliant writer may have no intuition for compound interest. Learning more in one area does not automatically exercise all the others.</w:t>
      </w:r>
    </w:p>
    <w:p w14:paraId="53D4A568" w14:textId="77777777" w:rsidR="003D0499" w:rsidRPr="003D0499" w:rsidRDefault="003D0499" w:rsidP="003D0499">
      <w:r w:rsidRPr="003D0499">
        <w:t>Mathematical thinking, as this chapter uses the term, does not mean advanced mathematics. It refers to the capacity to distinguish between small and large, between one-time and recurring, between linear change and exponential growth. It includes an intuitive grasp of orders of magnitude, time horizons, and compounding effects: the sense that something is wrong when numbers are being treated casually.</w:t>
      </w:r>
    </w:p>
    <w:p w14:paraId="53758C10" w14:textId="77777777" w:rsidR="00E25CED" w:rsidRDefault="00E25CED">
      <w:r>
        <w:t>This kind of thinking once functioned as a cognitive constraint. It prevented people from proposing solutions whose scale alone should have made them obviously unworkable. It forced rough mental checks before plans were approved: Does this add up? How many times does this repeat? What happens when this scales to millions?</w:t>
      </w:r>
    </w:p>
    <w:p w14:paraId="5F8B161B" w14:textId="77777777" w:rsidR="00E25CED" w:rsidRDefault="00E25CED">
      <w:r>
        <w:t>When that constraint disappears, reasoning becomes unmoored. Decisions that would once have felt obviously reckless begin to feel merely ambitious.</w:t>
      </w:r>
    </w:p>
    <w:p w14:paraId="75DBF0E8" w14:textId="77777777" w:rsidR="00E25CED" w:rsidRDefault="00E25CED">
      <w:pPr>
        <w:pStyle w:val="Heading3"/>
      </w:pPr>
      <w:bookmarkStart w:id="102" w:name="_Toc227410727"/>
      <w:r>
        <w:t>Why Losing It Costs More Than Losing a Subject</w:t>
      </w:r>
      <w:bookmarkEnd w:id="102"/>
    </w:p>
    <w:p w14:paraId="11B5F217" w14:textId="77777777" w:rsidR="00E25CED" w:rsidRDefault="00E25CED">
      <w:r>
        <w:t>Mathematical thinking matters here not because everyone needs advanced math, but because quantitative reasoning forces a kind of mental discipline that most other activities do not. It trains the habit of holding multiple constraints in mind at the same time. It requires checking intuition against structure. It punishes hand-waving. It rewards following a chain of implications to the end instead of stopping when the conclusion feels emotionally satisfying. That discipline is essential to clear reasoning about policy. And it does not reliably develop unless it is exercised explicitly.</w:t>
      </w:r>
    </w:p>
    <w:p w14:paraId="0C150EF0" w14:textId="5DBA5669" w:rsidR="00E25CED" w:rsidRDefault="00E25CED">
      <w:r>
        <w:t xml:space="preserve">This is the point that tends to get lost in arguments about math education, and it is the point that matters most. The process of doing mathematics, actually working through calculations by hand, drilling procedures until they become automatic, recognizing patterns through repetition, is not merely how students arrive at correct answers. It is how the human brain builds the cognitive architecture it uses for problem-solving, critical thinking, and reasoning about structure. The correct answers are a byproduct. The real product is the </w:t>
      </w:r>
      <w:r w:rsidR="00D3412E">
        <w:t>discipline</w:t>
      </w:r>
      <w:r>
        <w:t xml:space="preserve"> that develops in the process of getting there.</w:t>
      </w:r>
    </w:p>
    <w:p w14:paraId="1EEAB19B" w14:textId="324F055D" w:rsidR="00E25CED" w:rsidRDefault="00E25CED">
      <w:r>
        <w:t xml:space="preserve">The brain does not develop this </w:t>
      </w:r>
      <w:r w:rsidR="00D3412E">
        <w:t>discipline</w:t>
      </w:r>
      <w:r>
        <w:t xml:space="preserve"> passively. It develops it the way muscles develop under resistance: through sustained, repeated effort against problems that require it. A student who works through long division by hand hundreds of times is not just learning long division. That student is training the part of the brain that holds multiple quantities in working memory, that tracks relationships between numbers, that senses when a result feels wrong before checking the work. A student who punches the same problem into a calculator is getting the same answer without doing any of the cognitive work that produces the capacity. The answer arrives. The </w:t>
      </w:r>
      <w:r w:rsidR="00D3412E">
        <w:t>cognitive discipline</w:t>
      </w:r>
      <w:r>
        <w:t xml:space="preserve"> does not.</w:t>
      </w:r>
    </w:p>
    <w:p w14:paraId="2CAC456D" w14:textId="77777777" w:rsidR="00E25CED" w:rsidRDefault="00E25CED">
      <w:r>
        <w:t>This distinction is what makes the loss of mathematical rigor so much more expensive than it appears. When a school system stops requiring students to genuinely learn mathematics, it is not merely removing a subject from the curriculum. It is removing the primary exercise that develops a specific cognitive capacity, one the brain will use for the rest of that person's life in every domain that involves proportion, magnitude, tradeoffs, or accumulating effects. You do not lose math. You lose the ability to reason about problems whose structure depends on quantity.</w:t>
      </w:r>
    </w:p>
    <w:p w14:paraId="67F03053" w14:textId="5D3A418D" w:rsidR="00E25CED" w:rsidRDefault="00E25CED">
      <w:r>
        <w:t xml:space="preserve">I saw this in my own classroom. I was teaching a college economics course, and we were calculating net exports. The United States runs a trade deficit, so the arithmetic is simple: exports minus imports. The numbers were </w:t>
      </w:r>
      <w:r w:rsidR="004C45A5">
        <w:t>14 and 17</w:t>
      </w:r>
      <w:r>
        <w:t xml:space="preserve">. I asked the class: what is </w:t>
      </w:r>
      <w:r w:rsidR="004C45A5">
        <w:t>14 minus 17</w:t>
      </w:r>
      <w:r>
        <w:t>?</w:t>
      </w:r>
    </w:p>
    <w:p w14:paraId="5D8CE3B3" w14:textId="7F4C2E42" w:rsidR="003D0499" w:rsidRPr="003D0499" w:rsidRDefault="003D0499" w:rsidP="003D0499">
      <w:r w:rsidRPr="003D0499">
        <w:t xml:space="preserve">Nobody answered. I watched students reach for their phones and calculators to subtract </w:t>
      </w:r>
      <w:r w:rsidR="003D3E5F">
        <w:t>17</w:t>
      </w:r>
      <w:r w:rsidRPr="003D0499">
        <w:t xml:space="preserve"> from </w:t>
      </w:r>
      <w:r w:rsidR="003D3E5F">
        <w:t>14</w:t>
      </w:r>
      <w:r w:rsidRPr="003D0499">
        <w:t xml:space="preserve">. These were college students, enrolled in an economics course, confronting a subtraction problem a competent </w:t>
      </w:r>
      <w:r w:rsidR="005F572F">
        <w:t>10</w:t>
      </w:r>
      <w:r w:rsidRPr="003D0499">
        <w:t>-year-old should handle in her head. Either I did not have a single student in that classroom who could make the calculation without a machine, or the one or two who could were too aware that answering would embarrass classmates who could not. I do not know which explanation is worse.</w:t>
      </w:r>
    </w:p>
    <w:p w14:paraId="7776E651" w14:textId="74CFFF67" w:rsidR="00E25CED" w:rsidRDefault="00E25CED">
      <w:r>
        <w:t xml:space="preserve">What I do know is what I was looking at. I was looking at a room full of people whose brains had never been forced to do the work that develops quantitative intuition. They had passed every math class they had ever taken. They had arrived at college. They were, by every institutional measure, mathematically adequate. And they could not subtract </w:t>
      </w:r>
      <w:r w:rsidR="005F572F" w:rsidRPr="005F572F">
        <w:t>17 from 14</w:t>
      </w:r>
      <w:r w:rsidR="005F572F">
        <w:t xml:space="preserve"> </w:t>
      </w:r>
      <w:r>
        <w:t xml:space="preserve">without reaching for a device. The procedures had been completed. The tests had been passed. The </w:t>
      </w:r>
      <w:r w:rsidR="00D3412E">
        <w:t>intuition</w:t>
      </w:r>
      <w:r>
        <w:t xml:space="preserve"> had never formed.</w:t>
      </w:r>
    </w:p>
    <w:p w14:paraId="276EA232" w14:textId="77777777" w:rsidR="00E25CED" w:rsidRDefault="00E25CED">
      <w:r>
        <w:t>The common argument against mathematical rigor is that calculators and computers have made manual computation unnecessary. The argument sounds reasonable. It is catastrophically wrong. It confuses the output of mathematical thinking with the process that produces the capacity for mathematical thinking. A calculator can produce a correct answer. It cannot produce the cognitive discipline that comes from the sustained effort of reaching that answer yourself. Telling a student to use a calculator instead of learning to compute is like telling an athlete to ride in a car instead of running. The destination is the same. The body that arrives there is not.</w:t>
      </w:r>
    </w:p>
    <w:p w14:paraId="5A5119E0" w14:textId="77777777" w:rsidR="00E25CED" w:rsidRDefault="00E25CED">
      <w:r>
        <w:t>If the mind cannot feel the difference between a million and a billion as a difference in kind rather than emphasis, it will consistently approve plans that sound compassionate and reasonable but collapse under multiplication. That feeling does not come from owning a calculator. It comes from years of working with numbers until the magnitudes become intuitive, until a wrong answer registers as a sensation before it registers as an error. That is what mathematical training builds. And that is what is no longer being built.</w:t>
      </w:r>
    </w:p>
    <w:p w14:paraId="745A8BAD" w14:textId="77777777" w:rsidR="00E25CED" w:rsidRDefault="00E25CED">
      <w:pPr>
        <w:pStyle w:val="Heading3"/>
      </w:pPr>
      <w:bookmarkStart w:id="103" w:name="_Toc227410728"/>
      <w:r>
        <w:t>How the System Stopped Requiring It</w:t>
      </w:r>
      <w:bookmarkEnd w:id="103"/>
    </w:p>
    <w:p w14:paraId="50AD5BDD" w14:textId="77777777" w:rsidR="00E25CED" w:rsidRDefault="00E25CED">
      <w:r>
        <w:t>The disappearance of intuitive scale reasoning was not a cultural accident. It was produced by a system responding to incentives, the same way every failure in this book was produced. But unlike the failures in housing or healthcare or drug enforcement, this one operated so gradually and across so many fronts that no single policy, no single decision, no single moment can be pointed to as the cause. What happened is simpler and worse than any single cause: the system stopped requiring people to learn mathematics in any meaningful way, and nobody held anyone accountable for the result.</w:t>
      </w:r>
    </w:p>
    <w:p w14:paraId="25AA1C68" w14:textId="77777777" w:rsidR="00E25CED" w:rsidRDefault="00E25CED">
      <w:r>
        <w:t>That sentence is worth pausing on, because the instinct is to look for a more specific explanation. Standardized testing changed what teachers prioritized. Curriculum reforms shifted emphasis away from computation. Grade inflation made it possible to pass without mastering anything. Each of these contributed. But none of them is the center of the story. The center is the absence of a forcing function. At no point in the American educational pipeline, from elementary school through college, is a student required to demonstrate genuine mathematical competence in order to advance. Not computational fluency. Not conceptual understanding. Not the ability to sense when a number is wrong. Nothing. A student can move from kindergarten through a bachelor's degree without ever being forced into the sustained cognitive work that builds quantitative intuition. And because no institution requires it, no institution teaches it as though it matters.</w:t>
      </w:r>
    </w:p>
    <w:p w14:paraId="0A108392" w14:textId="6DA5C1DE" w:rsidR="00E25CED" w:rsidRDefault="00E25CED">
      <w:r>
        <w:t xml:space="preserve">The incentive chain is the same one the book has traced in every other domain. Teachers respond to the metrics by which they are judged. If the metric is test passage rates, they teach what produces passage. If the consequence for a student who cannot subtract is the same as the consequence for a student who can, both advance to the next grade, then the incentive to ensure the first student actually learns is zero. Administrators align resources with what the system rewards. If the system rewards graduation rates and completion numbers, administrators build curricula that maximize those outputs. The student who cannot do arithmetic in her head but can follow procedures well enough to fill in the right bubbles is, from the system's perspective, a success. She will graduate. She will be counted. The </w:t>
      </w:r>
      <w:r w:rsidR="00D3412E">
        <w:t>ability</w:t>
      </w:r>
      <w:r>
        <w:t xml:space="preserve"> that was never </w:t>
      </w:r>
      <w:r w:rsidR="007606DF">
        <w:t>developed</w:t>
      </w:r>
      <w:r>
        <w:t xml:space="preserve"> will never be measured, because the system does not measure it.</w:t>
      </w:r>
    </w:p>
    <w:p w14:paraId="3CCC8C3D" w14:textId="697E0B39" w:rsidR="007478E2" w:rsidRPr="007478E2" w:rsidRDefault="007478E2" w:rsidP="007478E2">
      <w:r w:rsidRPr="007478E2">
        <w:t xml:space="preserve">The result is not students who failed math. It is students who passed math without ever learning it. They completed the coursework, earned the credits, received the grades, and arrived at adulthood without the cognitive capacity that mathematical training was supposed to develop. The system measured procedural completion and assumed the underlying competence would come along for free. It did not. This is a </w:t>
      </w:r>
      <w:r w:rsidR="00DA359C" w:rsidRPr="00DA359C">
        <w:rPr>
          <w:i/>
        </w:rPr>
        <w:t>ceteris paribus</w:t>
      </w:r>
      <w:r w:rsidRPr="007478E2">
        <w:t xml:space="preserve"> error operating inside the institution that was supposed to prevent </w:t>
      </w:r>
      <w:r w:rsidR="00DA359C" w:rsidRPr="00DA359C">
        <w:rPr>
          <w:i/>
        </w:rPr>
        <w:t>ceteris paribus</w:t>
      </w:r>
      <w:r w:rsidRPr="007478E2">
        <w:t xml:space="preserve"> errors: the education system optimized for what could be measured while assuming the capacity that rigorous mathematics develops would persist without it.</w:t>
      </w:r>
    </w:p>
    <w:p w14:paraId="701958CF" w14:textId="77777777" w:rsidR="00E25CED" w:rsidRDefault="00E25CED">
      <w:r>
        <w:t>The absence of accountability runs in every direction. Students are not held accountable for failing to learn math because the system advances them regardless. Teachers are not held accountable for failing to teach math because their evaluation depends on metrics that do not capture whether genuine learning occurred. Administrators are not held accountable for presiding over the erosion because graduation rates, the number they are judged by, continue to rise. Parents, who might once have insisted their children learn mathematics, increasingly cannot tell whether their children have learned it because they themselves went through the same system. The feedback loop that would catch the problem has been broken at every node.</w:t>
      </w:r>
    </w:p>
    <w:p w14:paraId="1770EC9F" w14:textId="77777777" w:rsidR="00E25CED" w:rsidRDefault="00E25CED">
      <w:r>
        <w:t>Into this vacuum, several forces accelerated the collapse. Calculator manufacturers, companies like Casio and Texas Instruments whose revenue depends on schools purchasing their products, invested heavily in shaping the educational environment where their devices would be required rather than supplemental. This is not conspiracy. It is the ordinary operation of corporate incentives in a system where nobody is pushing back. When the people who decide what tools students use have no quantitative intuition themselves, the argument that calculators make computation unnecessary sounds reasonable. It sounds reasonable because the people hearing it cannot feel what is being lost.</w:t>
      </w:r>
    </w:p>
    <w:p w14:paraId="207CAF8C" w14:textId="77777777" w:rsidR="007478E2" w:rsidRPr="007478E2" w:rsidRDefault="007478E2" w:rsidP="007478E2">
      <w:r w:rsidRPr="007478E2">
        <w:t>More recently, and more corrosively, mathematical rigor itself has been reframed in parts of the educational establishment as a form of cultural oppression. The argument is that traditional mathematics instruction, with its emphasis on correct answers, procedural fluency, and demonstrable competence, reflects and reinforces existing power structures. Whatever the merits of the underlying concern about equity in education, the practical effect of this reframing has been to make it politically costly to defend rigorous mathematical standards. When requiring students to actually learn mathematics can be characterized as perpetuating oppression, the institutional incentive to require it disappears. Moral framing replaces analytical reasoning, and the cost of the substitution is borne by the people who can least afford it. The students who most need the cognitive development that mathematical training provides are the ones most likely to attend schools where that training is no longer demanded.</w:t>
      </w:r>
    </w:p>
    <w:p w14:paraId="3DDFC61C" w14:textId="77777777" w:rsidR="00E25CED" w:rsidRDefault="00E25CED">
      <w:r>
        <w:t>No one chose this outcome. No committee voted to eliminate quantitative intuition from the American population. No administrator decided that the next generation should be unable to sense when a budget is impossible. The system responded to its own incentives. Accountability was measured by completion, not competence. Ease was rewarded. Rigor was punished by lower pass rates, angry parents, political backlash, and the accusation that expecting students to do hard things was itself a form of harm. At every decision point, the path of least resistance led away from requiring genuine mathematical learning. And because the capacity that was not required was not developed, a generation arrived at adulthood able to follow procedures when prompted but unable to sense when a number is absurd or a plan cannot survive its own arithmetic.</w:t>
      </w:r>
    </w:p>
    <w:p w14:paraId="4CBFE315" w14:textId="77777777" w:rsidR="00E25CED" w:rsidRDefault="00E25CED">
      <w:pPr>
        <w:pStyle w:val="Heading3"/>
      </w:pPr>
      <w:bookmarkStart w:id="104" w:name="_Toc227410729"/>
      <w:r>
        <w:t>What Fills the Vacuum</w:t>
      </w:r>
      <w:bookmarkEnd w:id="104"/>
    </w:p>
    <w:p w14:paraId="78777E55" w14:textId="002DECB8" w:rsidR="00E25CED" w:rsidRDefault="00E25CED">
      <w:r>
        <w:t xml:space="preserve">The graduates shaped by that system eventually become the analysts, managers, and executives who approve institutional plans. When mathematical thinking fades as an internal check, moral reasoning begins to substitute for proportional reasoning. Policies are evaluated by intention, not feasibility. Urgency replaces estimation. The question shifts from </w:t>
      </w:r>
      <w:r w:rsidR="00463E2E">
        <w:t>"</w:t>
      </w:r>
      <w:r>
        <w:t>will this work at scale?</w:t>
      </w:r>
      <w:r w:rsidR="00463E2E">
        <w:t>"</w:t>
      </w:r>
      <w:r>
        <w:t xml:space="preserve"> to </w:t>
      </w:r>
      <w:r w:rsidR="00463E2E">
        <w:t>"</w:t>
      </w:r>
      <w:r>
        <w:t>who could possibly object?</w:t>
      </w:r>
      <w:r w:rsidR="00463E2E">
        <w:t>"</w:t>
      </w:r>
    </w:p>
    <w:p w14:paraId="1B367DB0" w14:textId="39BCFAF8" w:rsidR="00E25CED" w:rsidRDefault="00E25CED">
      <w:r>
        <w:t xml:space="preserve">This substitution does not announce itself. The people making decisions do not experience themselves as reasoning poorly. They experience themselves as reasoning about what matters: the mission, the values, the people who will be helped, the injustice that will be corrected. These are real considerations. They are not sufficient ones. A plan whose arithmetic does not work will fail regardless of how morally compelling its purpose is. But when the </w:t>
      </w:r>
      <w:r w:rsidR="000D0B7B">
        <w:t xml:space="preserve">habit of checking </w:t>
      </w:r>
      <w:r>
        <w:t>the arithmetic has never been developed, the arithmetic never gets checked. The moral case becomes the entire case because it is the only evaluative tool in the room.</w:t>
      </w:r>
    </w:p>
    <w:p w14:paraId="148097B1" w14:textId="7EC13224" w:rsidR="00E25CED" w:rsidRDefault="00E25CED">
      <w:r>
        <w:t xml:space="preserve">In January 2019, WeWork was valued at </w:t>
      </w:r>
      <w:r w:rsidR="005F572F">
        <w:t>$47 billion</w:t>
      </w:r>
      <w:r>
        <w:t xml:space="preserve">. SoftBank's Masayoshi Son had invested more than </w:t>
      </w:r>
      <w:r w:rsidR="004C45A5">
        <w:t>$10 billion</w:t>
      </w:r>
      <w:r>
        <w:t xml:space="preserve"> in the company over the preceding years, making it one of the most heavily funded startups in history. Seven months later, WeWork filed its S-1 with the Securities and Exchange Commission in preparation for going public, and for the first time, the numbers were on the page where anyone could read them.</w:t>
      </w:r>
    </w:p>
    <w:p w14:paraId="29CDA3D5" w14:textId="4BAFB2D1" w:rsidR="006A4660" w:rsidRPr="006A4660" w:rsidRDefault="006A4660" w:rsidP="006A4660">
      <w:r w:rsidRPr="006A4660">
        <w:t xml:space="preserve">What the filing showed was not complicated. WeWork had committed to </w:t>
      </w:r>
      <w:r w:rsidR="005F572F">
        <w:t>$47 billion</w:t>
      </w:r>
      <w:r w:rsidR="005F572F" w:rsidRPr="006A4660">
        <w:t xml:space="preserve"> </w:t>
      </w:r>
      <w:r w:rsidRPr="006A4660">
        <w:t xml:space="preserve">in future lease obligations. Revenue in 2018 was </w:t>
      </w:r>
      <w:r w:rsidR="001A6028">
        <w:t>$1.8 billion</w:t>
      </w:r>
      <w:r w:rsidRPr="006A4660">
        <w:t xml:space="preserve">. The loss that year was </w:t>
      </w:r>
      <w:r w:rsidR="001A6028">
        <w:t>$</w:t>
      </w:r>
      <w:r w:rsidRPr="006A4660">
        <w:t>1.9 billion, meaning the company was losing slightly more money than it was bringing in. Its tenants signed short-term leases averaging two years. Its landlords held long-term leases stretching decades. The entire business model depended on continuously filling desks at a rate that the company had never demonstrated it could sustain, while absorbing costs that basic multiplication showed were growing faster than revenue.</w:t>
      </w:r>
    </w:p>
    <w:p w14:paraId="7BC50E4C" w14:textId="12CA9112" w:rsidR="00E25CED" w:rsidRDefault="00E25CED">
      <w:r>
        <w:t xml:space="preserve">None of this was hidden. It was in the filing. The numbers were not buried in footnotes or obscured by complex financial instruments. Revenue, expenses, obligations, losses. Fourth-grade arithmetic. And for the years that WeWork operated as a private company, raising money from private investors who were not required to show their work, nobody who mattered did the fourth-grade arithmetic. Son later said, </w:t>
      </w:r>
      <w:r w:rsidR="00463E2E">
        <w:t>"</w:t>
      </w:r>
      <w:r>
        <w:t>It was foolish of me. I was wrong.</w:t>
      </w:r>
      <w:r w:rsidR="00463E2E">
        <w:t>"</w:t>
      </w:r>
    </w:p>
    <w:p w14:paraId="51C2837A" w14:textId="130757FA" w:rsidR="00E25CED" w:rsidRDefault="00E25CED">
      <w:r>
        <w:t xml:space="preserve">When the filing went public, a different set of investors looked at it. Public market investors, whose entire profession requires reading financial statements and checking whether the math works, saw the same numbers the private investors had access to and reached the opposite conclusion. In six weeks, WeWork's valuation collapsed from </w:t>
      </w:r>
      <w:r w:rsidR="001B6FB1">
        <w:t>$47 billion</w:t>
      </w:r>
      <w:r>
        <w:t xml:space="preserve"> to under </w:t>
      </w:r>
      <w:r w:rsidR="001B6FB1">
        <w:t>$10 billion</w:t>
      </w:r>
      <w:r>
        <w:t>. The company withdrew its IPO. The difference between the two groups of investors was not information. They had the same information. The difference was whether anyone in the room did the math.</w:t>
      </w:r>
    </w:p>
    <w:p w14:paraId="63D6098A" w14:textId="77777777" w:rsidR="006A4660" w:rsidRPr="006A4660" w:rsidRDefault="006A4660" w:rsidP="006A4660">
      <w:r w:rsidRPr="006A4660">
        <w:t>Quietly, costs compound. Targets assume levels of coordination no system can sustain. When plans fail, the diagnosis is always insufficient commitment or inadequate funding, never the reasoning error that produced the plan. An institution that cannot sense when its own budget is impossible will keep failing and keep concluding that the failure was caused by something other than the math it never checked.</w:t>
      </w:r>
    </w:p>
    <w:p w14:paraId="1F201D16" w14:textId="496417E2" w:rsidR="00E25CED" w:rsidRDefault="00E25CED">
      <w:r>
        <w:t xml:space="preserve">Consider the federal Paycheck Protection Program, launched in 2020. Congress authorized roughly </w:t>
      </w:r>
      <w:r w:rsidR="001A6028">
        <w:t>$800 billion</w:t>
      </w:r>
      <w:r>
        <w:t xml:space="preserve"> in loans to small businesses, distributed by banks with minimal verification. Borrowers self-reported their employee counts and payroll figures. The Government Accountability Office later estimated that approximately </w:t>
      </w:r>
      <w:r w:rsidR="001A6028">
        <w:t xml:space="preserve">$200 billion </w:t>
      </w:r>
      <w:r>
        <w:t xml:space="preserve">went to potentially fraudulent claims. Many of these were not sophisticated fraud. They were mathematically absurd on their face: businesses claiming dozens of employees and six-figure monthly payrolls that did not exist, filed by individuals with no business history. The multiplication required to flag them was trivial: claimed employees times claimed average wage times claimed months. If the product did not match anything a real business of that size could produce, the application was fraudulent. But the program was designed to move fast, and moving fast meant nobody was asked to check whether the numbers were plausible. </w:t>
      </w:r>
      <w:r w:rsidR="007460A9" w:rsidRPr="007460A9">
        <w:t>Elementary arithmetic would have caught $200 billion in fraud</w:t>
      </w:r>
      <w:r>
        <w:t>.</w:t>
      </w:r>
    </w:p>
    <w:p w14:paraId="2E0886D2" w14:textId="0718FF1A" w:rsidR="00E25CED" w:rsidRDefault="00E25CED">
      <w:r>
        <w:t xml:space="preserve">The Theranos board could not feel that a drop of blood divided by </w:t>
      </w:r>
      <w:r w:rsidR="001A6028">
        <w:t>200</w:t>
      </w:r>
      <w:r>
        <w:t xml:space="preserve"> tests produces nothing usable. WeWork's private investors could not feel that </w:t>
      </w:r>
      <w:r w:rsidR="001A6028">
        <w:t>$47 billion</w:t>
      </w:r>
      <w:r>
        <w:t xml:space="preserve"> in obligations against </w:t>
      </w:r>
      <w:r w:rsidR="001A6028">
        <w:t>$1.8 billion</w:t>
      </w:r>
      <w:r>
        <w:t xml:space="preserve"> in revenue is a company that is losing money on every desk. The PPP's architects could not feel that distributing </w:t>
      </w:r>
      <w:r w:rsidR="001A6028">
        <w:t>$800 billion</w:t>
      </w:r>
      <w:r>
        <w:t xml:space="preserve"> without checking basic multiplication would produce fraud at a scale that dwarfs the annual budget of most federal agencies. In each case, the people making the decisions were not stupid, careless, or corrupt. </w:t>
      </w:r>
      <w:r w:rsidR="000D0B7B" w:rsidRPr="000D0B7B">
        <w:t>They were operating without the trained instinct that would have told them something was wrong before the analysis even began</w:t>
      </w:r>
      <w:r>
        <w:t>. The background check on ambition had been removed, and nobody noticed it was gone until the bills came due.</w:t>
      </w:r>
    </w:p>
    <w:p w14:paraId="1828F81D" w14:textId="77777777" w:rsidR="00E25CED" w:rsidRDefault="00E25CED">
      <w:pPr>
        <w:pStyle w:val="Heading3"/>
      </w:pPr>
      <w:bookmarkStart w:id="105" w:name="_Toc227410730"/>
      <w:r>
        <w:t>The Dual Degradation</w:t>
      </w:r>
      <w:bookmarkEnd w:id="105"/>
    </w:p>
    <w:p w14:paraId="76C3317F" w14:textId="77777777" w:rsidR="00E25CED" w:rsidRDefault="00E25CED">
      <w:r>
        <w:t>The preceding chapter described what happens when the information environment itself begins to degrade, when AI-generated content floods the space where verified knowledge used to live, when the cost of producing convincing falsehoods drops to zero while the cost of verifying them remains high, when the shared capacity to distinguish true from false erodes under the weight of synthetic noise. That chapter argued that the epistemic commons is being degraded by free lunch thinking applied to information itself, and that the degradation propagates into every domain the book has examined.</w:t>
      </w:r>
    </w:p>
    <w:p w14:paraId="394EC17C" w14:textId="77777777" w:rsidR="00E25CED" w:rsidRDefault="00E25CED">
      <w:r>
        <w:t>This chapter has described a different degradation, operating through an entirely different mechanism. The cognitive capacity to evaluate quantitative claims, to sense when a number is wrong before any analysis begins, to feel the difference between a budget that is tight and a budget that is impossible, has been eroded by an education system that stopped requiring the work that develops it. This is not a technology problem. It is not an AI problem. It is an incentive problem inside the oldest institution the book examines: the school system that was supposed to produce citizens capable of reasoning about the world they would inherit.</w:t>
      </w:r>
    </w:p>
    <w:p w14:paraId="1D617EB3" w14:textId="77777777" w:rsidR="00E25CED" w:rsidRDefault="00E25CED">
      <w:r>
        <w:t>These two degradations are independent. Neither caused the other. The education system's abandonment of mathematical rigor began decades before generative AI existed. The AI deployment landscape would be degrading the information environment regardless of what was happening in schools. They share no mechanism, no timeline, no institutional overlap. They are connected only by their destination.</w:t>
      </w:r>
    </w:p>
    <w:p w14:paraId="40466BE6" w14:textId="77777777" w:rsidR="00E25CED" w:rsidRDefault="00E25CED">
      <w:r>
        <w:t>That destination is a society in which the quality of available information is declining at the same time as the capacity to evaluate whatever information remains. The external infrastructure of knowledge and the internal infrastructure of reasoning are both deteriorating, simultaneously, through unrelated causes, and neither problem is going to fix the other. A generation with strong quantitative intuition could better resist AI-generated misinformation, because they would feel when the numbers in a synthetic article did not add up. A clean information environment would make weak quantitative intuition less dangerous, because the information people relied on would at least be accurate even if they could not evaluate it critically. But we are not getting either of those. We are getting both degradations at once.</w:t>
      </w:r>
    </w:p>
    <w:p w14:paraId="2FA17A59" w14:textId="39FF338D" w:rsidR="006A4660" w:rsidRPr="006A4660" w:rsidRDefault="006A4660" w:rsidP="006A4660">
      <w:r w:rsidRPr="006A4660">
        <w:t xml:space="preserve">The framework explains both. The education system measured what was easy to measure (procedural completion, graduation rates, test passage) while assuming the hard thing (genuine cognitive development) would take care of itself. The AI deployment landscape is doing the same: measuring what is easy to measure (output volume, user engagement, cost reduction) while assuming the hard thing (information integrity) will take care of itself. In both cases, the assumption is a </w:t>
      </w:r>
      <w:r w:rsidR="00DA359C" w:rsidRPr="00DA359C">
        <w:rPr>
          <w:i/>
        </w:rPr>
        <w:t>ceteris paribus</w:t>
      </w:r>
      <w:r w:rsidRPr="006A4660">
        <w:t xml:space="preserve"> error. In both cases, the thing that was assumed to hold constant is the thing that is collapsing. And in both cases, the people who would need to catch the error are the people least equipped to see it, because the very faculties they would need, quantitative intuition in one case, epistemic discipline in the other, are the faculties being eroded.</w:t>
      </w:r>
    </w:p>
    <w:p w14:paraId="0102DC16" w14:textId="6F64A5AD" w:rsidR="006A4660" w:rsidRPr="006A4660" w:rsidRDefault="006A4660" w:rsidP="006A4660">
      <w:r w:rsidRPr="006A4660">
        <w:t>This convergence is not something the book predicted. It is something the framework, applied honestly, reveals. Two of the most consequential systems shaping modern life, education and information technology, are both producing the same structural failure through the same analytical error, and the failures reinforce each other in ways that neither system's architects anticipated or can easily reverse. The ignorance tax is being collected on two fronts simultaneously, and the people paying it do not have the tools to see either bill.</w:t>
      </w:r>
      <w:r w:rsidR="0032588F">
        <w:t xml:space="preserve"> </w:t>
      </w:r>
      <w:r w:rsidR="0032588F" w:rsidRPr="0032588F">
        <w:t>They do not have those tools in part because the culture stopped valuing them before either degradation arrived</w:t>
      </w:r>
      <w:r w:rsidR="0032588F">
        <w:t>.</w:t>
      </w:r>
    </w:p>
    <w:p w14:paraId="038BC715" w14:textId="0D5B2DED" w:rsidR="00E25CED" w:rsidRDefault="00BA435C">
      <w:pPr>
        <w:pStyle w:val="Heading3"/>
      </w:pPr>
      <w:bookmarkStart w:id="106" w:name="_Toc227410731"/>
      <w:r w:rsidRPr="00BA435C">
        <w:t>The Scale Test</w:t>
      </w:r>
      <w:bookmarkEnd w:id="106"/>
    </w:p>
    <w:p w14:paraId="0518F36F" w14:textId="74271C58" w:rsidR="00930B5F" w:rsidRPr="00930B5F" w:rsidRDefault="00930B5F" w:rsidP="00930B5F">
      <w:r w:rsidRPr="00930B5F">
        <w:t xml:space="preserve">The </w:t>
      </w:r>
      <w:r w:rsidR="000D0B7B">
        <w:t>capacity</w:t>
      </w:r>
      <w:r w:rsidRPr="00930B5F">
        <w:t xml:space="preserve"> described in this chapter was built through years of sustained mathematical practice. It cannot be rebuilt in a paragraph. But the habits that exercise it can be named, and naming them is where recovery begins.</w:t>
      </w:r>
    </w:p>
    <w:p w14:paraId="293F9E86" w14:textId="77777777" w:rsidR="00930B5F" w:rsidRPr="00930B5F" w:rsidRDefault="00930B5F" w:rsidP="00930B5F">
      <w:r w:rsidRPr="00930B5F">
        <w:t>A city announces a plan to build 10,000 affordable housing units over five years without increasing the construction budget.</w:t>
      </w:r>
    </w:p>
    <w:p w14:paraId="08B1532C" w14:textId="77777777" w:rsidR="00930B5F" w:rsidRPr="00930B5F" w:rsidRDefault="00930B5F" w:rsidP="00930B5F">
      <w:r w:rsidRPr="00930B5F">
        <w:t>The number sounds large. The timeline sounds ambitious. The goal sounds compassionate. In the room where this plan is presented, the conversation will immediately move to priorities, to community impact, to which neighborhoods get the units first. Nobody in that room is going to stop the conversation to do the math. That is the problem this corrective exists to solve.</w:t>
      </w:r>
    </w:p>
    <w:p w14:paraId="15D08652" w14:textId="77777777" w:rsidR="00930B5F" w:rsidRPr="00930B5F" w:rsidRDefault="00930B5F" w:rsidP="00930B5F">
      <w:r w:rsidRPr="00930B5F">
        <w:t>The city currently builds 500 units a year. Multiply 500 by five. The answer is 2,500. The plan promises 10,000. The gap between the promise and the production capacity is 7,500 units, and the budget is not increasing. The plan has not yet survived its first contact with multiplication, and everything that follows, the zoning debates, the architectural renderings, the ribbon cuttings, will be built on a number that does not work.</w:t>
      </w:r>
    </w:p>
    <w:p w14:paraId="7BBDA844" w14:textId="574287B0" w:rsidR="00930B5F" w:rsidRPr="00930B5F" w:rsidRDefault="00930B5F" w:rsidP="00930B5F">
      <w:r w:rsidRPr="00930B5F">
        <w:t xml:space="preserve">But the problems do not stop at the first multiplication. Suppose the city quadruples its construction rate to meet the target. The permit office that processes 500 applications a year would need to process 2,000. The inspectors, the zoning boards, the environmental reviews, every institutional mechanism downstream of the announcement would need to absorb a fourfold increase in volume without additional funding. The plan assumed those systems would hold still. They will not hold still. They will become bottlenecks, and the bottlenecks will push the real timeline well past five years, which means the costs that were budgeted for five years will be incurred over </w:t>
      </w:r>
      <w:r w:rsidR="00E62049">
        <w:t>10 or 15</w:t>
      </w:r>
      <w:r w:rsidRPr="00930B5F">
        <w:t>.</w:t>
      </w:r>
    </w:p>
    <w:p w14:paraId="35ED268D" w14:textId="77777777" w:rsidR="00930B5F" w:rsidRPr="00930B5F" w:rsidRDefault="00930B5F" w:rsidP="00930B5F">
      <w:r w:rsidRPr="00930B5F">
        <w:t>And then the number that nobody mentioned at all: maintenance. 10,000 units is a permanent annual obligation. Roofs, plumbing, HVAC, common areas, grounds. That cost appears nowhere in the five-year construction budget because the budget is a construction budget, not an operating budget. The recurring cost will outlast and eventually dwarf the initial expenditure. A plan that is presented as a five-year commitment is actually a permanent one, and the permanent cost was never part of the conversation.</w:t>
      </w:r>
    </w:p>
    <w:p w14:paraId="65ECADC9" w14:textId="77777777" w:rsidR="00930B5F" w:rsidRPr="00930B5F" w:rsidRDefault="00930B5F" w:rsidP="00930B5F">
      <w:r w:rsidRPr="00930B5F">
        <w:t>None of this required specialized knowledge. It required multiplication, then following the product forward in time, then asking what the proposal left out of the frame. Three operations: check whether the numbers are arithmetically possible, check whether the one-time cost is actually recurring, check whether the plan survives contact with the institutional machinery it depends on. A competent middle schooler could do any one of them. The reason they go undone is not that they are difficult. It is that nobody in the room has the habit of pausing long enough to do them.</w:t>
      </w:r>
    </w:p>
    <w:p w14:paraId="43D3EB8F" w14:textId="77777777" w:rsidR="00930B5F" w:rsidRPr="00930B5F" w:rsidRDefault="00930B5F" w:rsidP="00930B5F">
      <w:r w:rsidRPr="00930B5F">
        <w:rPr>
          <w:i/>
          <w:iCs/>
        </w:rPr>
        <w:t>The practice is this: before you support a plan, a proposal, a budget, or a policy, do the multiplication yourself.</w:t>
      </w:r>
      <w:r w:rsidRPr="00930B5F">
        <w:t xml:space="preserve"> Multiply the components. People times cost per person. Units times price per unit. If the product does not match the claimed total, something is wrong, and no amount of good intention changes the arithmetic. Then follow the number forward: does this cost repeat? A program that costs $10 million once is a budget line. A program that costs $10 million every year is a $100 million commitment over a decade. Most institutional plans involve recurring costs. Most institutional presentations emphasize the first-year figure. Then check the denominator: does this work at the scale being proposed? A pilot that works for 500 people may not work for 5 million. The coordination required does not scale linearly. The edge cases multiply. The failure modes that were manageable at pilot scale become systemic at full deployment.</w:t>
      </w:r>
    </w:p>
    <w:p w14:paraId="3400AA3C" w14:textId="77777777" w:rsidR="00930B5F" w:rsidRPr="00930B5F" w:rsidRDefault="00930B5F" w:rsidP="00930B5F">
      <w:r w:rsidRPr="00930B5F">
        <w:t>This is the discipline that would have caught every failure this chapter described. The Theranos board never performed the basic division: volume of blood divided by number of tests, compared against what lab instruments can detect. The number was impossible, and a room full of generals and secretaries of state never checked it. The WeWork prospectus never survived contact with subtraction: $47 billion in future lease obligations against $1.8 billion in revenue is a company that is losing money on every desk it fills. The PPP fraud survived because nobody multiplied employees times wages times months and compared the product against the loan amount requested. In every case, the arithmetic was not advanced. It was elementary. And in every case, nobody did it.</w:t>
      </w:r>
    </w:p>
    <w:p w14:paraId="188F9F1C" w14:textId="77777777" w:rsidR="00930B5F" w:rsidRPr="00930B5F" w:rsidRDefault="00930B5F" w:rsidP="00930B5F">
      <w:r w:rsidRPr="00930B5F">
        <w:t>The ignorance tax on mathematical thinking is now being collected everywhere decisions get made at scale. The analysts, managers, executives, and policymakers shaped by the system this chapter described cannot intuitively sense when a budget is impossible, when a projection assumes coordination no organization can sustain, or when a number that sounds large is actually trivial relative to the problem it is supposed to solve. The cost is paid downstream, in plans that collapse under arithmetic no one bothered to do, and in institutions that keep asking why their good intentions are not producing the results they promised.</w:t>
      </w:r>
    </w:p>
    <w:p w14:paraId="0D3BFA73" w14:textId="4041692F" w:rsidR="00E25CED" w:rsidRDefault="00E25CED">
      <w:pPr>
        <w:sectPr w:rsidR="00E25CED" w:rsidSect="00422E8C">
          <w:endnotePr>
            <w:numFmt w:val="decimal"/>
          </w:endnotePr>
          <w:type w:val="oddPage"/>
          <w:pgSz w:w="12240" w:h="15840"/>
          <w:pgMar w:top="1440" w:right="1440" w:bottom="1440" w:left="1440" w:header="0" w:footer="720" w:gutter="0"/>
          <w:cols w:space="720"/>
          <w:formProt w:val="0"/>
          <w:docGrid w:linePitch="100"/>
        </w:sectPr>
      </w:pPr>
    </w:p>
    <w:p w14:paraId="5103BEDB" w14:textId="22D53E7A" w:rsidR="00E25CED" w:rsidRDefault="00E25CED">
      <w:pPr>
        <w:pStyle w:val="Heading2"/>
      </w:pPr>
      <w:bookmarkStart w:id="107" w:name="_Toc227410732"/>
      <w:r>
        <w:t xml:space="preserve">The </w:t>
      </w:r>
      <w:r>
        <w:rPr>
          <w:i/>
          <w:iCs/>
        </w:rPr>
        <w:t>Ceteris Paribus</w:t>
      </w:r>
      <w:r>
        <w:t xml:space="preserve"> Paradox</w:t>
      </w:r>
      <w:bookmarkEnd w:id="107"/>
    </w:p>
    <w:p w14:paraId="6CA64436" w14:textId="77777777" w:rsidR="0070646C" w:rsidRPr="0070646C" w:rsidRDefault="0070646C" w:rsidP="0070646C">
      <w:r w:rsidRPr="0070646C">
        <w:t>Two degradations. Two independent mechanisms. Two systems failing simultaneously, neither aware of the other, both arriving at the same destination: a society less equipped to evaluate the claims being made on its attention, its money, and its future.</w:t>
      </w:r>
    </w:p>
    <w:p w14:paraId="4193B8A3" w14:textId="77777777" w:rsidR="0070646C" w:rsidRPr="0070646C" w:rsidRDefault="0070646C" w:rsidP="0070646C">
      <w:r w:rsidRPr="0070646C">
        <w:t>But the convergence is not a coincidence. It is a product.</w:t>
      </w:r>
    </w:p>
    <w:p w14:paraId="5B1F2A24" w14:textId="571C6872" w:rsidR="0070646C" w:rsidRPr="0070646C" w:rsidRDefault="0070646C" w:rsidP="0070646C">
      <w:r w:rsidRPr="0070646C">
        <w:t xml:space="preserve">The education system that stopped requiring mathematical rigor assumed that if the measurable indicators held steady, the cognitive capacity those indicators were supposed to represent would take care of itself. It changed the requirements and assumed the underlying </w:t>
      </w:r>
      <w:r w:rsidR="00F356E1">
        <w:t>aptitude</w:t>
      </w:r>
      <w:r w:rsidRPr="0070646C">
        <w:t xml:space="preserve"> would hold still. The AI deployment landscape is making the same move through different machinery. It measures output volume, engagement metrics, cost per interaction. It assumes that if the efficiency gains hold, the integrity of the information environment will take care of itself. It is changing the production economics of information and assuming the epistemic foundations will hold still.</w:t>
      </w:r>
    </w:p>
    <w:p w14:paraId="55A09A9E" w14:textId="6A9B23B2" w:rsidR="0070646C" w:rsidRPr="0070646C" w:rsidRDefault="0070646C" w:rsidP="0070646C">
      <w:r w:rsidRPr="0070646C">
        <w:t xml:space="preserve">Both systems made the same analytical error. Both assumed they could change one variable inside a complex system and find everything else where they left it. And in both cases, the degradation arrived not as dramatic failure but as slow, structural erosion invisible to the people most affected by it, because the </w:t>
      </w:r>
      <w:r w:rsidR="00F356E1">
        <w:t>intuition</w:t>
      </w:r>
      <w:r w:rsidRPr="0070646C">
        <w:t xml:space="preserve"> they would need to detect it is </w:t>
      </w:r>
      <w:r w:rsidR="00F356E1">
        <w:t>what is</w:t>
      </w:r>
      <w:r w:rsidRPr="0070646C">
        <w:t xml:space="preserve"> being eroded.</w:t>
      </w:r>
    </w:p>
    <w:p w14:paraId="0D587CB0" w14:textId="25ED97DB" w:rsidR="0070646C" w:rsidRPr="0070646C" w:rsidRDefault="0070646C" w:rsidP="0070646C">
      <w:r w:rsidRPr="0070646C">
        <w:t xml:space="preserve">That error connects not just these two degradations but every pattern this book has traced. Almost every failed policy in these chapters shares a moment: the moment someone says we'll raise the minimum wage and nothing else will change, we'll control rents and landlords will keep investing, we'll add regulations and businesses will keep doing exactly what they were doing before. The assumption that you can reach into a dynamic living system, change one thing, and find everything else exactly where you left it has a name (and of course it's Latin). </w:t>
      </w:r>
      <w:r w:rsidRPr="0070646C">
        <w:rPr>
          <w:i/>
          <w:iCs/>
        </w:rPr>
        <w:t>Ceteris paribus</w:t>
      </w:r>
      <w:r w:rsidRPr="0070646C">
        <w:t>: all other things being equal. It is how any discipline isolates a variable when the real world has too many moving parts to study all at once. The simplification is a tool. But the tool did not stay where the forgetting was safe. It migrated into policy papers, legislative debates, campaign promises, and op-eds, where it kept doing what it was designed to do in a world where nothing holds still.</w:t>
      </w:r>
      <w:r w:rsidR="00487680" w:rsidRPr="00487680">
        <w:t xml:space="preserve"> And nothing has ever held still. Adaptation is not an anomaly that sometimes disrupts the assumption. It is the defining behavior of every system the assumption claims to describe. The condition ceteris paribus requires has never once existed in any living economy, any functioning institution, or any society composed of people who react to the world around them.</w:t>
      </w:r>
    </w:p>
    <w:p w14:paraId="2D79E2D2" w14:textId="451775DA" w:rsidR="005B72A0" w:rsidRDefault="005B72A0" w:rsidP="005B72A0">
      <w:pPr>
        <w:pStyle w:val="Heading3"/>
      </w:pPr>
      <w:bookmarkStart w:id="108" w:name="_Toc227410733"/>
      <w:r w:rsidRPr="005B72A0">
        <w:t>The Assumption That Builds the Building</w:t>
      </w:r>
      <w:bookmarkEnd w:id="108"/>
    </w:p>
    <w:p w14:paraId="4F6C7946" w14:textId="3438E544" w:rsidR="00E25CED" w:rsidRDefault="00E25CED">
      <w:r>
        <w:t xml:space="preserve">Nobody asks for uncertainty. Not the legislator drafting a bill who needs to tell constituents what it will accomplish. Not the journalist on deadline who needs an economist to say what the new trade policy will do to jobs. The question is always the same: what will happen? And </w:t>
      </w:r>
      <w:r w:rsidR="00463E2E">
        <w:t>"</w:t>
      </w:r>
      <w:r>
        <w:t xml:space="preserve">it depends on dozens of things I cannot </w:t>
      </w:r>
      <w:r w:rsidR="00772155">
        <w:t>anticipate</w:t>
      </w:r>
      <w:r w:rsidR="00463E2E">
        <w:t>"</w:t>
      </w:r>
      <w:r>
        <w:t xml:space="preserve"> is never the answer anyone is looking for.</w:t>
      </w:r>
    </w:p>
    <w:p w14:paraId="0F754CB9" w14:textId="2E893C90" w:rsidR="00E25CED" w:rsidRDefault="00E25CED">
      <w:r>
        <w:t xml:space="preserve">So the simplification stays in. Not because anyone decides to be dishonest, but because the world runs on decisions, and decisions require predictions, and predictions require assumptions. </w:t>
      </w:r>
      <w:r>
        <w:rPr>
          <w:i/>
          <w:iCs/>
        </w:rPr>
        <w:t>Ceteris paribus</w:t>
      </w:r>
      <w:r>
        <w:t xml:space="preserve">, the assumption that everything else will hold still, becomes the silent operating agreement that makes the entire machinery of policy analysis functional. The economist who qualifies every projection with a list of variables that might move gets replaced by the economist who delivers clean numbers. The consulting firm that hedges gets outbid by the firm that doesn't. The analyst who says </w:t>
      </w:r>
      <w:r w:rsidR="00463E2E">
        <w:t>"</w:t>
      </w:r>
      <w:r>
        <w:t>I'm not sure</w:t>
      </w:r>
      <w:r w:rsidR="00463E2E">
        <w:t>"</w:t>
      </w:r>
      <w:r>
        <w:t xml:space="preserve"> gets a reputation for lacking expertise. The one who says </w:t>
      </w:r>
      <w:r w:rsidR="00463E2E">
        <w:t>"</w:t>
      </w:r>
      <w:r>
        <w:t>here's exactly what will happen</w:t>
      </w:r>
      <w:r w:rsidR="00463E2E">
        <w:t>"</w:t>
      </w:r>
      <w:r>
        <w:t xml:space="preserve"> gets invited back.</w:t>
      </w:r>
    </w:p>
    <w:p w14:paraId="220D03F7" w14:textId="77777777" w:rsidR="00E25CED" w:rsidRDefault="00E25CED">
      <w:r>
        <w:t>What emerges is not a story about bad people. It is a story about a system that rewards a specific kind of confidence and has no mechanism for checking whether that confidence is earned. The incentives all point the same direction: toward clarity, toward precision, toward the kind of authority that makes decision-makers feel like they are standing on solid ground. Nobody in this chain is lying. The economist believes the model. The policymaker believes the economist. The public believes the policymaker. And the assumption underneath all of it (that other things will remain equal) goes unexamined because examining it would make everyone's job impossible.</w:t>
      </w:r>
    </w:p>
    <w:p w14:paraId="685DDB64" w14:textId="77777777" w:rsidR="00E25CED" w:rsidRDefault="00E25CED">
      <w:r>
        <w:t xml:space="preserve">Gradually, something happens that is harder to see than outright dishonesty. The assumption stops being an assumption. It becomes the way people think. The economist who has spent a career producing </w:t>
      </w:r>
      <w:r>
        <w:rPr>
          <w:i/>
          <w:iCs/>
        </w:rPr>
        <w:t>ceteris paribus</w:t>
      </w:r>
      <w:r>
        <w:t xml:space="preserve"> analysis does not experience herself as leaving variables out. She experiences herself as understanding the problem. The policymaker who has relied on that analysis for years does not feel like he is pretending the world is simpler than it is. He feels like he is making evidence-based decisions. The journalist who reports the projection does not feel like he is passing along a guess dressed in certainty. He feels like he is informing the public. At every link in the chain, people are acting in good faith. The assumption has become invisible to everyone most dependent on it, which is exactly when it does its worst work.</w:t>
      </w:r>
    </w:p>
    <w:p w14:paraId="73B68229" w14:textId="77777777" w:rsidR="00E25CED" w:rsidRDefault="00E25CED">
      <w:r>
        <w:t>Research funding flows toward work that produces clear findings, not toward work that documents why clear findings aren't available. Consulting firms package it into deliverables that clients can act on. Think tanks across the political spectrum use it to produce the confident policy projections that keep donors engaged and op-ed pages filled. Each institution develops deep expertise in applying theoretical models and almost none in questioning whether those models survive contact with the world they claim to describe. The habit is not personal. It is structural. It is built into how modern policy analysis gets funded, staffed, published, and rewarded. No individual actor can fix it by simply deciding to be more honest. The analyst who breaks ranks and leads with uncertainty doesn't reform the system. She loses the contract.</w:t>
      </w:r>
    </w:p>
    <w:p w14:paraId="3BAC623F" w14:textId="6BC9CD7C" w:rsidR="00E25CED" w:rsidRDefault="00E25CED">
      <w:r>
        <w:t>And when the predictions fail, when the policy that was supposed to reduce housing costs makes housing scarcer, when the regulation that was supposed to protect consumers drives businesses into workarounds that serve consumers worse, the habit shapes the diagnosis of its own failure. The policy didn't fail because the assumption was wrong. It failed because something interfered. Landlords behaved badly. Traffickers adapted. Businesses found loopholes. The variables that were assumed to hold still get blamed for moving, as though their movement were a surprise.</w:t>
      </w:r>
    </w:p>
    <w:p w14:paraId="5F41CE65" w14:textId="77777777" w:rsidR="00E25CED" w:rsidRDefault="00E25CED">
      <w:r>
        <w:t>The assumption protects itself by treating its own falsification as someone else's fault. And so it survives: intact, unexamined, ready to inform the next policy, and the next, and the next.</w:t>
      </w:r>
    </w:p>
    <w:p w14:paraId="7A97EBC7" w14:textId="77777777" w:rsidR="00E25CED" w:rsidRDefault="00E25CED">
      <w:pPr>
        <w:pStyle w:val="Heading3"/>
      </w:pPr>
      <w:bookmarkStart w:id="109" w:name="_Toc227410734"/>
      <w:r>
        <w:t>When Ceteris Paribus Meets Reality</w:t>
      </w:r>
      <w:bookmarkEnd w:id="109"/>
    </w:p>
    <w:p w14:paraId="313D317F" w14:textId="77777777" w:rsidR="00E25CED" w:rsidRDefault="00E25CED">
      <w:r>
        <w:t>The real world does not wait for policy to take effect before it starts moving. The moment an intervention enters a living system, that system begins responding, not in one place and one direction, but everywhere, simultaneously, in ways that interact and compound over time. The assumption that other variables will hold still is not slightly wrong. It is the opposite of what actually happens.</w:t>
      </w:r>
    </w:p>
    <w:p w14:paraId="13A0A6E3" w14:textId="10D97319" w:rsidR="00E25CED" w:rsidRDefault="00E25CED">
      <w:bookmarkStart w:id="110" w:name="_heading=h.x4dsvv6jaqzc"/>
      <w:bookmarkEnd w:id="110"/>
      <w:r>
        <w:t xml:space="preserve">Consider what the War on Drugs assumed. The logic was </w:t>
      </w:r>
      <w:r>
        <w:rPr>
          <w:i/>
          <w:iCs/>
        </w:rPr>
        <w:t>ceteris paribus</w:t>
      </w:r>
      <w:r>
        <w:t xml:space="preserve"> at its cleanest: reduce the supply of drugs, prices rise, consumption falls. A simple, elegant prediction, and one that held everything else constant. It held constant the profit motive that would draw new suppliers into a market with artificially inflated margins. It held constant the adaptability of users and dealers who, when one substance became scarce, would shift to whatever was available: powdered cocaine to crack, prescription opioids to heroin, heroin to fentanyl. Each substitution more dangerous than the last.</w:t>
      </w:r>
      <w:r>
        <w:rPr>
          <w:rStyle w:val="EndnoteReference"/>
        </w:rPr>
        <w:endnoteReference w:id="87"/>
      </w:r>
      <w:r>
        <w:t xml:space="preserve"> Each one entirely </w:t>
      </w:r>
      <w:r w:rsidR="00CA1A7B">
        <w:t>expected</w:t>
      </w:r>
      <w:r>
        <w:t xml:space="preserve"> to anyone who was not assuming the world would hold still.</w:t>
      </w:r>
    </w:p>
    <w:p w14:paraId="152F0C76" w14:textId="77777777" w:rsidR="00E25CED" w:rsidRDefault="00E25CED">
      <w:bookmarkStart w:id="111" w:name="_heading=h.qw34t0mgkjnc"/>
      <w:bookmarkEnd w:id="111"/>
      <w:r>
        <w:t>Decades later, drug use rates have barely moved.</w:t>
      </w:r>
      <w:r>
        <w:rPr>
          <w:rStyle w:val="EndnoteReference"/>
        </w:rPr>
        <w:endnoteReference w:id="88"/>
      </w:r>
      <w:r>
        <w:t xml:space="preserve"> What has moved is everything the model assumed wouldn't: mass incarceration, violent territorial competition among suppliers, the emergence of synthetic substances that kill in microgram doses, communities hollowed out by enforcement that targeted users rather than the conditions producing use. These are not side effects of the policy. They are the policy's actual effects, the ones that were assumed away at the start. The </w:t>
      </w:r>
      <w:r>
        <w:rPr>
          <w:i/>
          <w:iCs/>
        </w:rPr>
        <w:t>ceteris paribus</w:t>
      </w:r>
      <w:r>
        <w:t xml:space="preserve"> prediction was not wrong in its own narrow terms. Supply interdiction probably did raise the price of specific drugs at specific moments in specific locations. But the world did not hold still, and the consequences of its movement have been catastrophic on a scale that dwarfs whatever the original policy was trying to prevent.</w:t>
      </w:r>
    </w:p>
    <w:p w14:paraId="48FDD4F9" w14:textId="77777777" w:rsidR="00E25CED" w:rsidRDefault="00E25CED">
      <w:r>
        <w:t xml:space="preserve">The failure is not progressive or conservative. It is a </w:t>
      </w:r>
      <w:r>
        <w:rPr>
          <w:i/>
          <w:iCs/>
        </w:rPr>
        <w:t>ceteris paribus</w:t>
      </w:r>
      <w:r>
        <w:t xml:space="preserve"> failure, and it operates identically across the political spectrum. The progressive who assumes rent control will make housing affordable without affecting supply is making the same structural error as the conservative who assumes drug interdiction will reduce addiction without triggering adaptation. Both policies work inside the model. Both fail in reality. And they fail for exactly the same reason: the model assumed a world that doesn't move, and the world moved.</w:t>
      </w:r>
    </w:p>
    <w:p w14:paraId="4CE02095" w14:textId="54362C8B" w:rsidR="00E25CED" w:rsidRDefault="00E25CED">
      <w:r>
        <w:t xml:space="preserve">Timing makes the pattern particularly deceptive, because policies often appear to work at first. Rent control helps current tenants in year one, before landlords have adjusted their investment strategies, before developers have redirected capital, before the housing supply has begun to tighten. Drug interdiction produces record seizures in its early years, before new trafficking routes have matured, before substitution has taken hold, before the overdose statistics have caught up. The early returns seem to confirm the </w:t>
      </w:r>
      <w:r w:rsidR="00CA1A7B">
        <w:t>expectation</w:t>
      </w:r>
      <w:r>
        <w:t xml:space="preserve">. The </w:t>
      </w:r>
      <w:r>
        <w:rPr>
          <w:i/>
          <w:iCs/>
        </w:rPr>
        <w:t>ceteris paribus</w:t>
      </w:r>
      <w:r>
        <w:t xml:space="preserve"> assumption appears vindicated. Political support builds for expanding the policy just as its long-term consequences begin to surface. By the time the full cost becomes visible, the policy has defenders, beneficiaries, and a bureaucracy, none of whom have any incentive to ask whether the original assumption was sound.</w:t>
      </w:r>
    </w:p>
    <w:p w14:paraId="4D4EE2F3" w14:textId="7E512251" w:rsidR="00E25CED" w:rsidRDefault="00E25CED">
      <w:r>
        <w:t xml:space="preserve">So the response to failure is not to reexamine the assumption. When rent control tightened supply, the response was not to question whether controlling prices in a living market had </w:t>
      </w:r>
      <w:r w:rsidR="00CA1A7B">
        <w:t>known</w:t>
      </w:r>
      <w:r>
        <w:t xml:space="preserve"> consequences. It was to build public housing, which strained budgets, which led to subsidy schemes, which distorted the market further. When drug interdiction pushed users from one substance to the next, the response was not to question whether reducing supply in a market with inelastic demand had </w:t>
      </w:r>
      <w:r w:rsidR="00CA1A7B">
        <w:t>foreseeable</w:t>
      </w:r>
      <w:r>
        <w:t xml:space="preserve"> consequences. It was to escalate: longer sentences, broader asset forfeiture, new enforcement agencies, each one assuming the previous interventions would hold still while the new one took effect. In both cases, the political cost of admitting the model was wrong exceeded the political cost of adding another intervention to fix what the first one broke.</w:t>
      </w:r>
    </w:p>
    <w:p w14:paraId="6665508D" w14:textId="77777777" w:rsidR="00E25CED" w:rsidRDefault="00E25CED">
      <w:r>
        <w:t xml:space="preserve">Each new layer carries its own </w:t>
      </w:r>
      <w:r>
        <w:rPr>
          <w:i/>
          <w:iCs/>
        </w:rPr>
        <w:t>ceteris paribus</w:t>
      </w:r>
      <w:r>
        <w:t xml:space="preserve"> assumptions, which trigger their own adaptive responses, which produce their own unintended consequences, which demand their own additional interventions. The cascade is the same whether the policy leans left or right. The housing intervention that was supposed to correct the market distortion introduces a new distortion. The enforcement escalation that was supposed to finally break the supply chain creates a more dangerous supply chain. Each layer assumes the previous layers will hold still. None of them do.</w:t>
      </w:r>
    </w:p>
    <w:p w14:paraId="57D02DFA" w14:textId="77777777" w:rsidR="00E25CED" w:rsidRDefault="00E25CED">
      <w:pPr>
        <w:pStyle w:val="Heading3"/>
      </w:pPr>
      <w:bookmarkStart w:id="112" w:name="_Toc227410735"/>
      <w:r>
        <w:t>The Final Free Lunch</w:t>
      </w:r>
      <w:bookmarkEnd w:id="112"/>
    </w:p>
    <w:p w14:paraId="6880BA37" w14:textId="0B0446C7" w:rsidR="00E25CED" w:rsidRDefault="00AF7421">
      <w:r>
        <w:t>O</w:t>
      </w:r>
      <w:r w:rsidRPr="00C76952">
        <w:t xml:space="preserve">nce its institutional consequences are visible, </w:t>
      </w:r>
      <w:r>
        <w:t>t</w:t>
      </w:r>
      <w:r w:rsidR="00C76952" w:rsidRPr="00C76952">
        <w:t>he mechanism this chapter has named</w:t>
      </w:r>
      <w:r>
        <w:t xml:space="preserve"> </w:t>
      </w:r>
      <w:r w:rsidR="00C76952" w:rsidRPr="00C76952">
        <w:t>reveals something about every pattern this book has traced. It is not one pattern. It is a family of them, and the family resemblance is this: in every chapter, someone holds two incompatible positions and deploys a mechanism to avoid experiencing the contradiction</w:t>
      </w:r>
      <w:r w:rsidR="00E25CED">
        <w:t>.</w:t>
      </w:r>
    </w:p>
    <w:p w14:paraId="2D74CD7D" w14:textId="420B38EE" w:rsidR="00E25CED" w:rsidRDefault="00E25CED">
      <w:r>
        <w:t xml:space="preserve">Free lunch thinking is the most intuitive version. Benefits without costs. The Red Cross raised $500 million for Haiti and assumed that fundraising capacity was implementation capacity. The cost they did not want to pay, building the organizational machinery to actually deliver aid, did not disappear because they ignored it. </w:t>
      </w:r>
      <w:r w:rsidR="009D670D">
        <w:t>Belief as armor</w:t>
      </w:r>
      <w:r>
        <w:t xml:space="preserve"> lets people maintain a worldview without paying the psychological cost of updating it when evidence arrives. The personal finance chapters traced what happens when credit instruments separate the act of consuming from the experience of paying, creating a structural illusion that the bill is not coming. The coordination failures in the third chapter showed what happens when responsibility belongs to everyone and therefore to no one: the contradiction between believing the problem matters and behaving as though someone else will handle it.</w:t>
      </w:r>
    </w:p>
    <w:p w14:paraId="0F7A1414" w14:textId="1B577D8F" w:rsidR="00AF7421" w:rsidRPr="00AF7421" w:rsidRDefault="00AF7421" w:rsidP="00AF7421">
      <w:r w:rsidRPr="00AF7421">
        <w:t xml:space="preserve">Each mechanism resolves the contradiction differently. Free lunch thinking makes costs vanish. Ceteris paribus holds variables still. The underfunding reflex insists the problem is always resources, never design. </w:t>
      </w:r>
      <w:r w:rsidR="009D670D">
        <w:t>Belief as armor</w:t>
      </w:r>
      <w:r w:rsidRPr="00AF7421">
        <w:t xml:space="preserve"> converts challenges into attacks. But the underlying dynamic is the same in every case: reality contains a tradeoff, and the mechanism exists to make the tradeoff invisible.</w:t>
      </w:r>
    </w:p>
    <w:p w14:paraId="0068D0B7" w14:textId="77777777" w:rsidR="00E25CED" w:rsidRDefault="00E25CED">
      <w:r>
        <w:t>Call it what it is: the dissonance tax. Every chapter in this book has described people paying it. The term is not metaphorical. When you hold incompatible beliefs and deploy a strategy to avoid confronting the incompatibility, you are purchasing comfort at the cost of accuracy. The bill comes later, in policy that doesn't work, in budgets that don't balance, in institutions that reward the appearance of results while the results themselves collapse. The ignorance tax this book has been tracking is, at its deepest level, the accumulated cost of strategies people use to keep contradictions from reaching consciousness.</w:t>
      </w:r>
    </w:p>
    <w:p w14:paraId="501BBD4B" w14:textId="1AC0B1A5" w:rsidR="00E25CED" w:rsidRDefault="00DA359C">
      <w:r w:rsidRPr="00DA359C">
        <w:rPr>
          <w:i/>
        </w:rPr>
        <w:t>Ceteris paribus</w:t>
      </w:r>
      <w:r w:rsidR="00E25CED">
        <w:t xml:space="preserve"> is the most powerful and most common of these strategies because it operates at institutional scale. It is what free lunch thinking looks like when it gets formalized into predictions, projections, and policy analysis. The policymaker who assumes rent control will make housing affordable without affecting supply is not simply wishing costs away. She is making a specific analytical move: changing one variable inside a living system and assuming everything else will hold still. That assumption has institutional support. It has models behind it, projections, reports from credentialing bodies whose funding depends on delivering clear answers. Free lunch thinking is the desire. </w:t>
      </w:r>
      <w:r w:rsidRPr="00DA359C">
        <w:rPr>
          <w:i/>
        </w:rPr>
        <w:t>Ceteris paribus</w:t>
      </w:r>
      <w:r w:rsidR="00E25CED">
        <w:t xml:space="preserve"> is the mechanism that makes the desire look like analysis.</w:t>
      </w:r>
    </w:p>
    <w:p w14:paraId="5339C4A8" w14:textId="5D4519B7" w:rsidR="00E25CED" w:rsidRDefault="00E25CED">
      <w:r>
        <w:t xml:space="preserve">The two are connected in the same way a wish is connected to a rationalization. Kansas City's school district poured $2 billion into facilities, teacher salaries, and programs, assuming the money would produce outcomes without redesigning the institutional incentive structures that determined how the money would actually be used. The free lunch was the promise: spend enough and the problem solves itself. The </w:t>
      </w:r>
      <w:r w:rsidR="00DA359C" w:rsidRPr="00DA359C">
        <w:rPr>
          <w:i/>
        </w:rPr>
        <w:t>ceteris paribus</w:t>
      </w:r>
      <w:r>
        <w:t xml:space="preserve"> error was the justification underneath: add the money, and everything else holds still. It did not hold still. It never does.</w:t>
      </w:r>
    </w:p>
    <w:p w14:paraId="6A3A4429" w14:textId="02308555" w:rsidR="00E25CED" w:rsidRDefault="00E25CED">
      <w:r>
        <w:t xml:space="preserve">The moral framework that surrounds these patterns reinforces them. When someone points out that a policy will trigger adaptive responses, that rent control will affect supply, the observation is heard not as analysis but as opposition. The person tracing consequences faces accusations of not caring about the people the policy is meant to help. The conversation shifts from </w:t>
      </w:r>
      <w:r w:rsidR="00463E2E">
        <w:t>"</w:t>
      </w:r>
      <w:r>
        <w:t>will this work?</w:t>
      </w:r>
      <w:r w:rsidR="00463E2E">
        <w:t>"</w:t>
      </w:r>
      <w:r>
        <w:t xml:space="preserve"> to </w:t>
      </w:r>
      <w:r w:rsidR="00463E2E">
        <w:t>"</w:t>
      </w:r>
      <w:r>
        <w:t>whose side are you on?</w:t>
      </w:r>
      <w:r w:rsidR="00463E2E">
        <w:t>"</w:t>
      </w:r>
      <w:r>
        <w:t xml:space="preserve"> And once the question becomes tribal rather than analytical, every dissonance-resolution strategy in the book is safe. Nobody is going to question the model when questioning the model means questioning the mission. The assumptions do not survive because they are correct. They survive because challenging them is socially expensive.</w:t>
      </w:r>
    </w:p>
    <w:p w14:paraId="12F8AF24" w14:textId="77777777" w:rsidR="00AF7421" w:rsidRPr="00AF7421" w:rsidRDefault="00AF7421" w:rsidP="00AF7421">
      <w:r w:rsidRPr="00AF7421">
        <w:t>Persistence runs deeper than ignorance. The pattern is protected by moral conviction, by social pressure, and by the deeply human preference for stories where good intentions produce good outcomes without anything uncomfortable happening along the way. Every chapter in this book has described a different face of that protection. The people operating inside these structures are doing exactly what the structures reward. Fixing the outcomes requires seeing the structure, which is what this book has been building toward from the first page.</w:t>
      </w:r>
    </w:p>
    <w:p w14:paraId="06AAAA4F" w14:textId="40B7A6E3" w:rsidR="007A68E7" w:rsidRDefault="008A415B" w:rsidP="008A415B">
      <w:pPr>
        <w:pStyle w:val="Heading3"/>
      </w:pPr>
      <w:bookmarkStart w:id="113" w:name="_Toc227410736"/>
      <w:r w:rsidRPr="008A415B">
        <w:t xml:space="preserve">The </w:t>
      </w:r>
      <w:r w:rsidRPr="006F2E3C">
        <w:rPr>
          <w:i w:val="0"/>
          <w:iCs w:val="0"/>
        </w:rPr>
        <w:t>Ceteris Paribus</w:t>
      </w:r>
      <w:r w:rsidRPr="008A415B">
        <w:t xml:space="preserve"> Detector</w:t>
      </w:r>
      <w:bookmarkEnd w:id="113"/>
    </w:p>
    <w:p w14:paraId="748E3B93" w14:textId="77777777" w:rsidR="008A415B" w:rsidRPr="008A415B" w:rsidRDefault="008A415B" w:rsidP="008A415B">
      <w:r w:rsidRPr="008A415B">
        <w:t>The earlier correctives in this part asked you to check your sources and check your math. This one asks you to check something harder: your assumptions about what stays the same.</w:t>
      </w:r>
    </w:p>
    <w:p w14:paraId="0F907E1A" w14:textId="777363B1" w:rsidR="008A415B" w:rsidRPr="008A415B" w:rsidRDefault="001768FE" w:rsidP="008A415B">
      <w:r>
        <w:t>Each</w:t>
      </w:r>
      <w:r w:rsidR="008A415B" w:rsidRPr="008A415B">
        <w:t xml:space="preserve"> corrective tool in this book has targeted a specific failure mode. The tradeoff question in Part I caught hidden costs. The incentive map in Part II caught behavioral responses. The source-verification habit in this part caught degraded information. The arithmetic discipline caught degraded reasoning. This corrective is different. It does not target a specific failure. It targets the assumption that makes all the other failures possible: the conviction that you can change one thing and find everything else where you left it.</w:t>
      </w:r>
    </w:p>
    <w:p w14:paraId="35425D20" w14:textId="77777777" w:rsidR="008A415B" w:rsidRPr="008A415B" w:rsidRDefault="008A415B" w:rsidP="008A415B">
      <w:r w:rsidRPr="008A415B">
        <w:t>The assumption is difficult to catch because it does not feel like an assumption. It feels like the way the world works. When you imagine raising the minimum wage, your mental picture holds employment constant. When you imagine adding a regulation, your mental picture holds business behavior constant. When you imagine committing to a new project, your mental picture holds your existing obligations constant. The freeze is automatic. It is how the brain manages complexity: hold most of the variables still so you can think about the one you care about. The problem is not the simplification. The problem is forgetting you made it.</w:t>
      </w:r>
    </w:p>
    <w:p w14:paraId="4DFB5882" w14:textId="77777777" w:rsidR="008A415B" w:rsidRPr="008A415B" w:rsidRDefault="008A415B" w:rsidP="008A415B">
      <w:r w:rsidRPr="008A415B">
        <w:t>Three questions break the frame. They are not sophisticated. They do not require economic training or policy expertise. They require the willingness to pause at the moment when a plan sounds good and ask what it is assuming.</w:t>
      </w:r>
    </w:p>
    <w:p w14:paraId="3E7F62CC" w14:textId="77777777" w:rsidR="008A415B" w:rsidRPr="00E472B0" w:rsidRDefault="008A415B" w:rsidP="008A415B">
      <w:pPr>
        <w:rPr>
          <w:i/>
          <w:iCs/>
        </w:rPr>
      </w:pPr>
      <w:r w:rsidRPr="00E472B0">
        <w:rPr>
          <w:i/>
          <w:iCs/>
        </w:rPr>
        <w:t>What is this assuming won't move?</w:t>
      </w:r>
    </w:p>
    <w:p w14:paraId="164706EA" w14:textId="77777777" w:rsidR="006F2E3C" w:rsidRPr="006F2E3C" w:rsidRDefault="006F2E3C" w:rsidP="006F2E3C">
      <w:r w:rsidRPr="006F2E3C">
        <w:t>Every proposal is a freeze frame. It describes what will happen to the variable being changed and holds everything else constant. The question forces you to identify what is being frozen. When a city council proposes rent control, the freeze frame holds landlord investment constant, holds housing supply constant, holds maintenance budgets constant. When a company announces a round of layoffs to cut costs, the freeze frame holds productivity constant, holds institutional knowledge constant, holds the remaining employees' willingness to stay constant. When you decide to take on a second job to pay off debt faster, you are holding your health constant, your relationships constant, your performance at the first job constant.</w:t>
      </w:r>
    </w:p>
    <w:p w14:paraId="24209084" w14:textId="77777777" w:rsidR="008A415B" w:rsidRPr="008A415B" w:rsidRDefault="008A415B" w:rsidP="008A415B">
      <w:r w:rsidRPr="008A415B">
        <w:t>The variables being frozen are where the plan will break. Not because plans are bad, but because the world does not hold still. Resistance to a policy builds. People adjust their behavior. Costs migrate. The question does not tell you whether a plan will fail. It tells you where to look for the failure before it arrives.</w:t>
      </w:r>
    </w:p>
    <w:p w14:paraId="1054DFBD" w14:textId="77777777" w:rsidR="008A415B" w:rsidRPr="00E472B0" w:rsidRDefault="008A415B" w:rsidP="008A415B">
      <w:pPr>
        <w:rPr>
          <w:i/>
          <w:iCs/>
        </w:rPr>
      </w:pPr>
      <w:r w:rsidRPr="00E472B0">
        <w:rPr>
          <w:i/>
          <w:iCs/>
        </w:rPr>
        <w:t>And then what?</w:t>
      </w:r>
    </w:p>
    <w:p w14:paraId="23180996" w14:textId="5D46773F" w:rsidR="008A415B" w:rsidRPr="008A415B" w:rsidRDefault="008A415B" w:rsidP="008A415B">
      <w:r w:rsidRPr="008A415B">
        <w:t xml:space="preserve">The </w:t>
      </w:r>
      <w:r w:rsidR="00DA359C" w:rsidRPr="00DA359C">
        <w:rPr>
          <w:i/>
        </w:rPr>
        <w:t>ceteris paribus</w:t>
      </w:r>
      <w:r w:rsidRPr="008A415B">
        <w:t xml:space="preserve"> assumption survives partly because people stop the analysis at the first-order effect. Rents go down. Enrollment goes up. Costs decrease. The benefit is real, and the conversation stops there. This question refuses to let it stop.</w:t>
      </w:r>
    </w:p>
    <w:p w14:paraId="6C34949C" w14:textId="4F01247F" w:rsidR="008A415B" w:rsidRPr="008A415B" w:rsidRDefault="008A415B" w:rsidP="008A415B">
      <w:r w:rsidRPr="008A415B">
        <w:t xml:space="preserve">Follow the chain at least three steps. Rents go down, and then what? Landlords face reduced margins, and then what? Some defer maintenance, some convert units to condos, some exit the market, and then what? The supply of rental housing contracts, quality deteriorates, and the people the policy aimed to help are competing for fewer apartments in worse condition than before. Three steps. That is usually enough to surface the second-order effects that the </w:t>
      </w:r>
      <w:r w:rsidR="00DA359C" w:rsidRPr="00DA359C">
        <w:rPr>
          <w:i/>
        </w:rPr>
        <w:t>ceteris paribus</w:t>
      </w:r>
      <w:r w:rsidRPr="008A415B">
        <w:t xml:space="preserve"> assumption conceals. The War on Drugs failed precisely at the second and third steps that nobody followed: restrict supply, and then what? Prices rise. Prices rise, and then what? Profits explode, drawing more participants into the market. More participants, and then what? Violence escalates as competitors fight over margins that the policy itself inflated.</w:t>
      </w:r>
    </w:p>
    <w:p w14:paraId="38360BB3" w14:textId="4DCC2938" w:rsidR="008A415B" w:rsidRPr="008A415B" w:rsidRDefault="008A415B" w:rsidP="008A415B">
      <w:r w:rsidRPr="008A415B">
        <w:t xml:space="preserve">You do not need to </w:t>
      </w:r>
      <w:r w:rsidR="00CA1A7B">
        <w:t>foresee</w:t>
      </w:r>
      <w:r w:rsidRPr="008A415B">
        <w:t xml:space="preserve"> the exact chain. You need to follow enough of it to know whether the plan's designers bothered to follow it at all. If the proposal stops at step one, someone is holding the world still.</w:t>
      </w:r>
    </w:p>
    <w:p w14:paraId="0C6BA294" w14:textId="77777777" w:rsidR="008A415B" w:rsidRPr="00E472B0" w:rsidRDefault="008A415B" w:rsidP="008A415B">
      <w:pPr>
        <w:rPr>
          <w:i/>
          <w:iCs/>
        </w:rPr>
      </w:pPr>
      <w:r w:rsidRPr="00E472B0">
        <w:rPr>
          <w:i/>
          <w:iCs/>
        </w:rPr>
        <w:t>What does this displace?</w:t>
      </w:r>
    </w:p>
    <w:p w14:paraId="1848C55C" w14:textId="77777777" w:rsidR="008A415B" w:rsidRPr="008A415B" w:rsidRDefault="008A415B" w:rsidP="008A415B">
      <w:r w:rsidRPr="008A415B">
        <w:t>Every benefit has a cost that lands somewhere. Not just money. Time. Attention. Opportunity. Flexibility. Political capital. When someone describes what an initiative will produce, this question asks what it pushes aside.</w:t>
      </w:r>
    </w:p>
    <w:p w14:paraId="3AC819BD" w14:textId="77777777" w:rsidR="008A415B" w:rsidRPr="008A415B" w:rsidRDefault="008A415B" w:rsidP="008A415B">
      <w:r w:rsidRPr="008A415B">
        <w:t>The displacement is often invisible because it lands on people who are not in the room. A new corporate initiative displaces the projects that will not get staffed. A government program displaces the programs that will not get funded. A personal commitment displaces the commitments that will not get kept. The cost is real, but because it takes the form of things that never happen rather than things that go wrong, no one sees the bill.</w:t>
      </w:r>
    </w:p>
    <w:p w14:paraId="29902DCB" w14:textId="537DB65D" w:rsidR="008A415B" w:rsidRPr="008A415B" w:rsidRDefault="008A415B" w:rsidP="008A415B">
      <w:r w:rsidRPr="008A415B">
        <w:t xml:space="preserve">This is the corrective that ties the entire book together. </w:t>
      </w:r>
      <w:r w:rsidR="00463E2E">
        <w:t>"</w:t>
      </w:r>
      <w:r w:rsidRPr="008A415B">
        <w:t>Compared to what?</w:t>
      </w:r>
      <w:r w:rsidR="00463E2E">
        <w:t>"</w:t>
      </w:r>
      <w:r w:rsidRPr="008A415B">
        <w:t xml:space="preserve"> was the question that opened Part I. </w:t>
      </w:r>
      <w:r w:rsidR="00463E2E">
        <w:t>"</w:t>
      </w:r>
      <w:r w:rsidRPr="008A415B">
        <w:t>What does this displace?</w:t>
      </w:r>
      <w:r w:rsidR="00463E2E">
        <w:t>"</w:t>
      </w:r>
      <w:r w:rsidRPr="008A415B">
        <w:t xml:space="preserve"> is the same question applied at the deepest level: not just what does this cost instead of that, but what else moves when this moves, and who pays for the movement? The </w:t>
      </w:r>
      <w:r w:rsidR="00DA359C" w:rsidRPr="00DA359C">
        <w:rPr>
          <w:i/>
        </w:rPr>
        <w:t>ceteris paribus</w:t>
      </w:r>
      <w:r w:rsidRPr="008A415B">
        <w:t xml:space="preserve"> assumption survives because people do not ask. The corrective is asking.</w:t>
      </w:r>
    </w:p>
    <w:p w14:paraId="1B399F30" w14:textId="360081E7" w:rsidR="008A415B" w:rsidRPr="008A415B" w:rsidRDefault="008A415B" w:rsidP="008A415B">
      <w:r w:rsidRPr="008A415B">
        <w:t xml:space="preserve">None of these questions will make you immune to the assumption. The institutional machinery this chapter described, the budget processes, the political incentives, the social pressure against asking uncomfortable questions, all of it will continue to operate whether you ask or not. But the habit of checking what is being held constant, following the chain past the first effect, and finding the displaced cost is the same discipline this book has been building since the first chapter. It is the tradeoff question, the incentive map, the behavioral </w:t>
      </w:r>
      <w:r w:rsidR="00CA1A7B">
        <w:t>forecast</w:t>
      </w:r>
      <w:r w:rsidRPr="008A415B">
        <w:t xml:space="preserve">, the source check, and the arithmetic discipline compressed into their common root. The </w:t>
      </w:r>
      <w:r w:rsidR="00DA359C" w:rsidRPr="00DA359C">
        <w:rPr>
          <w:i/>
        </w:rPr>
        <w:t>ceteris paribus</w:t>
      </w:r>
      <w:r w:rsidRPr="008A415B">
        <w:t xml:space="preserve"> assumption is where all of them fail when they fail. Catching it is where all of them start when they work.</w:t>
      </w:r>
    </w:p>
    <w:p w14:paraId="59A44972" w14:textId="77777777" w:rsidR="008A415B" w:rsidRDefault="008A415B"/>
    <w:p w14:paraId="29D2C252" w14:textId="77777777" w:rsidR="007A68E7" w:rsidRDefault="007A68E7"/>
    <w:p w14:paraId="59D100E6" w14:textId="77777777" w:rsidR="005A241D" w:rsidRDefault="005A241D" w:rsidP="005A241D">
      <w:pPr>
        <w:pStyle w:val="Heading1"/>
        <w:sectPr w:rsidR="005A241D" w:rsidSect="00E25CED">
          <w:footerReference w:type="default" r:id="rId49"/>
          <w:footerReference w:type="first" r:id="rId50"/>
          <w:endnotePr>
            <w:numFmt w:val="decimal"/>
          </w:endnotePr>
          <w:pgSz w:w="12240" w:h="15840"/>
          <w:pgMar w:top="1440" w:right="1440" w:bottom="1440" w:left="1440" w:header="0" w:footer="720" w:gutter="0"/>
          <w:cols w:space="720"/>
          <w:formProt w:val="0"/>
          <w:docGrid w:linePitch="100"/>
        </w:sectPr>
      </w:pPr>
    </w:p>
    <w:p w14:paraId="3755BB1F" w14:textId="60BF0BC4" w:rsidR="009F4A78" w:rsidRDefault="009F4A78" w:rsidP="009F4A78">
      <w:pPr>
        <w:pStyle w:val="Heading1"/>
      </w:pPr>
      <w:bookmarkStart w:id="114" w:name="_Toc227410737"/>
      <w:r w:rsidRPr="003F763B">
        <w:t xml:space="preserve">The Ultimate Ignorance Tax: </w:t>
      </w:r>
      <w:r w:rsidR="0045174F">
        <w:t xml:space="preserve">A </w:t>
      </w:r>
      <w:r w:rsidR="0045174F" w:rsidRPr="0045174F">
        <w:t>Case Study in Government Fraud</w:t>
      </w:r>
      <w:bookmarkEnd w:id="114"/>
    </w:p>
    <w:p w14:paraId="6EF85765" w14:textId="77777777" w:rsidR="009F4A78" w:rsidRPr="005F558A" w:rsidRDefault="009F4A78" w:rsidP="009F4A78">
      <w:r w:rsidRPr="005F558A">
        <w:t>In 2019, a Minneapolis nonprofit called Feeding Our Future billed the state of Minnesota for roughly $3.4 million in meal reimbursements under the USDA's Federal Child Nutrition Program. A sponsor submits documentation showing how many meals were served at approved sites, and the government reimburses the cost. Feeding Our Future was one of hundreds of sponsors operating across the state. Nothing about it stood out.</w:t>
      </w:r>
    </w:p>
    <w:p w14:paraId="483DB44D" w14:textId="77777777" w:rsidR="009F4A78" w:rsidRPr="005F558A" w:rsidRDefault="009F4A78" w:rsidP="009F4A78">
      <w:r w:rsidRPr="005F558A">
        <w:t>By 2021, its reimbursements had increased 2,800 percent in a single fiscal year, approaching $200 million. The organization now claimed more than 250 meal distribution sites. Its paperwork reported 91 million meals served. The FBI, by this point surveilling at least one of those sites, a location whose meal count sheets claimed thousands of meals a day, observed what appeared to be fewer than fifty people walking through the door.</w:t>
      </w:r>
    </w:p>
    <w:p w14:paraId="023ADC7F" w14:textId="24B10E2B" w:rsidR="009F4A78" w:rsidRPr="005F558A" w:rsidRDefault="009F4A78" w:rsidP="009F4A78">
      <w:r w:rsidRPr="005F558A">
        <w:t>The Minnesota Department of Education</w:t>
      </w:r>
      <w:r w:rsidR="0015326C">
        <w:t xml:space="preserve"> (MDE)</w:t>
      </w:r>
      <w:r w:rsidRPr="005F558A">
        <w:t xml:space="preserve"> had been receiving complaints about Feeding Our Future since 2018. More than </w:t>
      </w:r>
      <w:r w:rsidR="0015326C">
        <w:t>30</w:t>
      </w:r>
      <w:r w:rsidRPr="005F558A">
        <w:t xml:space="preserve"> of them, across three years, including allegations of kickbacks, fabricated records, and financial misconduct. The department's response to at least one round of those complaints was to ask Feeding Our Future to investigate the complaints about itself. When MDE finally attempted the obvious and moved to cut off payments in 2021, Feeding Our Future sued the state, alleging racial discrimination. MDE backed down</w:t>
      </w:r>
      <w:r w:rsidR="0015326C">
        <w:t xml:space="preserve"> and </w:t>
      </w:r>
      <w:r w:rsidRPr="005F558A">
        <w:t xml:space="preserve">voluntarily resumed payments. The Minnesota Judicial Branch later issued a rare public statement clarifying that no court had ever ordered MDE to continue paying, directly contradicting claims made by the governor and the department. The payments were MDE's own decision. The state looked at a nonprofit it had received more than </w:t>
      </w:r>
      <w:r w:rsidR="0015326C">
        <w:t>30</w:t>
      </w:r>
      <w:r w:rsidRPr="005F558A">
        <w:t xml:space="preserve"> fraud complaints about, a nonprofit whose reimbursements had gone from $3.4 million to nearly $200 million in two years, and chose to keep writing checks rather than fight a lawsuit.</w:t>
      </w:r>
    </w:p>
    <w:p w14:paraId="2729A48B" w14:textId="53AC43C1" w:rsidR="009F4A78" w:rsidRPr="005F558A" w:rsidRDefault="009F4A78" w:rsidP="009F4A78">
      <w:r w:rsidRPr="005F558A">
        <w:t xml:space="preserve">Most people will have some passing familiarity with this case. It made national headlines. But the headlines do not explain anything. They tell you what happened. They do not tell you how a fraud this visible survived inside a system that existed, in theory, to prevent it. They do not explain why the department's own complaint process was structured in a way that made it functionally useless, or why a racial discrimination lawsuit was sufficient to override </w:t>
      </w:r>
      <w:r w:rsidR="0015326C">
        <w:t>30</w:t>
      </w:r>
      <w:r w:rsidRPr="005F558A">
        <w:t xml:space="preserve"> allegations of theft, or why no one with the authority to stop the payments had the institutional incentive to do so. The headlines say fraud was committed. They do not say why the system made it so easy.</w:t>
      </w:r>
    </w:p>
    <w:p w14:paraId="039A2904" w14:textId="77777777" w:rsidR="009F4A78" w:rsidRPr="005F558A" w:rsidRDefault="009F4A78" w:rsidP="009F4A78">
      <w:r w:rsidRPr="005F558A">
        <w:t>That is the question this case study answers. Not Feeding Our Future specifically, and not government fraud as a category, but something the preceding chapters have equipped you to understand: why American institutions keep building systems that produce outcomes no one involved would have chosen on purpose.</w:t>
      </w:r>
    </w:p>
    <w:p w14:paraId="18262378" w14:textId="77777777" w:rsidR="00A57DB5" w:rsidRDefault="00A57DB5" w:rsidP="00F44690">
      <w:r w:rsidRPr="00A57DB5">
        <w:t>The answer is already in your hands. Every thinking error diagnosed in this book is operating inside government program administration right now. The losses are so large that quantifying them requires the kind of language normally reserved for comparing national economies</w:t>
      </w:r>
      <w:r>
        <w:t>.</w:t>
      </w:r>
    </w:p>
    <w:p w14:paraId="6FC196DA" w14:textId="1FE82E53" w:rsidR="00A57DB5" w:rsidRPr="00A57DB5" w:rsidRDefault="00A57DB5" w:rsidP="00A57DB5">
      <w:r w:rsidRPr="00A57DB5">
        <w:t xml:space="preserve">The Government Accountability Office published its first-ever government-wide fraud estimate in April 2024. The range: $233 to $521 billion lost to fraud annually across federal programs. The lower bound of that estimate, treated as a standalone economy, would rank roughly </w:t>
      </w:r>
      <w:r w:rsidR="002127EB">
        <w:t>52</w:t>
      </w:r>
      <w:r w:rsidR="002127EB" w:rsidRPr="002127EB">
        <w:rPr>
          <w:vertAlign w:val="superscript"/>
        </w:rPr>
        <w:t>nd</w:t>
      </w:r>
      <w:r w:rsidRPr="00A57DB5">
        <w:t xml:space="preserve"> among the world's </w:t>
      </w:r>
      <w:r w:rsidR="00D11C9A" w:rsidRPr="00D11C9A">
        <w:t>193 UN member states</w:t>
      </w:r>
      <w:r w:rsidRPr="00A57DB5">
        <w:t>. Pandemic-era spending proved the thesis in compressed time. The SBA's Inspector General estimated $200 billion in fraud across the Paycheck Protection Program and Economic Injury Disaster Loans. The GAO estimated another $100 to $135 billion in unemployment insurance fraud across state systems. Since 2003, cumulative improper payments reported by federal agencies have reached approximately $2.8 trillion.</w:t>
      </w:r>
    </w:p>
    <w:p w14:paraId="11A40D57" w14:textId="7E2A3D60" w:rsidR="00A57DB5" w:rsidRPr="00A57DB5" w:rsidRDefault="00A57DB5" w:rsidP="00A57DB5">
      <w:r w:rsidRPr="00A57DB5">
        <w:t xml:space="preserve">Those numbers require a caveat, and the caveat makes them worse. The GAO's estimate explicitly excludes the Department of Defense. Not because the Pentagon's finances are clean, but because its financial data is too unreliable to model. The Department of Defense has failed its own audit for eight consecutive years. The data has been unusable for </w:t>
      </w:r>
      <w:r w:rsidR="0015326C">
        <w:t>13</w:t>
      </w:r>
      <w:r w:rsidR="00D11C9A">
        <w:t xml:space="preserve"> years</w:t>
      </w:r>
      <w:r w:rsidRPr="00A57DB5">
        <w:t>. The largest discretionary budget in the federal government is not in the fraud estimate because it cannot be in the fraud estimate. The accounting infrastructure that would make inclusion possible does not function. The range you just absorbed, a range large enough to rival the economic output of entire nations, is the floor. The ceiling is unknown. It is unknown because the systems that would allow anyone to calculate it do not work, and Congress, with bipartisan consistency, keeps funding the institution that operates them.</w:t>
      </w:r>
    </w:p>
    <w:p w14:paraId="5BDCE470" w14:textId="332513E7" w:rsidR="009F4A78" w:rsidRPr="005F558A" w:rsidRDefault="009F4A78" w:rsidP="009F4A78">
      <w:r w:rsidRPr="005F558A">
        <w:t xml:space="preserve">This case study is not an investigation, and it is not an exposé. It is a diagnostic exercise. What follows takes </w:t>
      </w:r>
      <w:r w:rsidR="002127EB">
        <w:t>10</w:t>
      </w:r>
      <w:r w:rsidRPr="005F558A">
        <w:t xml:space="preserve"> thinking errors this book has identified and maps each one to a specific case of government program fraud operating at institutional scale in the United States right now. The organizing principle is not geography, not chronology, not the size of the fraud. It is the book's own framework. Ten errors. Ten cases. One domain where every one of them is running simultaneously, producing outcomes measured in hundreds of billions of dollars, paid for by the people the programs were built to serve.</w:t>
      </w:r>
    </w:p>
    <w:p w14:paraId="44347687" w14:textId="77777777" w:rsidR="009F4A78" w:rsidRPr="005F558A" w:rsidRDefault="009F4A78" w:rsidP="009F4A78">
      <w:pPr>
        <w:pStyle w:val="Heading2"/>
      </w:pPr>
      <w:bookmarkStart w:id="115" w:name="_Toc227410738"/>
      <w:r w:rsidRPr="005F558A">
        <w:t>Free Lunch Thinking</w:t>
      </w:r>
      <w:bookmarkEnd w:id="115"/>
    </w:p>
    <w:p w14:paraId="2BB3EAB7" w14:textId="139CC440" w:rsidR="009F4A78" w:rsidRPr="005F558A" w:rsidRDefault="00463E2E" w:rsidP="009F4A78">
      <w:r>
        <w:t>"</w:t>
      </w:r>
      <w:r w:rsidR="009F4A78" w:rsidRPr="005F558A">
        <w:t>If you open up the bank window and say, give me your application and just promise me you really are who you say you are, you attract a lot of fraudsters.</w:t>
      </w:r>
      <w:r>
        <w:t>"</w:t>
      </w:r>
    </w:p>
    <w:p w14:paraId="304047DF" w14:textId="77777777" w:rsidR="009F4A78" w:rsidRPr="005F558A" w:rsidRDefault="009F4A78" w:rsidP="009F4A78">
      <w:r w:rsidRPr="005F558A">
        <w:t>That is Michael Horowitz, the Department of Justice Inspector General who chaired the Pandemic Response Accountability Committee, describing in congressional testimony what the United States Congress built on purpose.</w:t>
      </w:r>
    </w:p>
    <w:p w14:paraId="7D1E3688" w14:textId="77777777" w:rsidR="00F44690" w:rsidRPr="00F44690" w:rsidRDefault="00F44690" w:rsidP="00F44690">
      <w:r w:rsidRPr="00F44690">
        <w:t>Between 2020 and 2021, the federal government pushed approximately $1.2 trillion out the door through two SBA-administered programs: the Paycheck Protection Program (PPP) and Economic Injury Disaster Loans (EIDL). The money was supposed to keep small businesses alive and workers employed during a pandemic that had shut down the American economy overnight. The need was real. The urgency was real. Nobody serious disputes that. What was not real was the assumption underneath the whole enterprise: that you could move $1.2 trillion in emergency funding without paying the cost of checking who was receiving it.</w:t>
      </w:r>
    </w:p>
    <w:p w14:paraId="273963EA" w14:textId="20F32CA4" w:rsidR="009F4A78" w:rsidRPr="005F558A" w:rsidRDefault="009F4A78" w:rsidP="009F4A78">
      <w:r w:rsidRPr="005F558A">
        <w:t xml:space="preserve">PPP was built on self-attestation. Applicants certified their own eligibility. Lenders were instructed to rely on borrower representations. The SBA, in its own Inspector General's language, </w:t>
      </w:r>
      <w:r w:rsidR="00463E2E">
        <w:t>"</w:t>
      </w:r>
      <w:r w:rsidRPr="005F558A">
        <w:t>calibrated</w:t>
      </w:r>
      <w:r w:rsidR="00463E2E">
        <w:t>"</w:t>
      </w:r>
      <w:r w:rsidRPr="005F558A">
        <w:t xml:space="preserve"> its internal controls, which is the bureaucratic way of saying it dismantled the safeguards that existed specifically to prevent what happened next. EIDL worked on a similar premise: applicants applied directly to the SBA, self-certified their losses, and received funds with minimal independent verification. The applications confirmed that paperwork was complete. They did not confirm that businesses existed, that employees were real, or that the losses being claimed had actually occurred. The form was the product. Fill it out correctly and money appeared. Whether anything on the form was true was, functionally, nobody's problem.</w:t>
      </w:r>
    </w:p>
    <w:p w14:paraId="5FBAD3FC" w14:textId="77777777" w:rsidR="009F4A78" w:rsidRPr="005F558A" w:rsidRDefault="009F4A78" w:rsidP="009F4A78">
      <w:r w:rsidRPr="005F558A">
        <w:t>Congress designed it this way. Both parties voted for it. The political logic was explicit and bipartisan: speed and access are compassion, and verification is bureaucratic obstruction standing between desperate people and the help they need. The framing made it nearly impossible to argue for stronger controls without sounding like you wanted small business owners to starve while the government shuffled paperwork. So nobody argued. The money flowed.</w:t>
      </w:r>
    </w:p>
    <w:p w14:paraId="1D634B6E" w14:textId="3B95C43F" w:rsidR="009F4A78" w:rsidRPr="005F558A" w:rsidRDefault="009F4A78" w:rsidP="009F4A78">
      <w:r w:rsidRPr="005F558A">
        <w:t xml:space="preserve">The SBA's Inspector General later estimated that more than $200 billion of that $1.2 trillion was disbursed to potentially fraudulent recipients. That number is disputed. The SBA itself puts the figure closer to $36 billion, and the gap reflects a genuine methodological disagreement about what counts as </w:t>
      </w:r>
      <w:r w:rsidR="00463E2E">
        <w:t>"</w:t>
      </w:r>
      <w:r w:rsidRPr="005F558A">
        <w:t>potentially fraudulent</w:t>
      </w:r>
      <w:r w:rsidR="00463E2E">
        <w:t>"</w:t>
      </w:r>
      <w:r w:rsidRPr="005F558A">
        <w:t xml:space="preserve"> versus merely wasteful or improper. But even the SBA's own number, the low end of the range, represents more money lost to fraud in a single set of programs than most federal agencies spend in a year.</w:t>
      </w:r>
    </w:p>
    <w:p w14:paraId="613A3F2B" w14:textId="77777777" w:rsidR="00A57DB5" w:rsidRPr="00A57DB5" w:rsidRDefault="00A57DB5" w:rsidP="00A57DB5">
      <w:r w:rsidRPr="00A57DB5">
        <w:t>The timing data is what makes this a design story rather than a hindsight complaint. Eighty-six percent of the likely fraud occurred in the programs' first nine months, when controls were at their weakest. When controls were partially restored later in the programs' lives, fraud rates dropped. That is not a coincidence and it is not a mystery. The system already knew how to screen for fraud. It had been doing it for decades. Congress chose to turn it off, and the people who intended to steal the money moved the moment it opened. When the safeguards came back, the theft slowed down. Cause and effect. The fraud did not happen despite the design. It happened because of it.</w:t>
      </w:r>
    </w:p>
    <w:p w14:paraId="22789614" w14:textId="77777777" w:rsidR="00F44690" w:rsidRPr="00F44690" w:rsidRDefault="00F44690" w:rsidP="00F44690">
      <w:r w:rsidRPr="00F44690">
        <w:t>This is the first chapter's thinking error operating at its most literal. The benefit was rapid disbursement during a genuine emergency. The cost was verification. Congress looked at that cost, decided it was too slow, too bureaucratic, too cruel in the face of a crisis, and zeroed it out. The cost did not disappear. It transformed into $200 billion in stolen funds, paid for by the same taxpayers the programs were supposed to protect. The people who understood what a self-attestation system with no backend verification actually was, an open invitation with a government-guaranteed payout, moved faster than the small business owners the programs were designed to help. They always do. That is not cynicism. It is the first thing any honest assessment of incentive structures would predict, and it is exactly what the first chapter of this book told you to expect.</w:t>
      </w:r>
    </w:p>
    <w:p w14:paraId="2E295C98" w14:textId="77777777" w:rsidR="009F4A78" w:rsidRPr="00934339" w:rsidRDefault="009F4A78" w:rsidP="009F4A78">
      <w:pPr>
        <w:pStyle w:val="Heading2"/>
      </w:pPr>
      <w:bookmarkStart w:id="116" w:name="_Toc227410739"/>
      <w:r w:rsidRPr="00934339">
        <w:t>The Refusal to Expect Behavior</w:t>
      </w:r>
      <w:bookmarkEnd w:id="116"/>
    </w:p>
    <w:p w14:paraId="03D20D36" w14:textId="77777777" w:rsidR="009F4A78" w:rsidRPr="00934339" w:rsidRDefault="009F4A78" w:rsidP="009F4A78">
      <w:r w:rsidRPr="00934339">
        <w:t>Medicare pays hospices a flat per diem rate, roughly $200 to $260 per day, for each enrolled patient. The rate does not depend on what services are actually delivered on a given day. It does not adjust based on acuity, staffing, or whether anyone from the hospice set foot in the patient's home. The patient must have a terminal prognosis of six months or less, but that prognosis is a subjective physician certification, not a clinical threshold with objective criteria. And because hospice patients are expected to die, the outcome metrics that catch fraud in other healthcare settings do not apply. A hospital with unusually high mortality rates triggers review. A hospice with unusually high mortality rates is doing what hospice does.</w:t>
      </w:r>
    </w:p>
    <w:p w14:paraId="2C5189DD" w14:textId="576BB889" w:rsidR="009F4A78" w:rsidRPr="00934339" w:rsidRDefault="009F4A78" w:rsidP="009F4A78">
      <w:r w:rsidRPr="00934339">
        <w:t xml:space="preserve">Sit with that payment structure for a moment. A flat daily rate regardless of services delivered. A subjective eligibility determination. No outcome-based quality flags. If you were designing a system to exploit, you would not change a thing. The incentive structure is legible from outside: maximum revenue comes from enrolling people who are not actually dying, billing the daily rate for services never provided, and discharging them before they would have died anyway. One LA County hospice had a non-death discharge rate of 85 percent, five times the national average. Another reported a patient </w:t>
      </w:r>
      <w:r w:rsidR="00463E2E">
        <w:t>"</w:t>
      </w:r>
      <w:r w:rsidRPr="00934339">
        <w:t>survival rate</w:t>
      </w:r>
      <w:r w:rsidR="00463E2E">
        <w:t>"</w:t>
      </w:r>
      <w:r w:rsidRPr="00934339">
        <w:t xml:space="preserve"> exceeding 80 percent. These are not hospices in any meaningful sense of the word. They are billing engines that happen to be licensed as healthcare providers.</w:t>
      </w:r>
    </w:p>
    <w:p w14:paraId="4F22B46F" w14:textId="42A3719E" w:rsidR="009F4A78" w:rsidRPr="00934339" w:rsidRDefault="003F554C" w:rsidP="009F4A78">
      <w:r w:rsidRPr="003F554C">
        <w:t>The hospice benefit was created in 1982 for a nonprofit, mission-driven sector. It was designed around a moral assumption: that the people who enter end-of-life care do so because they want to help the dying, not because they see a revenue opportunity in the way the dying are reimbursed. That assumption held for roughly two decades. It held because the sector actually was mission-driven, and the payment structure reflected the world it was built in rather than the world it would eventually inhabit</w:t>
      </w:r>
      <w:r w:rsidR="009F4A78" w:rsidRPr="00934339">
        <w:t>.</w:t>
      </w:r>
    </w:p>
    <w:p w14:paraId="0170D54E" w14:textId="77777777" w:rsidR="009F4A78" w:rsidRPr="00934339" w:rsidRDefault="009F4A78" w:rsidP="009F4A78">
      <w:r w:rsidRPr="00934339">
        <w:t>Then for-profit entities discovered the per diem model. LA County's licensed hospice count surged 1,500 percent between 2010 and 2022. At one Van Nuys office plaza, 112 different licensed hospice agencies share a single address. That is not a healthcare delivery system. That is a billing address with a medical license attached to it, multiplied by 112. Recruiters working for these operations now pay $1,000 to $3,000 per Medicare beneficiary number. They canvass shopping centers. They canvass homeless encampments. They are purchasing access to billing identities the way a commodity trader purchases futures, because that is exactly what a Medicare beneficiary number is worth inside this system: a guaranteed daily payment for as long as the enrollment lasts and the paperwork holds.</w:t>
      </w:r>
    </w:p>
    <w:p w14:paraId="60B3AFAE" w14:textId="1E9DAF91" w:rsidR="009F4A78" w:rsidRPr="00934339" w:rsidRDefault="009F4A78" w:rsidP="009F4A78">
      <w:r w:rsidRPr="00934339">
        <w:t xml:space="preserve">CMS knew. In 2018, the HHS Inspector General made </w:t>
      </w:r>
      <w:r w:rsidR="002127EB">
        <w:t>16</w:t>
      </w:r>
      <w:r w:rsidRPr="00934339">
        <w:t xml:space="preserve"> specific recommendations for strengthening hospice oversight. CMS concurred with six. California set its own deadline to adopt emergency hospice regulations by January 2026. It missed the deadline. In March 2026, nearly two decades after the fraud pattern first became visible, CMS formally declared that LA County's hospice market constituted an </w:t>
      </w:r>
      <w:r w:rsidR="00463E2E">
        <w:t>"</w:t>
      </w:r>
      <w:r w:rsidRPr="00934339">
        <w:t>environment of pervasive fraud</w:t>
      </w:r>
      <w:r w:rsidR="00463E2E">
        <w:t>"</w:t>
      </w:r>
      <w:r w:rsidRPr="00934339">
        <w:t xml:space="preserve"> and began moving to suspend providers. Operation Skip Trace, launched in April 2026, charged 21 suspects across 14 companies that had billed $267 million using identities purchased from the dark web. By that point, the fraud had been running for the better part of fifteen years.</w:t>
      </w:r>
    </w:p>
    <w:p w14:paraId="154C9290" w14:textId="77777777" w:rsidR="003F554C" w:rsidRPr="003F554C" w:rsidRDefault="003F554C" w:rsidP="003F554C">
      <w:r w:rsidRPr="003F554C">
        <w:t>The thinking error here is not complicated. It is the refusal to expect behavior. The hospice benefit was designed around how its architects wished providers would behave, not around how profit-seeking actors actually behave when presented with a payment structure that rewards enrollment volume over care delivery, requires no outcome accountability, and operates inside an oversight framework that was built for a different era and a different kind of provider. Anyone willing to sit down with the incentive structure and predict what would happen could have described the LA hospice epidemic before it started. The prediction would have required no special expertise. Only the willingness to take the payment model seriously and ask what a rational actor with no particular commitment to end-of-life care would do with it. That prediction would have been dismissed as cynical. It would also have been exactly right.</w:t>
      </w:r>
    </w:p>
    <w:p w14:paraId="68E70A7B" w14:textId="77777777" w:rsidR="009F4A78" w:rsidRPr="001B2A19" w:rsidRDefault="009F4A78" w:rsidP="009F4A78">
      <w:pPr>
        <w:pStyle w:val="Heading2"/>
      </w:pPr>
      <w:bookmarkStart w:id="117" w:name="_Toc227410740"/>
      <w:r w:rsidRPr="001B2A19">
        <w:t>Intentions as Substitute for Mechanism</w:t>
      </w:r>
      <w:bookmarkEnd w:id="117"/>
    </w:p>
    <w:p w14:paraId="028A06B3" w14:textId="77777777" w:rsidR="009F4A78" w:rsidRPr="001B2A19" w:rsidRDefault="009F4A78" w:rsidP="009F4A78">
      <w:r w:rsidRPr="001B2A19">
        <w:t>Feeding Our Future was not an anomaly in Minnesota. It was the most visible expression of a pattern running through the state's entire Medicaid ecosystem. Program after program, across unrelated services and separate administering agencies, the same failure repeated: good intentions with no operational system behind them. The intentions varied. The gap between what was designed and what was built did not.</w:t>
      </w:r>
    </w:p>
    <w:p w14:paraId="042FB7BB" w14:textId="77777777" w:rsidR="009F4A78" w:rsidRPr="001B2A19" w:rsidRDefault="009F4A78" w:rsidP="009F4A78">
      <w:r w:rsidRPr="001B2A19">
        <w:t>Minnesota's Early Intensive Developmental and Behavioral Intervention program, EIDBI, provides autism services for children. The need is real and the waiting lists are long. Between 2020 and 2024, the program's costs exploded from $38 million to $325 million. The number of providers multiplied 700 percent. The first criminal charges arrived in September 2025. One provider had billed $14 million while employing unqualified teenagers as therapists and paying parents between $300 and $1,500 per month in kickbacks for each child enrolled. The program was designed to get autism services to children who needed them. It succeeded in creating a payment stream. Whether children received competent therapy from qualified providers was a question the program's design did not ask and its oversight structure could not answer.</w:t>
      </w:r>
    </w:p>
    <w:p w14:paraId="35A824FA" w14:textId="552D4222" w:rsidR="009F4A78" w:rsidRPr="001B2A19" w:rsidRDefault="009F4A78" w:rsidP="009F4A78">
      <w:r w:rsidRPr="001B2A19">
        <w:t xml:space="preserve">Housing Stabilization Services was predicted to cost $2.6 million annually when it launched in 2022. Within three years, it had paid out more than $300 million before being shut down in August 2025 amid fraud allegations. The program was designed with </w:t>
      </w:r>
      <w:r w:rsidR="00463E2E">
        <w:t>"</w:t>
      </w:r>
      <w:r w:rsidRPr="001B2A19">
        <w:t>low barriers to entry</w:t>
      </w:r>
      <w:r w:rsidR="00463E2E">
        <w:t>"</w:t>
      </w:r>
      <w:r w:rsidRPr="001B2A19">
        <w:t xml:space="preserve"> for providers. That phrase was not a concession to political reality or an oversight in the drafting process. It was a feature, defended as such by the program's architects, on the grounds that the populations being served needed immediate access to housing support and that traditional credentialing requirements would slow that access down. The barriers were low. The money was real. And people from Philadelphia traveled to Minnesota, enrolled shell companies, returned home, and billed $3.5 million in Medicaid payments remotely for services they never provided to people they had never met. The program's designers called it accessibility. What it actually was, in operational terms, was an unlocked door with a sign on it.</w:t>
      </w:r>
    </w:p>
    <w:p w14:paraId="0E9F6374" w14:textId="77777777" w:rsidR="009F4A78" w:rsidRPr="001B2A19" w:rsidRDefault="009F4A78" w:rsidP="009F4A78">
      <w:r w:rsidRPr="001B2A19">
        <w:t>Personal care attendant fraud generated multiple cases exceeding $7 million each. In at least one case, a convicted fraudster who had been formally banned from the Medicaid program continued billing through proxy companies. The ban, the conviction, the explicit prohibition from participating in the program, none of it was sufficient to keep someone out of a system that had no mechanism for enforcing its own rules.</w:t>
      </w:r>
    </w:p>
    <w:p w14:paraId="251FC70D" w14:textId="77777777" w:rsidR="003F554C" w:rsidRPr="003F554C" w:rsidRDefault="003F554C" w:rsidP="003F554C">
      <w:r w:rsidRPr="003F554C">
        <w:t>The intention behind every one of these programs was defensible. Autism services for children who need them. Housing stability for people in crisis. Personal care for those who cannot care for themselves. But the intentions were not systems. They were aspirations with payment mechanisms attached. The autism program aspired to deliver qualified therapy. It delivered a payment stream that could be captured by anyone willing to hire teenagers and pay parents to look the other way. The housing program aspired to stabilize vulnerable people. It delivered a reimbursement pipeline with no geographic verification, no service confirmation, and no credentialing barrier sufficient to stop someone from billing remotely from another state. The personal care program aspired to help people who could not care for themselves. It could not keep a convicted fraudster from billing it through a shell company.</w:t>
      </w:r>
    </w:p>
    <w:p w14:paraId="7331DB20" w14:textId="77777777" w:rsidR="009F4A78" w:rsidRPr="001B2A19" w:rsidRDefault="009F4A78" w:rsidP="009F4A78">
      <w:r w:rsidRPr="001B2A19">
        <w:t>The gap between the aspiration and the mechanism is where the money went. In every case, the program's designers treated the intention as if it were the system. They built the payment infrastructure, because without it the money cannot flow, and they skipped the operational infrastructure, because building it is slower, harder, less politically gratifying, and forces you to confront the possibility that the people accessing your program might not all be who you want them to be. The intention substituted for the mechanism. And the result, in program after program across Minnesota's Medicaid ecosystem, was the same: public money flowed to the point of least resistance, which was rarely the point of greatest need.</w:t>
      </w:r>
    </w:p>
    <w:p w14:paraId="5AB045EC" w14:textId="77777777" w:rsidR="009F4A78" w:rsidRPr="001B2A19" w:rsidRDefault="009F4A78" w:rsidP="009F4A78">
      <w:pPr>
        <w:pStyle w:val="Heading2"/>
      </w:pPr>
      <w:bookmarkStart w:id="118" w:name="_Toc227410741"/>
      <w:r w:rsidRPr="001B2A19">
        <w:t>Consequence-Free Thinking</w:t>
      </w:r>
      <w:bookmarkEnd w:id="118"/>
    </w:p>
    <w:p w14:paraId="37774CC5" w14:textId="77777777" w:rsidR="009F4A78" w:rsidRPr="001B2A19" w:rsidRDefault="009F4A78" w:rsidP="009F4A78">
      <w:r w:rsidRPr="001B2A19">
        <w:t xml:space="preserve">In 2013, Michigan replaced its unemployment fraud detection unit with an automated system called </w:t>
      </w:r>
      <w:proofErr w:type="spellStart"/>
      <w:r w:rsidRPr="001B2A19">
        <w:t>MiDAS</w:t>
      </w:r>
      <w:proofErr w:type="spellEnd"/>
      <w:r w:rsidRPr="001B2A19">
        <w:t>. The state simultaneously laid off roughly one-third of the workforce that had previously handled fraud cases manually. The theory was efficiency: let the algorithm do the work, cut the headcount, save money. Nobody in the room where that decision was made appears to have asked the obvious follow-up question: what happens when the algorithm is wrong?</w:t>
      </w:r>
    </w:p>
    <w:p w14:paraId="2AEED659" w14:textId="77777777" w:rsidR="00193F3F" w:rsidRPr="00193F3F" w:rsidRDefault="00193F3F" w:rsidP="00193F3F">
      <w:proofErr w:type="spellStart"/>
      <w:r w:rsidRPr="00193F3F">
        <w:t>MiDAS</w:t>
      </w:r>
      <w:proofErr w:type="spellEnd"/>
      <w:r w:rsidRPr="00193F3F">
        <w:t xml:space="preserve"> achieved a 93 percent false-positive rate. Ninety-three percent. The system accused people of fraud for trivial data-entry errors on their unemployment forms, a transposed digit, a misremembered date, and then automatically levied fines of four times the original benefit amount plus 12 percent interest. It generated $96 million in penalties in its first year. At least 11,000 Michigan families were driven into bankruptcy by a machine that had decided they were criminals because they had filled out a form incorrectly. The state had built a fraud detection system optimized for revenue generation. The fraud it was supposedly detecting did not exist. And for years, nobody with the authority to stop it treated those consequences as a problem worth solving, because the system was performing exactly the way it was designed to perform. It was producing revenue. That it was producing revenue by destroying the financial lives of its own citizens was, apparently, a secondary concern.</w:t>
      </w:r>
    </w:p>
    <w:p w14:paraId="5834D03A" w14:textId="77777777" w:rsidR="00193F3F" w:rsidRPr="00193F3F" w:rsidRDefault="00193F3F" w:rsidP="00193F3F">
      <w:r w:rsidRPr="00193F3F">
        <w:t>Then COVID arrived. The pandemic hit Michigan's unemployment system with claims volumes 77 times above normal, and the infrastructure beneath them had already been hollowed out. The workforce that might have provided surge capacity had been laid off a decade earlier. No proactive anti-fraud unit existed before the pandemic. Identity verification was minimal. The state processed a flood of claims through a system that had neither the human staff nor the technical architecture to distinguish real applicants from fake ones. The result: between $8.4 and $8.5 billion in potentially fraudulent pandemic unemployment payments, representing more than 20 percent of everything Michigan disbursed during that period. One dollar in five went to someone who should not have received it.</w:t>
      </w:r>
    </w:p>
    <w:p w14:paraId="0A0F09E8" w14:textId="431C1883" w:rsidR="009F4A78" w:rsidRPr="001B2A19" w:rsidRDefault="009F4A78" w:rsidP="009F4A78">
      <w:r w:rsidRPr="001B2A19">
        <w:t>Michigan also prevented an estimated $43.7 billion in additional fraudulent claims during the same period, which makes the picture more complicated but does not make it better. It means the state was simultaneously catching fraud and hemorrhaging billions through the structural gaps it had designed into its own system. The capacity to detect fraud and the capacity to prevent it are not the same thing, and Michigan had invested in the former while systematically degrading the latter. The $43.7 billion in prevented claims does not offset the $8.5 billion in approved ones. It underscores how much worse the problem could have been, and how much of what did go wrong was a function of choices made years before the pandemic gave anyone an excuse.</w:t>
      </w:r>
    </w:p>
    <w:p w14:paraId="5EFDC70B" w14:textId="77777777" w:rsidR="00193F3F" w:rsidRPr="00193F3F" w:rsidRDefault="00193F3F" w:rsidP="00193F3F">
      <w:r w:rsidRPr="00193F3F">
        <w:t>That is the thinking error. Michigan designed an automated system without asking what happens when the algorithm is wrong, and 11,000 families went bankrupt. Michigan maintained the hollowed-out infrastructure that resulted from that automation without asking what happens when a crisis demands surge capacity, and $8.5 billion walked out the door. Both failures were consequences of design choices. Both were predictable. A serious assessment of either decision would have surfaced them. Neither was predicted by the people who made those decisions, because the design process treated downstream consequences as someone else's problem in someone else's future. The cost of the decision was real. It was deferred. And when it arrived, the people who paid it were not the people who made the choice. They never are. That is what consequence-free thinking produces: decisions whose costs are real but land somewhere other than on the people who decided.</w:t>
      </w:r>
    </w:p>
    <w:p w14:paraId="3BA525BF" w14:textId="431C1883" w:rsidR="009F4A78" w:rsidRPr="00032D88" w:rsidRDefault="009F4A78" w:rsidP="009F4A78">
      <w:pPr>
        <w:pStyle w:val="Heading2"/>
      </w:pPr>
      <w:bookmarkStart w:id="119" w:name="_Toc227410742"/>
      <w:r w:rsidRPr="00032D88">
        <w:t>Hostility Toward Constraints</w:t>
      </w:r>
      <w:bookmarkEnd w:id="119"/>
    </w:p>
    <w:p w14:paraId="49A5E787" w14:textId="77777777" w:rsidR="009F4A78" w:rsidRPr="00032D88" w:rsidRDefault="009F4A78" w:rsidP="009F4A78">
      <w:r w:rsidRPr="00032D88">
        <w:t>The opening of this case study described what happened when the Minnesota Department of Education tried to cut off payments to Feeding Our Future: the nonprofit sued, alleging racial discrimination, and MDE voluntarily resumed the payments. That sequence deserves a closer look, because the facts of the case are less important here than what those facts reveal about how the system processed the act of imposing a constraint.</w:t>
      </w:r>
    </w:p>
    <w:p w14:paraId="7CB00965" w14:textId="76C48E21" w:rsidR="009F4A78" w:rsidRPr="00032D88" w:rsidRDefault="009F4A78" w:rsidP="009F4A78">
      <w:r w:rsidRPr="00032D88">
        <w:t xml:space="preserve">MDE had received more than </w:t>
      </w:r>
      <w:r w:rsidR="0015326C">
        <w:t>30</w:t>
      </w:r>
      <w:r w:rsidRPr="00032D88">
        <w:t xml:space="preserve"> complaints over three years. The complaints alleged kickbacks, fabricated records, financial misconduct. The department's reimbursement data showed a 2,800 percent increase in a single fiscal year. The FBI was already surveilling sites that claimed thousands of daily meals and showed almost no one walking through the door. By any reasonable standard, cutting off payments was not an aggressive enforcement action. It was the minimum. It was the thing any functioning oversight body would have done two years earlier.</w:t>
      </w:r>
    </w:p>
    <w:p w14:paraId="0865625A" w14:textId="62C0A8BD" w:rsidR="009F4A78" w:rsidRPr="00032D88" w:rsidRDefault="009F4A78" w:rsidP="009F4A78">
      <w:r w:rsidRPr="00032D88">
        <w:t xml:space="preserve">Feeding Our Future's response was not to dispute the evidence. It was to reframe the constraint itself as the offense. The discrimination lawsuit did not argue that the complaints were unfounded or that the reimbursement data was wrong. It argued that the act of imposing oversight on this particular organization, serving this particular population, constituted racial discrimination. The claim shifted the question from </w:t>
      </w:r>
      <w:r w:rsidR="00463E2E">
        <w:t>"</w:t>
      </w:r>
      <w:r w:rsidRPr="00032D88">
        <w:t>is this organization committing fraud?</w:t>
      </w:r>
      <w:r w:rsidR="00463E2E">
        <w:t>"</w:t>
      </w:r>
      <w:r w:rsidRPr="00032D88">
        <w:t xml:space="preserve"> to </w:t>
      </w:r>
      <w:r w:rsidR="00463E2E">
        <w:t>"</w:t>
      </w:r>
      <w:r w:rsidRPr="00032D88">
        <w:t>why are you targeting this organization?</w:t>
      </w:r>
      <w:r w:rsidR="00463E2E">
        <w:t>"</w:t>
      </w:r>
      <w:r w:rsidRPr="00032D88">
        <w:t xml:space="preserve"> The evidence became irrelevant. The constraint became the story.</w:t>
      </w:r>
    </w:p>
    <w:p w14:paraId="347AD782" w14:textId="77777777" w:rsidR="009F4A78" w:rsidRPr="00032D88" w:rsidRDefault="009F4A78" w:rsidP="009F4A78">
      <w:r w:rsidRPr="00032D88">
        <w:t>MDE folded. It voluntarily resumed payments. The Minnesota Judicial Branch later issued a public statement, a rare move for the courts, clarifying that no judge had ever ordered MDE to continue paying. The governor and the department had implied otherwise. The Judicial Branch corrected the record. The payments were MDE's own choice, made under the pressure of a discrimination allegation that recast the act of oversight as an act of hostility toward the communities the program served.</w:t>
      </w:r>
    </w:p>
    <w:p w14:paraId="67AA74A2" w14:textId="77777777" w:rsidR="009F4A78" w:rsidRPr="00032D88" w:rsidRDefault="009F4A78" w:rsidP="009F4A78">
      <w:r w:rsidRPr="00032D88">
        <w:t>This was not an isolated tactic. It was the operating logic of the entire system. More than 400 Department of Human Services employees accused the Walz administration of ignoring early fraud alerts and retaliating against the people who raised them. Whistleblowers reported threats, reassignments, marginalization. The people inside these agencies who tried to impose constraints, who looked at the numbers and said something is wrong here, were not treated as employees doing their jobs. They were treated as obstacles to the mission. The mission was access, expansion, getting resources to the populations that needed them. Anyone who slowed that mission down, for any reason, including the reason that the money was being stolen, was heard not as someone protecting the program but as someone attacking the people it served.</w:t>
      </w:r>
    </w:p>
    <w:p w14:paraId="114965F6" w14:textId="77777777" w:rsidR="009F4A78" w:rsidRPr="00032D88" w:rsidRDefault="009F4A78" w:rsidP="009F4A78">
      <w:r w:rsidRPr="00032D88">
        <w:t>The hostility is not irrational. It has a logic, and the logic is what makes it so durable. In systems where program expansion is the institutional priority and access is the stated value, every act of verification is a potential delay. Every constraint is a barrier between a vulnerable person and the help they need. The emotional math is simple: if the program exists to serve people in crisis, then slowing the program down means leaving people in crisis longer. That framing makes it genuinely difficult to argue for oversight without sounding like you care more about accounting than about human beings. The framing is also wrong, because the people being harmed by the fraud are the same populations the programs claim to protect, and every dollar stolen is a dollar that did not reach them. But the framing does not need to be correct to be effective. It only needs to make the person arguing for constraints feel like the villain. It does that reliably.</w:t>
      </w:r>
    </w:p>
    <w:p w14:paraId="47D9528D" w14:textId="77777777" w:rsidR="009F4A78" w:rsidRPr="00032D88" w:rsidRDefault="009F4A78" w:rsidP="009F4A78">
      <w:r w:rsidRPr="00032D88">
        <w:t>This is the thinking error the book diagnosed in its chapter on why voters hate economics. The discipline that names limits gets rejected, not because the limits are wrong, but because naming them feels like an act of disrespect toward the people who need help. The constraint is not evaluated on whether it works. It is evaluated on how it feels. And in a system where the constraint feels like cruelty, the constraint loses every time, no matter how much money is walking out the door while everyone argues about whether checking the books is an act of compassion or an act of hostility.</w:t>
      </w:r>
    </w:p>
    <w:p w14:paraId="7740D04C" w14:textId="77777777" w:rsidR="009F4A78" w:rsidRPr="00032D88" w:rsidRDefault="009F4A78" w:rsidP="009F4A78">
      <w:pPr>
        <w:pStyle w:val="Heading2"/>
      </w:pPr>
      <w:bookmarkStart w:id="120" w:name="_Toc227410743"/>
      <w:r w:rsidRPr="00032D88">
        <w:t>The Underfunding Default</w:t>
      </w:r>
      <w:bookmarkEnd w:id="120"/>
    </w:p>
    <w:p w14:paraId="0C83F517" w14:textId="77777777" w:rsidR="009F4A78" w:rsidRPr="00032D88" w:rsidRDefault="009F4A78" w:rsidP="009F4A78">
      <w:r w:rsidRPr="00032D88">
        <w:t>New York operates the largest state Medicaid program in the country. Approximately $115 to $120 billion in annual spending. Roughly $12,500 per beneficiary, which is 36 percent above the national average. By any measure of resources committed, New York's Medicaid system is not starving. It is one of the most generously funded healthcare programs any state government has ever operated.</w:t>
      </w:r>
    </w:p>
    <w:p w14:paraId="3D5E2209" w14:textId="77777777" w:rsidR="009F4A78" w:rsidRPr="00032D88" w:rsidRDefault="009F4A78" w:rsidP="009F4A78">
      <w:r w:rsidRPr="00032D88">
        <w:t>When problems surface in New York Medicaid, the diagnosis is always the same. The program needs more funding. More staff. More resources. The problems are real, the reasoning goes, and the solution is to give the program what it needs to do its job properly. This diagnosis has a powerful appeal because it is simple, it is actionable, and it places the blame on external constraints rather than internal design. It also happens to be wrong.</w:t>
      </w:r>
    </w:p>
    <w:p w14:paraId="3BDDAA6E" w14:textId="3863A510" w:rsidR="00C84E7C" w:rsidRPr="00C84E7C" w:rsidRDefault="00C84E7C" w:rsidP="00C84E7C">
      <w:r w:rsidRPr="00C84E7C">
        <w:t xml:space="preserve">The Consumer Directed Personal Assistance Program did not triple in cost from $3 billion to $9.1 billion because it was underfunded. It tripled because the design rewarded exploitation. Beginning in 2016, loosened rules allowed Medicaid recipients to hire family members and friends as paid caregivers at $37 per hour. The idea was patient autonomy: let people choose who cares for them. Look at what the design actually created. The caregiver and the care recipient lived in the same household. The person verifying that care was provided was the person receiving it. The financial incentive to bill for hours not worked was enormous, and the oversight meant to catch it was functionally nonexistent. This is not a system that was exploited despite its design. This is a system whose design made exploitation the path of least resistance. Governor Hochul called it </w:t>
      </w:r>
      <w:r w:rsidR="00463E2E">
        <w:t>"</w:t>
      </w:r>
      <w:r w:rsidRPr="00C84E7C">
        <w:t>a racket.</w:t>
      </w:r>
      <w:r w:rsidR="00463E2E">
        <w:t>"</w:t>
      </w:r>
      <w:r w:rsidRPr="00C84E7C">
        <w:t xml:space="preserve"> That is not an outside critic or an opposition politician. That is the state's own chief executive naming what the program became. More than 40 percent of Medicaid fraud convictions in the state over the past decade involved personal care services like CDPAP. The program was not underfunded. It was overexploited. Those are different problems with different solutions, and the underfunding diagnosis makes the actual problem invisible.</w:t>
      </w:r>
    </w:p>
    <w:p w14:paraId="6F77AAE4" w14:textId="77777777" w:rsidR="00C84E7C" w:rsidRPr="00C84E7C" w:rsidRDefault="00C84E7C" w:rsidP="00C84E7C">
      <w:r w:rsidRPr="00C84E7C">
        <w:t>Social adult day care centers in New York City multiplied from 40 in 2013 to nearly 400, appearing in storefronts, apartments, basements. A Brooklyn operation billed $68 million through fake adult day care facilities and CDPAP services. A Queens pharmacy-and-day-care scheme submitted $120 million in fraudulent claims. New York also improperly paid more than $2.6 billion in Medicaid premiums for people who do not reside in the state. That last figure is not fraud in the criminal sense. It is a system so poorly designed that it spent $2.6 billion on people who were not there, and nobody caught it until someone finally checked. The underfunding diagnosis would say the system needed more money to check. The evidence says the system had more money per beneficiary than almost any state in the country and still could not confirm that the people it was paying for actually lived in New York.</w:t>
      </w:r>
    </w:p>
    <w:p w14:paraId="41D558C9" w14:textId="77777777" w:rsidR="009F4A78" w:rsidRPr="00032D88" w:rsidRDefault="009F4A78" w:rsidP="009F4A78">
      <w:r w:rsidRPr="00032D88">
        <w:t>CMS launched a formal probe of New York's Medicaid program in 2026. The House Oversight Committee opened its own investigation. These are not responses to a program that needs more resources. They are responses to a program that cannot account for the resources it already has.</w:t>
      </w:r>
    </w:p>
    <w:p w14:paraId="28A0D8CA" w14:textId="2299250D" w:rsidR="00C84E7C" w:rsidRPr="00C84E7C" w:rsidRDefault="00C84E7C" w:rsidP="00C84E7C">
      <w:r w:rsidRPr="00C84E7C">
        <w:t xml:space="preserve">The thinking error is the default itself. When every failure is diagnosed as underfunding, the actual causes of failure are never examined. Design problems persist because they are never identified as design problems. Oversight gaps persist because they are framed as staffing shortages rather than structural failures. The program grows, the fraud grows with it, and the next round of failures produces the same diagnosis: more money, more staff, more resources. The cycle is self-reinforcing because the diagnosis protects the design from scrutiny. New York spends more per Medicaid beneficiary than almost any state in the country. It has among the worst fraud outcomes. The relationship between those two facts is not a coincidence. It is what happens when you keep adding money to a system whose problems are not about money. Every dollar framed as </w:t>
      </w:r>
      <w:r w:rsidR="00463E2E">
        <w:t>"</w:t>
      </w:r>
      <w:r w:rsidRPr="00C84E7C">
        <w:t>needed resources</w:t>
      </w:r>
      <w:r w:rsidR="00463E2E">
        <w:t>"</w:t>
      </w:r>
      <w:r w:rsidRPr="00C84E7C">
        <w:t xml:space="preserve"> that flows into a broken design is another dollar of ignorance tax paid by the people who were told the program just needed more support.</w:t>
      </w:r>
    </w:p>
    <w:p w14:paraId="323F9A2F" w14:textId="77777777" w:rsidR="009F4A78" w:rsidRPr="00032D88" w:rsidRDefault="009F4A78" w:rsidP="009F4A78">
      <w:pPr>
        <w:pStyle w:val="Heading2"/>
      </w:pPr>
      <w:bookmarkStart w:id="121" w:name="_Toc227410744"/>
      <w:r w:rsidRPr="00032D88">
        <w:t>Vibes-Based Reasoning</w:t>
      </w:r>
      <w:bookmarkEnd w:id="121"/>
    </w:p>
    <w:p w14:paraId="4D0AD929" w14:textId="766819D8" w:rsidR="009F4A78" w:rsidRPr="00032D88" w:rsidRDefault="009F4A78" w:rsidP="009F4A78">
      <w:r w:rsidRPr="00032D88">
        <w:t xml:space="preserve">The Centers for Medicare and Medicaid Services is the federal agency responsible for overseeing roughly $1.5 trillion in annual healthcare spending across Medicare and Medicaid. Its operating model for managing that spending has a name, and the name tells you everything. It is called </w:t>
      </w:r>
      <w:r w:rsidR="00463E2E">
        <w:t>"</w:t>
      </w:r>
      <w:r w:rsidRPr="00032D88">
        <w:t>pay and chase.</w:t>
      </w:r>
      <w:r w:rsidR="00463E2E">
        <w:t>"</w:t>
      </w:r>
      <w:r w:rsidRPr="00032D88">
        <w:t xml:space="preserve"> Pay the claims first. Investigate later. The assumption built into the model is that the overwhelming majority of claims are legitimate and that the cost of verifying them upfront exceeds the cost of chasing down the fraudulent ones after the money is already gone. Whether that assumption was ever true is debatable. What is not debatable is that the model creates an environment where fraud is discovered, if it is discovered at all, only after the money has left the building.</w:t>
      </w:r>
    </w:p>
    <w:p w14:paraId="232D4F0D" w14:textId="16E62912" w:rsidR="00CA5B88" w:rsidRPr="00CA5B88" w:rsidRDefault="00CA5B88" w:rsidP="00CA5B88">
      <w:r w:rsidRPr="00CA5B88">
        <w:t xml:space="preserve">The model's consequences run through every case this study has examined. The information to catch the fraud existed inside the system. Every time. The pay-and-chase model did not cause each failure on its own, but it is the architecture that made all of them possible. When the default posture is to pay first and investigate later, </w:t>
      </w:r>
      <w:r w:rsidR="00463E2E">
        <w:t>"</w:t>
      </w:r>
      <w:r w:rsidRPr="00CA5B88">
        <w:t>later</w:t>
      </w:r>
      <w:r w:rsidR="00463E2E">
        <w:t>"</w:t>
      </w:r>
      <w:r w:rsidRPr="00CA5B88">
        <w:t xml:space="preserve"> has a way of becoming </w:t>
      </w:r>
      <w:r w:rsidR="00463E2E">
        <w:t>"</w:t>
      </w:r>
      <w:r w:rsidRPr="00CA5B88">
        <w:t>never.</w:t>
      </w:r>
      <w:r w:rsidR="00463E2E">
        <w:t>"</w:t>
      </w:r>
    </w:p>
    <w:p w14:paraId="2AD87552" w14:textId="77777777" w:rsidR="009F4A78" w:rsidRPr="00032D88" w:rsidRDefault="009F4A78" w:rsidP="009F4A78">
      <w:r w:rsidRPr="00032D88">
        <w:t>The question is why. Not why the model exists, which is a policy choice with a defensible history, but why it persists in the face of evidence that it is producing catastrophic outcomes. The answer is not complicated. It is career incentives.</w:t>
      </w:r>
    </w:p>
    <w:p w14:paraId="4D19A441" w14:textId="374EA3EB" w:rsidR="009F4A78" w:rsidRPr="00032D88" w:rsidRDefault="009F4A78" w:rsidP="009F4A78">
      <w:r w:rsidRPr="00032D88">
        <w:t xml:space="preserve">Nobody inside these systems is rewarded for finding fraud. Linda Miller, who runs the Program Integrity Alliance and has spent years studying the oversight infrastructure from the inside, put it plainly: </w:t>
      </w:r>
      <w:r w:rsidR="00463E2E">
        <w:t>"</w:t>
      </w:r>
      <w:r w:rsidRPr="00032D88">
        <w:t>Agencies remain willfully blind to its existence. It's just easier for them that way.</w:t>
      </w:r>
      <w:r w:rsidR="00463E2E">
        <w:t>"</w:t>
      </w:r>
      <w:r w:rsidRPr="00032D88">
        <w:t xml:space="preserve"> Finding fraud creates embarrassment for the agency that was supposed to prevent it. It creates workload, because every confirmed fraud case generates investigations, reports, congressional inquiries, and media coverage. It creates political exposure, because the programs being defrauded are programs that serve sympathetic populations, and the discovery of fraud in those programs becomes ammunition for people who want to cut them. The rational career move for any individual auditor, administrator, or program director inside CMS or a state Medicaid agency is to not look too hard. The system does not punish people who miss fraud. It punishes people who find it.</w:t>
      </w:r>
    </w:p>
    <w:p w14:paraId="6BBF26CE" w14:textId="060F3E54" w:rsidR="009F4A78" w:rsidRPr="00032D88" w:rsidRDefault="009F4A78" w:rsidP="009F4A78">
      <w:r w:rsidRPr="00032D88">
        <w:t xml:space="preserve">The HHS Inspector General made </w:t>
      </w:r>
      <w:r w:rsidR="002127EB">
        <w:t>16</w:t>
      </w:r>
      <w:r w:rsidRPr="00032D88">
        <w:t xml:space="preserve"> specific recommendations for strengthening hospice oversight in 2018. CMS concurred with six. That is not an agency that received recommendations and disagreed with them on the merits. That is an agency that received recommendations and declined to act on most of them because acting would have required changing operational practices that nobody inside the agency had a career incentive to change. California set its own deadline for emergency hospice regulations. January 2026. It missed the deadline. Florida's Medicaid Program Integrity unit, the entity responsible for identifying fraud in the state CMS itself declared an </w:t>
      </w:r>
      <w:r w:rsidR="00463E2E">
        <w:t>"</w:t>
      </w:r>
      <w:r w:rsidRPr="00032D88">
        <w:t>environment of pervasive fraud,</w:t>
      </w:r>
      <w:r w:rsidR="00463E2E">
        <w:t>"</w:t>
      </w:r>
      <w:r w:rsidRPr="00032D88">
        <w:t xml:space="preserve"> consistently missed its own fraud-identification targets and operated without a risk assessment or strategic plan. These are not agencies that lack information. They are agencies that lack any institutional reason to act on the information they have.</w:t>
      </w:r>
    </w:p>
    <w:p w14:paraId="1F409AD5" w14:textId="77777777" w:rsidR="009F4A78" w:rsidRPr="00032D88" w:rsidRDefault="009F4A78" w:rsidP="009F4A78">
      <w:r w:rsidRPr="00032D88">
        <w:t>This is where the thinking error comes into focus. In the absence of evidence, something fills the vacuum. What fills it is narrative. The narrative says the programs are compassionate. The narrative says they serve vulnerable people. The narrative says they are doing important work under difficult conditions with limited resources. All of those things may be true in the aggregate. None of them are substitutes for operational evidence about what is actually happening inside the programs, and the operational evidence, when anyone bothers to gather it, says the programs are hemorrhaging money to people who are stealing it. The narrative and the evidence point in opposite directions. The narrative wins. It wins because the narrative is warm and the evidence is embarrassing, and because every person inside these systems whose career depends on the programs continuing to operate has a reason to believe the narrative and no reason to read the numbers. That is vibes-based reasoning operating at institutional scale. The feeling that the program is working substitutes for the evidence that would show whether it is. The conviction that questioning the program is hostile substitutes for the operational review that would reveal what the program is actually doing. The vibes are warm. The data is catastrophic. The vibes win.</w:t>
      </w:r>
    </w:p>
    <w:p w14:paraId="0C80A9BC" w14:textId="77777777" w:rsidR="009F4A78" w:rsidRPr="00032D88" w:rsidRDefault="009F4A78" w:rsidP="009F4A78">
      <w:pPr>
        <w:pStyle w:val="Heading2"/>
      </w:pPr>
      <w:bookmarkStart w:id="122" w:name="_Toc227410745"/>
      <w:r w:rsidRPr="00032D88">
        <w:t>Belief as Armor</w:t>
      </w:r>
      <w:bookmarkEnd w:id="122"/>
    </w:p>
    <w:p w14:paraId="3EFC484B" w14:textId="77777777" w:rsidR="009F4A78" w:rsidRPr="00032D88" w:rsidRDefault="009F4A78" w:rsidP="009F4A78">
      <w:r w:rsidRPr="00032D88">
        <w:t xml:space="preserve">Every case examined so far in this study could be claimed by one side of the political aisle as evidence against the other. Minnesota's Medicaid fraud happened under a Democratic governor. Michigan's </w:t>
      </w:r>
      <w:proofErr w:type="spellStart"/>
      <w:r w:rsidRPr="00032D88">
        <w:t>MiDAS</w:t>
      </w:r>
      <w:proofErr w:type="spellEnd"/>
      <w:r w:rsidRPr="00032D88">
        <w:t xml:space="preserve"> was a product of Republican-era cost-cutting. The PPP self-attestation requirements were designed under the Trump administration. New York's CDPAP expansion happened under a Democratic one. A reader who wants to sort this into a partisan story can find the material to do it.</w:t>
      </w:r>
    </w:p>
    <w:p w14:paraId="6F6E4B85" w14:textId="77777777" w:rsidR="009F4A78" w:rsidRPr="00032D88" w:rsidRDefault="009F4A78" w:rsidP="009F4A78">
      <w:r w:rsidRPr="00032D88">
        <w:t>That reader would be wrong. Not because partisanship is irrelevant, but because both parties' contributions to this problem are so thoroughly documented that the partisan frame collapses under the weight of its own evidence.</w:t>
      </w:r>
    </w:p>
    <w:p w14:paraId="75542B31" w14:textId="0CECE2AE" w:rsidR="009F4A78" w:rsidRPr="00032D88" w:rsidRDefault="009F4A78" w:rsidP="009F4A78">
      <w:r w:rsidRPr="00032D88">
        <w:t xml:space="preserve">The left expands programs and lowers barriers to access. That is not an accusation. It is a description of governing priorities that Democratic administrations pursue for coherent ideological reasons. The American Rescue Plan disbursed $1.9 trillion with minimal new safeguards. Medicaid continuous enrollment during the pandemic suspended eligibility checks across the country. Minnesota's Democratic administration presided over the explosion of fraud across multiple Medicaid programs while more than 400 whistleblowers reported being marginalized for raising concerns. New York expanded CDPAP under a Democratic governor, and the program tripled in cost while its own governor called it a racket. The pattern is consistent: expand access first, build oversight later, and treat the gap between the two as a problem that will sort itself out. It does not sort itself out. It fills with money, and the money attracts the people this book has been describing for </w:t>
      </w:r>
      <w:r w:rsidR="0015326C">
        <w:t>10</w:t>
      </w:r>
      <w:r w:rsidRPr="00032D88">
        <w:t xml:space="preserve"> sections.</w:t>
      </w:r>
    </w:p>
    <w:p w14:paraId="3909FD00" w14:textId="77777777" w:rsidR="009F4A78" w:rsidRPr="00032D88" w:rsidRDefault="009F4A78" w:rsidP="009F4A78">
      <w:r w:rsidRPr="00032D88">
        <w:t>The right defunds oversight and reduces bureaucratic staffing. That is also not an accusation. It is a description of governing priorities that Republican administrations pursue for their own coherent ideological reasons. PPP was designed under the Trump administration with self-attestation requirements that the SBA's own Inspector General later said invited fraud by design. In early 2025, the incoming administration fired more than a dozen inspectors general during its first week in office. DOGE, the signature government efficiency initiative, focused primarily on policy disagreements and personnel actions rather than on the structural fraud embedded in the major entitlement programs where the actual money is. The pattern is consistent: campaign on fiscal responsibility, then gut the institutions whose job is to enforce it.</w:t>
      </w:r>
    </w:p>
    <w:p w14:paraId="2867093A" w14:textId="29F72D07" w:rsidR="00F63A9C" w:rsidRPr="00F63A9C" w:rsidRDefault="00F63A9C" w:rsidP="00F63A9C">
      <w:r w:rsidRPr="00F63A9C">
        <w:t xml:space="preserve">Neither party has implemented the GAO's March 2022 recommendations for congressional action to strengthen program integrity across federal spending. All </w:t>
      </w:r>
      <w:r w:rsidR="0015326C">
        <w:t>10</w:t>
      </w:r>
      <w:r w:rsidRPr="00F63A9C">
        <w:t xml:space="preserve"> recommendations remain open. Both parties have maintained the pay-and-chase model. More than $5 trillion in pandemic-era spending passed with bipartisan support and minimal controls. The structural conditions that produced every fraud case in this study were built by both parties over decades of decisions that each side made for reasons it considered sound. Correction from either direction is treated as a partisan attack, which strengthens rather than weakens the original position. That is the self-sealing loop. That is belief as armor.</w:t>
      </w:r>
    </w:p>
    <w:p w14:paraId="7FB9CD21" w14:textId="5272E97C" w:rsidR="00F63A9C" w:rsidRPr="00F63A9C" w:rsidRDefault="00F63A9C" w:rsidP="00F63A9C">
      <w:r w:rsidRPr="00F63A9C">
        <w:t xml:space="preserve">The Pentagon is where the armor is thickest. The opening of this case study mentioned the Department of Defense's audit failures. Here is what those failures actually look like. The Pentagon operates approximately 2,200 overlapping financial systems. The annual cost of maintaining those systems is roughly $18 billion. The GAO has found that not a single one of them works as intended. The Department of Defense cannot account for 61 percent of its $3.5 trillion in assets. It has failed its own audit for eight consecutive years. Its financial data has been too unreliable for the GAO to use as a modeling input for </w:t>
      </w:r>
      <w:r w:rsidR="0015326C">
        <w:t>13</w:t>
      </w:r>
      <w:r w:rsidRPr="00F63A9C">
        <w:t xml:space="preserve"> years. Congress funds it at $850 to $900 billion annually, making it the largest discretionary expenditure in the federal budget, and does so without requiring the financial accountability that would be non-negotiable for any other entity of any size in any sector of the American economy. A midsized company that could not account for 61 percent of its assets would not receive additional funding. It would receive a subpoena.</w:t>
      </w:r>
    </w:p>
    <w:p w14:paraId="544A50BB" w14:textId="77777777" w:rsidR="009F4A78" w:rsidRPr="00032D88" w:rsidRDefault="009F4A78" w:rsidP="009F4A78">
      <w:r w:rsidRPr="00032D88">
        <w:t>Republicans who campaign on fiscal responsibility vote to fund an institution that cannot tell them where the money goes. Democrats who campaign on government accountability exempt the military from the standards they demand of every domestic program. Neither party pays a political price for this, because the failure is so total and so longstanding that it has become background noise. The Pentagon's inability to pass an audit is not a scandal. It is a fact of life, treated with the same resigned acceptance as traffic or bad weather. That acceptance is the armor. It is so thick that the evidence produced by the Pentagon's own auditors, the evidence produced every single year confirming that the institution cannot account for its spending, bounces off without leaving a mark.</w:t>
      </w:r>
    </w:p>
    <w:p w14:paraId="4207FB3D" w14:textId="65F6FD0A" w:rsidR="009F4A78" w:rsidRPr="00032D88" w:rsidRDefault="009F4A78" w:rsidP="009F4A78">
      <w:r w:rsidRPr="00032D88">
        <w:t xml:space="preserve">The Pentagon is not a case of fraud being found and nobody stopping it. It is something worse. It is a case where the accounting infrastructure is so fundamentally broken that the question </w:t>
      </w:r>
      <w:r w:rsidR="00463E2E">
        <w:t>"</w:t>
      </w:r>
      <w:r w:rsidRPr="00032D88">
        <w:t>how much fraud is there?</w:t>
      </w:r>
      <w:r w:rsidR="00463E2E">
        <w:t>"</w:t>
      </w:r>
      <w:r w:rsidRPr="00032D88">
        <w:t xml:space="preserve"> cannot be answered. The systems that would produce the answer do not function. Nobody knows. Nobody can know. And Congress, with bipartisan consistency, keeps writing the checks. The belief that </w:t>
      </w:r>
      <w:r w:rsidR="00463E2E">
        <w:t>"</w:t>
      </w:r>
      <w:r w:rsidRPr="00032D88">
        <w:t>my side</w:t>
      </w:r>
      <w:r w:rsidR="00463E2E">
        <w:t>"</w:t>
      </w:r>
      <w:r w:rsidRPr="00032D88">
        <w:t xml:space="preserve"> is not part of this problem is the armor each party wears. The evidence says both sides built it together. The armor prevents either side from seeing that. And the people who pay for it, the taxpayers who fund a defense budget that cannot account for more than half its assets, have no armor at all.</w:t>
      </w:r>
    </w:p>
    <w:p w14:paraId="473E1CD1" w14:textId="77777777" w:rsidR="009F4A78" w:rsidRPr="00032D88" w:rsidRDefault="009F4A78" w:rsidP="009F4A78">
      <w:pPr>
        <w:pStyle w:val="Heading2"/>
      </w:pPr>
      <w:bookmarkStart w:id="123" w:name="_Toc227410746"/>
      <w:r w:rsidRPr="00032D88">
        <w:t>The Ceteris Paribus Error</w:t>
      </w:r>
      <w:bookmarkEnd w:id="123"/>
    </w:p>
    <w:p w14:paraId="34E4469B" w14:textId="77777777" w:rsidR="009F4A78" w:rsidRPr="00032D88" w:rsidRDefault="009F4A78" w:rsidP="009F4A78">
      <w:r w:rsidRPr="00032D88">
        <w:t>The H-1B visa program was designed to solve a specific problem: American companies that could not find workers with specialized skills in the domestic labor market needed a legal mechanism to recruit them from abroad. The system assumed that employers would use it to hire genuinely scarce talent at competitive wages, that the labor market would absorb the workers as planned, and that employer self-certification of the need for foreign workers would be sufficient because the participants would act in good faith. Those assumptions described the world the program was built for. They did not describe the world the program would eventually operate in.</w:t>
      </w:r>
    </w:p>
    <w:p w14:paraId="3475897E" w14:textId="77777777" w:rsidR="009F4A78" w:rsidRPr="00032D88" w:rsidRDefault="009F4A78" w:rsidP="009F4A78">
      <w:r w:rsidRPr="00032D88">
        <w:t>Conditions changed. Outsourcing firms, known in the industry as body shops, discovered that the H-1B system could be used not to recruit scarce talent but to import cheaper labor and subcontract it to American companies at rates that undercut domestic workers. The employer-employee relationship the program assumed, a company hiring a specialist it genuinely needed, gave way to a different model: a staffing firm petitions for workers in bulk, places them at client sites, and profits from the spread between what the client pays and what the worker receives. The worker is nominally employed by the staffing firm. The client company gets cheaper labor without the H-1B paperwork. The system's designers never anticipated this arrangement because they assumed the conditions under which the program was created would persist. They did not.</w:t>
      </w:r>
    </w:p>
    <w:p w14:paraId="1C2870CE" w14:textId="28C61285" w:rsidR="009F4A78" w:rsidRPr="00032D88" w:rsidRDefault="009F4A78" w:rsidP="009F4A78">
      <w:r w:rsidRPr="00032D88">
        <w:t xml:space="preserve">The gaming became industrial. In fiscal year 2024, more than 408,000 of the 759,000 H-1B registrations involved beneficiaries with multiple entries, meaning the same individual was entered into the lottery by more than one petitioner. The lottery system, designed to fairly allocate a limited number of visas, had become a volume game where flooding the system with duplicate entries improved the odds. Systematic wage suppression became the business model for the largest users of the program. The Economic Policy Institute estimated that a single company, HCL Technologies, committed wage theft exceeding $95 million annually by paying H-1B workers below prevailing wages. The last comprehensive federal audit of the program, conducted by USCIS in 2008, found that 13.4 percent of petitions were fraudulent and an additional 7.3 percent contained technical violations. One in five petitions had a problem. That audit has not been repeated in </w:t>
      </w:r>
      <w:r w:rsidR="0015326C">
        <w:t>18</w:t>
      </w:r>
      <w:r w:rsidRPr="00032D88">
        <w:t xml:space="preserve"> years.</w:t>
      </w:r>
    </w:p>
    <w:p w14:paraId="0CBE912A" w14:textId="77777777" w:rsidR="005B2C5C" w:rsidRPr="005B2C5C" w:rsidRDefault="005B2C5C" w:rsidP="005B2C5C">
      <w:r w:rsidRPr="005B2C5C">
        <w:t>Three federal agencies share jurisdiction over the H-1B system: USCIS, the Department of Labor, and the State Department. None of them has unified accountability for how the program operates in practice. The fragmentation is familiar. It is the same structural gap this case study has already examined in the domestic programs: agencies that write the rules separated from agencies that enforce them, with nobody responsible for the space in between.</w:t>
      </w:r>
    </w:p>
    <w:p w14:paraId="7AAF2A36" w14:textId="40E9AC73" w:rsidR="009F4A78" w:rsidRPr="00032D88" w:rsidRDefault="009F4A78" w:rsidP="009F4A78">
      <w:r w:rsidRPr="00032D88">
        <w:t xml:space="preserve">The consequences are playing out in real time in Texas. The state attorney general has issued investigative demands to three North Texas companies operating what appear to be ghost offices, shell locations maintained to satisfy the physical presence requirements of the visa while the actual workers are placed elsewhere. Frisco's Asian population grew from 10 percent to 33 percent between 2010 and 2026, driven substantially by the concentration of technology staffing firms in the Dallas-Fort Worth corridor. Governor Abbott, speaking at a Diwali celebration at the Governor's Mansion in November 2024, declared that Texas would always welcome the Indian community. That video resurfaced in April 2026 amid rising tensions in the communities absorbing the demographic shift. The fault line runs through the Republican Party itself: Elon Musk and the technology industry defend the H-1B program as essential to American competitiveness, while Steve Bannon calls it </w:t>
      </w:r>
      <w:r w:rsidR="00463E2E">
        <w:t>"</w:t>
      </w:r>
      <w:r w:rsidRPr="00032D88">
        <w:t>a total scam.</w:t>
      </w:r>
      <w:r w:rsidR="00463E2E">
        <w:t>"</w:t>
      </w:r>
      <w:r w:rsidRPr="00032D88">
        <w:t xml:space="preserve"> Trump's September 2025 executive proclamation imposing a $100,000 fee per new petition attempted to split the difference. The fee addresses none of the structural problems. It is a price increase on a broken system, not a redesign.</w:t>
      </w:r>
    </w:p>
    <w:p w14:paraId="2CF34BE2" w14:textId="3AC3F629" w:rsidR="009F4A78" w:rsidRPr="00032D88" w:rsidRDefault="009F4A78" w:rsidP="009F4A78">
      <w:r w:rsidRPr="00032D88">
        <w:t xml:space="preserve">This is the ceteris paribus error at full scale. The phrase means </w:t>
      </w:r>
      <w:r w:rsidR="00463E2E">
        <w:t>"</w:t>
      </w:r>
      <w:r w:rsidRPr="00032D88">
        <w:t>all else being equal,</w:t>
      </w:r>
      <w:r w:rsidR="00463E2E">
        <w:t>"</w:t>
      </w:r>
      <w:r w:rsidRPr="00032D88">
        <w:t xml:space="preserve"> and it is the assumption that underpins every model, every forecast, and every program design that projects current conditions into the future without asking what happens when those conditions change. The H-1B system was designed for one set of conditions. Those conditions changed fundamentally, and the system was never redesigned to account for the change. It kept running on its original assumptions while the world around it reorganized to exploit the gap between what the system expected and what was actually happening. The assumption that all else would remain equal was the program's foundation. All else did not remain equal. The system kept running as if it had.</w:t>
      </w:r>
    </w:p>
    <w:p w14:paraId="0CB2F718" w14:textId="77777777" w:rsidR="009F4A78" w:rsidRPr="00032D88" w:rsidRDefault="009F4A78" w:rsidP="009F4A78">
      <w:r w:rsidRPr="00032D88">
        <w:t>This case also does something the preceding sections have not. Every fraud case examined so far in this study has involved programs historically associated with Democratic governance: social services, healthcare, nutrition assistance, Medicaid expansion. A reader inclined toward partisan sorting could have treated the first eight sections as a critique of the left. The H-1B case closes that exit. It is unfolding in a Republican state, under a Republican governor, in a system historically championed by business-friendly conservatives, exploited by corporations whose political donations flow overwhelmingly to the right. The design failures are identical to the ones producing hundreds of billions in losses in the domestic programs. The thinking errors are the same. The political configuration is different. The outcomes are not.</w:t>
      </w:r>
    </w:p>
    <w:p w14:paraId="48BE0CF7" w14:textId="77777777" w:rsidR="009F4A78" w:rsidRPr="00686D9E" w:rsidRDefault="009F4A78" w:rsidP="009F4A78">
      <w:pPr>
        <w:pStyle w:val="Heading2"/>
      </w:pPr>
      <w:bookmarkStart w:id="124" w:name="_Toc227410747"/>
      <w:r w:rsidRPr="00686D9E">
        <w:t>The Law of Unintended Consequences</w:t>
      </w:r>
      <w:bookmarkEnd w:id="124"/>
    </w:p>
    <w:p w14:paraId="3E0430E1" w14:textId="199A13DF" w:rsidR="009F4A78" w:rsidRPr="00686D9E" w:rsidRDefault="009F4A78" w:rsidP="009F4A78">
      <w:r w:rsidRPr="00686D9E">
        <w:t xml:space="preserve">In 2007, the Department of Justice created a new unit called the Medicare Fraud Strike Force and stationed it in South Florida. It was not created as a national initiative that happened to start in Florida. It was created specifically for Florida, because no other state had a Medicare fraud problem severe enough to justify a dedicated federal prosecution team. Nearly two decades later, in March 2026, CMS formally declared that Florida operates in an </w:t>
      </w:r>
      <w:r w:rsidR="00463E2E">
        <w:t>"</w:t>
      </w:r>
      <w:r w:rsidRPr="00686D9E">
        <w:t>environment of pervasive fraud.</w:t>
      </w:r>
      <w:r w:rsidR="00463E2E">
        <w:t>"</w:t>
      </w:r>
      <w:r w:rsidRPr="00686D9E">
        <w:t xml:space="preserve"> The declaration was not a revelation. It was the government finally saying out loud what everyone who worked in healthcare enforcement in the state had known for years.</w:t>
      </w:r>
    </w:p>
    <w:p w14:paraId="41D3F6B7" w14:textId="273D809C" w:rsidR="009F4A78" w:rsidRPr="00686D9E" w:rsidRDefault="009F4A78" w:rsidP="009F4A78">
      <w:r w:rsidRPr="00686D9E">
        <w:t xml:space="preserve">What Florida has built is not a fraud problem. It is a fraud economy. Philip Esformes orchestrated $1.3 billion in fraudulent Medicare and Medicaid claims through a network of nursing facilities, the largest healthcare fraud conviction in the history of the Department of Justice. Of the 324 defendants charged in the June 2025 national healthcare fraud takedown, the largest coordinated enforcement action in American history, 73 came from the Southern District of Florida alone, more than any other federal district in the country. Operation Gold Rush, a separate investigation, uncovered a transnational criminal organization that had used the stolen identities of more than </w:t>
      </w:r>
      <w:r w:rsidR="00120C40">
        <w:t xml:space="preserve">1,000,000 </w:t>
      </w:r>
      <w:r w:rsidRPr="00686D9E">
        <w:t>Americans to submit $10.6 billion in fraudulent claims through shell medical supply companies. These are not isolated cases prosecuted over decades. They are overlapping operations running simultaneously inside the same state, inside the same payment system, exploiting the same structural vulnerabilities.</w:t>
      </w:r>
    </w:p>
    <w:p w14:paraId="7BAC8F30" w14:textId="77777777" w:rsidR="009F4A78" w:rsidRPr="00686D9E" w:rsidRDefault="009F4A78" w:rsidP="009F4A78">
      <w:r w:rsidRPr="00686D9E">
        <w:t>The fraud has industrialized. Prosecutors describe what has developed in Florida as an assembly-line model. It works like this: aggressive telemarketing campaigns contact Medicare beneficiaries and generate fake telemedicine consultations. The consultations, which may last seconds or may not happen at all, produce signed physician orders. The physician orders authorize billing for durable medical equipment, lab tests, or treatments that are never provided. Each step in the chain exists solely to generate the documentation that authorizes the next billing event. The product is not healthcare. The product is paperwork that triggers payment. Investigators have found AI-generated voice recordings fabricating patient consent for services that were never discussed with patients who were never contacted. The assembly line has reached the point where even the pretense of human involvement in the fraud is being automated.</w:t>
      </w:r>
    </w:p>
    <w:p w14:paraId="25FE13EF" w14:textId="77777777" w:rsidR="009F4A78" w:rsidRPr="00686D9E" w:rsidRDefault="009F4A78" w:rsidP="009F4A78">
      <w:r w:rsidRPr="00686D9E">
        <w:t>The Medicare payment system was not designed to build this. Nobody sat in a room in the 1960s and decided that the best way to provide healthcare to elderly Americans was to create a payment structure that would eventually produce a parallel industry dedicated to stealing from it. But that is what happened. The system was optimized for two things: provider access and processing speed. Get as many providers into the system as possible so beneficiaries have choices. Process claims as quickly as possible so providers get paid and keep participating. Those were reasonable design priorities for a program trying to build a healthcare delivery network from scratch. They were also, in hindsight, the exact priorities that would create the most exploitable payment system imaginable. Maximize the number of entities that can bill. Minimize the friction between billing and payment. The unintended consequence was inevitable, and it was the creation of an entire economy organized around the gap between submitting a claim and anyone checking whether the claim was real.</w:t>
      </w:r>
    </w:p>
    <w:p w14:paraId="1F4F7618" w14:textId="77777777" w:rsidR="009F4A78" w:rsidRPr="00686D9E" w:rsidRDefault="009F4A78" w:rsidP="009F4A78">
      <w:r w:rsidRPr="00686D9E">
        <w:t>Florida did not become the nation's fraud capital because Floridians are more dishonest than people in other states. It became the fraud capital because its specific combination of conditions, a large elderly population concentrated in dense metropolitan areas, a high density of Medicare providers, a warm climate that attracts retirees and the industries that serve them, and enforcement resources that were never scaled to match the program's growth, created an environment that selected for exactly this outcome. The system produced its own predator class. Recruiters, billing companies, complicit physicians, telemarketing firms, shell corporations, identity brokers. That predator class professionalized. It developed specializations, supply chains, standard operating procedures. It became an industry with its own labor market, its own career paths, its own competitive dynamics. The fraud did not infect the healthcare system in Florida. It grew out of it, the way mold grows in conditions that are warm and damp and dark. The conditions were the cause. The mold was the consequence.</w:t>
      </w:r>
    </w:p>
    <w:p w14:paraId="46722806" w14:textId="77777777" w:rsidR="009F4A78" w:rsidRPr="00686D9E" w:rsidRDefault="009F4A78" w:rsidP="009F4A78">
      <w:r w:rsidRPr="00686D9E">
        <w:t>This is the law of unintended consequences operating at its fullest expression. A program designed to help elderly Americans access healthcare has produced, as a structural byproduct of its own design choices, an industry dedicated to stealing from it using their identities. The elderly population the program was built to protect is the population whose stolen identities fuel the fraud that drains the program of the resources meant to serve them. The people who pay the tax and the people the program was supposed to help are the same people. That is what unintended consequences look like when they compound for decades inside a system that nobody redesigns.</w:t>
      </w:r>
    </w:p>
    <w:p w14:paraId="24763597" w14:textId="77777777" w:rsidR="009F4A78" w:rsidRPr="00686D9E" w:rsidRDefault="009F4A78" w:rsidP="005B2C5C">
      <w:pPr>
        <w:pStyle w:val="Heading2"/>
      </w:pPr>
      <w:bookmarkStart w:id="125" w:name="_Toc227410748"/>
      <w:r w:rsidRPr="00686D9E">
        <w:t>The Receipt</w:t>
      </w:r>
      <w:bookmarkEnd w:id="125"/>
    </w:p>
    <w:p w14:paraId="65F2994D" w14:textId="77777777" w:rsidR="009F4A78" w:rsidRPr="00686D9E" w:rsidRDefault="009F4A78" w:rsidP="009F4A78">
      <w:r w:rsidRPr="00686D9E">
        <w:t>The structural analysis has done its work. Ten thinking errors. Ten cases. The reader now understands how these systems are designed in ways that make large-scale fraud not just possible but nearly inevitable. The payment structures invite it. The oversight architectures miss it. The career incentives punish anyone who finds it. The political dynamics protect it from correction. The frameworks that would explain it are rejected because the explanations feel hostile to the people the programs serve.</w:t>
      </w:r>
    </w:p>
    <w:p w14:paraId="26F008B3" w14:textId="77777777" w:rsidR="009F4A78" w:rsidRPr="00686D9E" w:rsidRDefault="009F4A78" w:rsidP="009F4A78">
      <w:r w:rsidRPr="00686D9E">
        <w:t>But the design does not pull the trigger. People do.</w:t>
      </w:r>
    </w:p>
    <w:p w14:paraId="618A79D1" w14:textId="0923127B" w:rsidR="009F4A78" w:rsidRPr="00686D9E" w:rsidRDefault="009F4A78" w:rsidP="009F4A78">
      <w:r w:rsidRPr="00686D9E">
        <w:t xml:space="preserve">There is a temptation, after </w:t>
      </w:r>
      <w:r w:rsidR="0015326C">
        <w:t>10</w:t>
      </w:r>
      <w:r w:rsidRPr="00686D9E">
        <w:t xml:space="preserve"> sections of structural analysis, to let the structure carry all the weight. To say the system is broken and leave it there. That would be incomplete, and it would be dishonest about something the structural account tends to obscure: the role of the people inside these systems, not the architects who designed them and not the fraudsters who exploited them, but the ones in between.</w:t>
      </w:r>
    </w:p>
    <w:p w14:paraId="18702902" w14:textId="77777777" w:rsidR="009F4A78" w:rsidRPr="00686D9E" w:rsidRDefault="009F4A78" w:rsidP="009F4A78">
      <w:r w:rsidRPr="00686D9E">
        <w:t>Weak-accountability systems do not merely fail to catch bad actors. They actively recruit them. The LA County hospice boom was not a story of legitimate providers gradually drifting into fraud. The fraud opportunity created the boom. The 1,500 percent surge in licensed hospices happened because the per diem payment model and the pay-and-chase enforcement posture were visible from outside the system. Word got around. People who were willing to exploit the structure moved in. That is a system broadcasting a signal to a specific kind of person, and that specific kind of person showing up in volume. The signal was not an accident. It was the inevitable output of a design that rewarded billing and did not verify care.</w:t>
      </w:r>
    </w:p>
    <w:p w14:paraId="21E202A7" w14:textId="77777777" w:rsidR="009F4A78" w:rsidRPr="00686D9E" w:rsidRDefault="009F4A78" w:rsidP="009F4A78">
      <w:r w:rsidRPr="000F0DED">
        <w:t>But beyond the people who entered these systems to exploit them, there is a larger and more uncomfortable group: the people who showed up for a job, a real job, and found themselves inside institutions that required some level of participation in dysfunction as a condition of keeping it</w:t>
      </w:r>
      <w:r w:rsidRPr="00686D9E">
        <w:t>. Teachers working at legitimate child care sites while Feeding Our Future fabricated meal counts around them. Nurses certifying hospice patients at agencies they increasingly suspected were not what they claimed to be. Caseworkers processing Medicaid claims they could see were questionable, inside systems that penalized them for questioning. DHS employees in Minnesota who raised alarms and were told, through reassignment and marginalization, that raising alarms was not their job. These people did not enter these systems as frauds. They entered as employees. What happened to them over the years that followed is not a character flaw. But it is not nothing, either.</w:t>
      </w:r>
    </w:p>
    <w:p w14:paraId="768C7ABC" w14:textId="6262315D" w:rsidR="009F4A78" w:rsidRPr="00686D9E" w:rsidRDefault="009F4A78" w:rsidP="009F4A78">
      <w:r w:rsidRPr="00686D9E">
        <w:t xml:space="preserve">The system selects for people who will not look too closely. It does this not through a single dramatic moment of compromise but through the slow accumulation of small accommodations. You process a claim you are not sure about because your supervisor does not want to hear about it. You certify a patient because the agency needs the enrollment numbers. You stop raising concerns because the last person who raised concerns was reassigned and the person before that left. Each accommodation is minor. The trajectory is not. The ones who refuse to go along eventually leave, or are pushed out. The ones who stay carry some of it with them. By the time the fraud makes the news, the line between </w:t>
      </w:r>
      <w:r w:rsidR="00463E2E">
        <w:t>"</w:t>
      </w:r>
      <w:r w:rsidRPr="00686D9E">
        <w:t>the bad actors</w:t>
      </w:r>
      <w:r w:rsidR="00463E2E">
        <w:t>"</w:t>
      </w:r>
      <w:r w:rsidRPr="00686D9E">
        <w:t xml:space="preserve"> and </w:t>
      </w:r>
      <w:r w:rsidR="00463E2E">
        <w:t>"</w:t>
      </w:r>
      <w:r w:rsidRPr="00686D9E">
        <w:t>everyone else</w:t>
      </w:r>
      <w:r w:rsidR="00463E2E">
        <w:t>"</w:t>
      </w:r>
      <w:r w:rsidRPr="00686D9E">
        <w:t xml:space="preserve"> has blurred in ways that are uncomfortable to sit with but dishonest to ignore. This is not absolution. It is a description of how the ignorance tax gets paid by people who never chose to pay it.</w:t>
      </w:r>
    </w:p>
    <w:p w14:paraId="064D75BD" w14:textId="77777777" w:rsidR="009F4A78" w:rsidRPr="00686D9E" w:rsidRDefault="009F4A78" w:rsidP="009F4A78">
      <w:r w:rsidRPr="00686D9E">
        <w:t>The enforcement is real. The numbers are large. What follows is a brief accounting of where things stand across the cases this study has examined.</w:t>
      </w:r>
    </w:p>
    <w:p w14:paraId="64AA7573" w14:textId="77777777" w:rsidR="009F4A78" w:rsidRPr="00686D9E" w:rsidRDefault="009F4A78" w:rsidP="009F4A78">
      <w:r w:rsidRPr="00686D9E">
        <w:t>Seventy-nine people have been indicted in the Feeding Our Future case. Sixty-three have been found guilty. Sentences have reached 17.5 years. Aimee Bock, the organization's founder, was convicted on all counts in March 2025, with sentencing scheduled for May 2026. During the trial, a juror received $120,000 in cash, delivered in a Hallmark gift bag, as a bribe. The system was so thoroughly corrupted that even the judicial process designed to hold it accountable was infected by the same forces. Beyond Feeding Our Future, Minnesota has more than 1,300 open fraud cases across 14 Medicaid programs. Acting U.S. Attorney Joseph Thompson estimated that half or more of the approximately $18 billion in federal Medicaid funds supporting those programs since 2018 may have been stolen. Half. Of $18 billion.</w:t>
      </w:r>
    </w:p>
    <w:p w14:paraId="7A68B9E8" w14:textId="77777777" w:rsidR="009F4A78" w:rsidRPr="00686D9E" w:rsidRDefault="009F4A78" w:rsidP="009F4A78">
      <w:r w:rsidRPr="00686D9E">
        <w:t>In LA County, Operation Skip Trace charged 21 suspects across 14 companies that had billed $267 million using beneficiary identities purchased from the dark web. Operation Never Say Die charged 15 defendants across $50 to $60 million in fraudulent hospice claims. The June 2025 national healthcare fraud takedown, the largest coordinated enforcement action in American history, charged 324 defendants across $14.6 billion in alleged losses. CMS has suspended 221 hospice providers in LA County and has stated its intention to shut down roughly half the county's hospices.</w:t>
      </w:r>
    </w:p>
    <w:p w14:paraId="1EB0E029" w14:textId="77777777" w:rsidR="009F4A78" w:rsidRPr="00686D9E" w:rsidRDefault="009F4A78" w:rsidP="009F4A78">
      <w:r w:rsidRPr="00686D9E">
        <w:t>In Florida, 73 of those 324 national takedown defendants came from the Southern District of Florida, more than any other district. Operation Gold Rush uncovered $10.6 billion in fraudulent claims submitted through shell companies using stolen identities of more than one million Americans.</w:t>
      </w:r>
    </w:p>
    <w:p w14:paraId="02944783" w14:textId="77777777" w:rsidR="009F4A78" w:rsidRPr="00686D9E" w:rsidRDefault="009F4A78" w:rsidP="009F4A78">
      <w:r w:rsidRPr="00686D9E">
        <w:t>The enforcement is real. The prosecutions are real. The sentences are real. And the structural conditions that produced every one of these cases remain substantially unchanged.</w:t>
      </w:r>
    </w:p>
    <w:p w14:paraId="0D880C10" w14:textId="3C11F1BE" w:rsidR="009F4A78" w:rsidRPr="00686D9E" w:rsidRDefault="009F4A78" w:rsidP="009F4A78">
      <w:r w:rsidRPr="00686D9E">
        <w:t xml:space="preserve">Every chapter in this book has shown the ignorance tax being paid in a specific domain. Personal finance. Workplace structure. Policy design. The information environment. In every case, the tax was real, but the metaphor was doing work. The </w:t>
      </w:r>
      <w:r w:rsidR="00463E2E">
        <w:t>"</w:t>
      </w:r>
      <w:r w:rsidRPr="00686D9E">
        <w:t>cost</w:t>
      </w:r>
      <w:r w:rsidR="00463E2E">
        <w:t>"</w:t>
      </w:r>
      <w:r w:rsidRPr="00686D9E">
        <w:t xml:space="preserve"> was hidden, or deferred, or displaced onto someone who would not trace it back to its source. The ignorance tax, across the preceding chapters, has the quality of something you know is there but cannot quite put your hands on.</w:t>
      </w:r>
    </w:p>
    <w:p w14:paraId="37438061" w14:textId="77777777" w:rsidR="009F4A78" w:rsidRPr="00686D9E" w:rsidRDefault="009F4A78" w:rsidP="009F4A78">
      <w:r w:rsidRPr="00686D9E">
        <w:t>This case study is where the metaphor drops away.</w:t>
      </w:r>
    </w:p>
    <w:p w14:paraId="33A0ED6B" w14:textId="77777777" w:rsidR="009F4A78" w:rsidRPr="00686D9E" w:rsidRDefault="009F4A78" w:rsidP="009F4A78">
      <w:r w:rsidRPr="00686D9E">
        <w:t>The ignorance tax described in these pages is not metaphorical. It is $233 to $521 billion a year in actual money, taken from actual taxpayers, lost to the exact thinking failures this book has been diagnosing from its first page. That range does not include the largest discretionary budget in the federal government, because the systems that would allow anyone to count it do not work. Free lunch thinking designed programs that treated verification as optional. The refusal to expect behavior built payment structures that rewarded fraud and penalized nothing. Good intentions substituted for operational systems. Consequences went untraced. Constraints were treated as hostility. Design problems were diagnosed as funding problems. Feelings substituted for evidence. Belief armored both parties against their own contribution. Conditions changed and nobody redesigned the systems. And the unintended consequences compounded for decades until entire industries existed for the sole purpose of extracting money from programs that were built to help people.</w:t>
      </w:r>
    </w:p>
    <w:p w14:paraId="3FC0F617" w14:textId="77777777" w:rsidR="009F4A78" w:rsidRPr="00686D9E" w:rsidRDefault="009F4A78" w:rsidP="009F4A78">
      <w:r w:rsidRPr="00686D9E">
        <w:t>This is what the ignorance tax looks like when every error in the framework is running at once, in one domain, with real money and real consequences, affecting hundreds of millions of people who never asked to be part of the experiment and were never told they were paying for it.</w:t>
      </w:r>
    </w:p>
    <w:p w14:paraId="68ADB07C" w14:textId="77777777" w:rsidR="009F4A78" w:rsidRPr="00686D9E" w:rsidRDefault="009F4A78" w:rsidP="009F4A78">
      <w:r w:rsidRPr="00686D9E">
        <w:t>The costs do not disappear because no one traced them. They are being paid right now, by the taxpayers who fund these programs, by the people the programs were supposed to serve, and by the people inside the systems who showed up for a job and found themselves inside something they did not build and could not fix.</w:t>
      </w:r>
    </w:p>
    <w:p w14:paraId="6A5886F8" w14:textId="77777777" w:rsidR="009F4A78" w:rsidRPr="00686D9E" w:rsidRDefault="009F4A78" w:rsidP="009F4A78">
      <w:r w:rsidRPr="00686D9E">
        <w:t>The ignorance tax is always being paid. Now you have seen the receipt.</w:t>
      </w:r>
    </w:p>
    <w:p w14:paraId="613ED6F2" w14:textId="77777777" w:rsidR="009F4A78" w:rsidRPr="000A0B03" w:rsidRDefault="009F4A78" w:rsidP="009F4A78">
      <w:pPr>
        <w:sectPr w:rsidR="009F4A78" w:rsidRPr="000A0B03" w:rsidSect="009F4A78">
          <w:footerReference w:type="default" r:id="rId51"/>
          <w:footerReference w:type="first" r:id="rId52"/>
          <w:endnotePr>
            <w:numFmt w:val="decimal"/>
          </w:endnotePr>
          <w:type w:val="oddPage"/>
          <w:pgSz w:w="12240" w:h="15840"/>
          <w:pgMar w:top="1440" w:right="1440" w:bottom="1440" w:left="1440" w:header="0" w:footer="720" w:gutter="0"/>
          <w:cols w:space="720"/>
          <w:formProt w:val="0"/>
          <w:docGrid w:linePitch="100"/>
        </w:sectPr>
      </w:pPr>
    </w:p>
    <w:p w14:paraId="6A9AEB1B" w14:textId="77777777" w:rsidR="005A241D" w:rsidRDefault="005A241D" w:rsidP="005A241D">
      <w:pPr>
        <w:pStyle w:val="Heading1"/>
      </w:pPr>
      <w:bookmarkStart w:id="126" w:name="_Toc227410749"/>
      <w:r>
        <w:t>CONCLUSION</w:t>
      </w:r>
      <w:bookmarkEnd w:id="126"/>
    </w:p>
    <w:p w14:paraId="2A33EAC9" w14:textId="4BF85F7D" w:rsidR="005A241D" w:rsidRDefault="005A241D" w:rsidP="005A241D">
      <w:r>
        <w:t>Nothing in this book has been easy. The patterns it diagnoses are persistent because they are deeply rooted: in psychology, in institutional incentives, in the structure of how humans process information and make decisions. Free lunch thinking is not a mistake that smart people avoid. It is a gravitational pull that affects everyone, including people who know better, including people who have read books warning them about it.</w:t>
      </w:r>
    </w:p>
    <w:p w14:paraId="24C2FB3C" w14:textId="77777777" w:rsidR="005A241D" w:rsidRDefault="005A241D" w:rsidP="005A241D">
      <w:r>
        <w:t>You will slip. This is not a failure of character or a sign that the framework didn't take. It is the normal condition of being human in a world optimized to hide costs and reward optimism. The social pressure to focus on benefits and downplay constraints is intense and constant. The people around you will not reward you for pointing out tradeoffs. They will find you tedious, negative, insufficiently committed to the mission. The incentives favor cheerful blindness. Seeing clearly requires swimming against a current that never stops.</w:t>
      </w:r>
    </w:p>
    <w:p w14:paraId="672CFAF2" w14:textId="77777777" w:rsidR="005A241D" w:rsidRDefault="005A241D" w:rsidP="005A241D">
      <w:r>
        <w:t>The habits this book has tried to build (asking what costs are hidden, tracing who bears them, demanding to know what gets displaced) are not natural. They must be practiced deliberately, repeatedly, in the face of resistance both internal and external. They are skills, not revelations. Understanding the framework intellectually is not the same as applying it automatically. The gap between knowing and doing is where most good intentions go to die.</w:t>
      </w:r>
    </w:p>
    <w:p w14:paraId="43A40110" w14:textId="77777777" w:rsidR="005A241D" w:rsidRDefault="005A241D" w:rsidP="005A241D">
      <w:r>
        <w:t>None of that is cause for despair. It is cause for realism. The goal is not to become a person who never falls for free lunch thinking, but to become one who notices faster, recovers sooner, and asks the questions that others skip. Improvement is possible. Perfection is not the standard.</w:t>
      </w:r>
    </w:p>
    <w:p w14:paraId="05C992EA" w14:textId="77777777" w:rsidR="005A241D" w:rsidRDefault="005A241D" w:rsidP="005A241D">
      <w:r>
        <w:t>The reader who has made it this far has something most people lack: a vocabulary for what is happening. The patterns diagnosed in this book are invisible to most people not because they are hidden but because they have no name. Naming them gives you traction. The framework does not give you certainty. It gives you a way to think when others are reacting.</w:t>
      </w:r>
    </w:p>
    <w:p w14:paraId="71709ACF" w14:textId="77777777" w:rsidR="00347405" w:rsidRPr="00347405" w:rsidRDefault="00347405" w:rsidP="00347405">
      <w:r w:rsidRPr="00347405">
        <w:t>Where are the costs? Who bears them? What happens when people respond to the incentives being created? What is being assumed about behavior, about resources, about time? What gets displaced? What breaks? The questions do not change from one situation to the next. Only the answers change.</w:t>
      </w:r>
    </w:p>
    <w:p w14:paraId="2115D528" w14:textId="77777777" w:rsidR="005A241D" w:rsidRDefault="005A241D" w:rsidP="005A241D">
      <w:r>
        <w:t>That vocabulary is worth something. In an environment where the costs of bad thinking are rising and good thinking is getting harder, having tools that others lack is not a small advantage. It is the difference between navigating and drifting. It does not guarantee good outcomes. Nothing does. But it shifts the odds.</w:t>
      </w:r>
    </w:p>
    <w:p w14:paraId="5D9F1135" w14:textId="7ECFE1F6" w:rsidR="005A241D" w:rsidRDefault="005A241D" w:rsidP="005A241D">
      <w:r>
        <w:t>The pressure never stops. Every day brings new proposals, new initiatives, new opportunities, new crises, each one framed in language designed to make costs invisible and benefits vivid. The habit of asking what is missing, what will happen when people respond to the incentives being created</w:t>
      </w:r>
      <w:r w:rsidR="00AD59E8">
        <w:t>—th</w:t>
      </w:r>
      <w:r>
        <w:t>at habit must be renewed constantly. It is not a destination. It is a practice.</w:t>
      </w:r>
    </w:p>
    <w:p w14:paraId="3514B5A0" w14:textId="77777777" w:rsidR="00060FF2" w:rsidRPr="00060FF2" w:rsidRDefault="00060FF2" w:rsidP="00060FF2">
      <w:r w:rsidRPr="00060FF2">
        <w:t>And the practice matters now more than it has ever mattered. The costs of reasoning poorly are compounding. The tools for generating confusion are proliferating faster than the tools for cutting through it. The people who can see clearly will not be the majority. They never have been. But they will be the ones capable of making decisions that do not collapse on contact with reality. They will be the ones who can build things that actually work, design systems that do not eat themselves, think through consequences before they arrive.</w:t>
      </w:r>
    </w:p>
    <w:p w14:paraId="768878B7" w14:textId="1056998B" w:rsidR="00060FF2" w:rsidRPr="00060FF2" w:rsidRDefault="00060FF2" w:rsidP="00060FF2">
      <w:r w:rsidRPr="00060FF2">
        <w:t xml:space="preserve">There is a frontier where this compounding is most visible and most dangerous: the conditions </w:t>
      </w:r>
      <w:r w:rsidRPr="00060FF2">
        <w:rPr>
          <w:i/>
          <w:iCs/>
        </w:rPr>
        <w:fldChar w:fldCharType="begin"/>
      </w:r>
      <w:r w:rsidRPr="00060FF2">
        <w:rPr>
          <w:i/>
          <w:iCs/>
        </w:rPr>
        <w:instrText xml:space="preserve"> REF _Ref226197201 \h  \* MERGEFORMAT </w:instrText>
      </w:r>
      <w:r w:rsidRPr="00060FF2">
        <w:rPr>
          <w:i/>
          <w:iCs/>
        </w:rPr>
      </w:r>
      <w:r w:rsidRPr="00060FF2">
        <w:rPr>
          <w:i/>
          <w:iCs/>
        </w:rPr>
        <w:fldChar w:fldCharType="separate"/>
      </w:r>
      <w:r w:rsidRPr="00060FF2">
        <w:rPr>
          <w:i/>
          <w:iCs/>
        </w:rPr>
        <w:t>PART IV: The Illusion's Deepest Cost</w:t>
      </w:r>
      <w:r w:rsidRPr="00060FF2">
        <w:rPr>
          <w:i/>
          <w:iCs/>
        </w:rPr>
        <w:fldChar w:fldCharType="end"/>
      </w:r>
      <w:r>
        <w:rPr>
          <w:i/>
          <w:iCs/>
        </w:rPr>
        <w:t xml:space="preserve"> </w:t>
      </w:r>
      <w:r w:rsidRPr="00060FF2">
        <w:t>described. The information environment is degrading from the outside. The tools that would help navigate that degradation have been culturally delegitimized. The cognitive capacity to evaluate quantitative claims has atrophied. And underneath all three, the assumption that changing one variable will leave everything else in place continues to operate unexamined.</w:t>
      </w:r>
    </w:p>
    <w:p w14:paraId="6C8BEA28" w14:textId="77777777" w:rsidR="00060FF2" w:rsidRPr="00060FF2" w:rsidRDefault="00060FF2" w:rsidP="00060FF2">
      <w:r w:rsidRPr="00060FF2">
        <w:t>There is another kind of compounding that runs alongside all of this. Multiple generations have now grown up inside these patterns, with few visible counterexamples. The share of the population that remembers a time when asking about consequences before acting was treated as serious rather than hostile is shrinking. When that memory is gone, the alternative has to be reconstructed rather than remembered. Reconstruction is always harder. The window for interrupting this before it has to be rebuilt from nothing is narrowing. That is not cause for despair. It is cause for getting started. The work is harder tomorrow than it is today, and harder the day after that. The sooner the people willing to do it begin, the less ground has to be retaken.</w:t>
      </w:r>
    </w:p>
    <w:p w14:paraId="4EA2ED1A" w14:textId="1F842AAD" w:rsidR="00060FF2" w:rsidRPr="00060FF2" w:rsidRDefault="00F256A1" w:rsidP="00F256A1">
      <w:r w:rsidRPr="00F256A1">
        <w:t>The ignorance tax is no longer paid only in failed programs and wasted budgets. It is also paid in the erosion of the ground we reason from, the shared ability to distinguish what happened from what someone wanted us to believe happened.</w:t>
      </w:r>
      <w:r>
        <w:t xml:space="preserve"> </w:t>
      </w:r>
      <w:r w:rsidR="00060FF2" w:rsidRPr="00060FF2">
        <w:t>Every skill this book has tried to build depends on that ground holding. The discipline described in this Conclusion is what stands between the reader and the convergence those chapters documented.</w:t>
      </w:r>
    </w:p>
    <w:p w14:paraId="5B6EDFED" w14:textId="77777777" w:rsidR="00060FF2" w:rsidRPr="00060FF2" w:rsidRDefault="00060FF2" w:rsidP="00060FF2">
      <w:r w:rsidRPr="00060FF2">
        <w:t>Seeing clearly is not a guarantee of success. It is a prerequisite for it. In a world increasingly saturated with confident-sounding nonsense, the capacity to distinguish real constraints from wished-away ones is not optional. It is the price of participation in serious work.</w:t>
      </w:r>
    </w:p>
    <w:p w14:paraId="47916D00" w14:textId="204C116D" w:rsidR="00060FF2" w:rsidRPr="00060FF2" w:rsidRDefault="00060FF2" w:rsidP="00060FF2">
      <w:r w:rsidRPr="00060FF2">
        <w:t>Readers who have developed this capacity have not solved anything. The problems described in this book (in education, healthcare, policy, personal decision-making, in how we talk to each other and what we accept as true) are not solved by understanding them. But they cannot be solved without understanding them</w:t>
      </w:r>
      <w:r w:rsidR="00F256A1">
        <w:t xml:space="preserve"> either</w:t>
      </w:r>
      <w:r w:rsidRPr="00060FF2">
        <w:t>. Seeing clearly is the beginning, not the end. It is necessary but not sufficient.</w:t>
      </w:r>
    </w:p>
    <w:p w14:paraId="310F740A" w14:textId="77777777" w:rsidR="00060FF2" w:rsidRPr="00060FF2" w:rsidRDefault="00060FF2" w:rsidP="00060FF2">
      <w:r w:rsidRPr="00060FF2">
        <w:t>That is the most honest thing this book can say. The framework helps. The discipline matters. The practice is hard. The stakes are rising. And the work continues.</w:t>
      </w:r>
    </w:p>
    <w:p w14:paraId="7BDF8327" w14:textId="298203DD" w:rsidR="005A241D" w:rsidRPr="005A241D" w:rsidRDefault="005A241D" w:rsidP="005A241D">
      <w:pPr>
        <w:sectPr w:rsidR="005A241D" w:rsidRPr="005A241D" w:rsidSect="005A241D">
          <w:footerReference w:type="default" r:id="rId53"/>
          <w:footerReference w:type="first" r:id="rId54"/>
          <w:endnotePr>
            <w:numFmt w:val="decimal"/>
          </w:endnotePr>
          <w:type w:val="oddPage"/>
          <w:pgSz w:w="12240" w:h="15840"/>
          <w:pgMar w:top="1440" w:right="1440" w:bottom="1440" w:left="1440" w:header="0" w:footer="720" w:gutter="0"/>
          <w:cols w:space="720"/>
          <w:formProt w:val="0"/>
          <w:docGrid w:linePitch="100"/>
        </w:sectPr>
      </w:pPr>
    </w:p>
    <w:p w14:paraId="3C5E7FC8" w14:textId="21B1FF06" w:rsidR="00E25CED" w:rsidRDefault="00E25CED">
      <w:pPr>
        <w:sectPr w:rsidR="00E25CED" w:rsidSect="005A241D">
          <w:endnotePr>
            <w:numFmt w:val="decimal"/>
          </w:endnotePr>
          <w:type w:val="oddPage"/>
          <w:pgSz w:w="12240" w:h="15840"/>
          <w:pgMar w:top="1440" w:right="1440" w:bottom="1440" w:left="1440" w:header="0" w:footer="720" w:gutter="0"/>
          <w:cols w:space="720"/>
          <w:formProt w:val="0"/>
          <w:docGrid w:linePitch="100"/>
        </w:sectPr>
      </w:pPr>
    </w:p>
    <w:p w14:paraId="41FFE235" w14:textId="7593BF98" w:rsidR="008D699F" w:rsidRDefault="008D699F" w:rsidP="008F0052">
      <w:pPr>
        <w:pStyle w:val="Heading1"/>
      </w:pPr>
      <w:bookmarkStart w:id="127" w:name="_Toc227410750"/>
      <w:r w:rsidRPr="008D699F">
        <w:t>On AI and This Book</w:t>
      </w:r>
      <w:bookmarkEnd w:id="127"/>
    </w:p>
    <w:p w14:paraId="1095E8B1" w14:textId="77777777" w:rsidR="008D699F" w:rsidRPr="00F44690" w:rsidRDefault="008D699F" w:rsidP="008D699F">
      <w:r w:rsidRPr="00F44690">
        <w:t>In writing this book, I used artificial intelligence tools as editorial collaborators. They helped me pressure-test arguments, identify weaknesses in my reasoning, iterate on structure, and check whether conclusions held up under scrutiny. The ideas are mine. The evidence is real. The endnotes cite actual sources that can be verified. I see no reason to be coy about the role those tools played in getting the manuscript from draft to finished form.</w:t>
      </w:r>
    </w:p>
    <w:p w14:paraId="620C952E" w14:textId="77777777" w:rsidR="008D699F" w:rsidRDefault="008D699F" w:rsidP="008D699F">
      <w:r>
        <w:t xml:space="preserve">Some readers will find this disclosure reason enough to dismiss the book. If you are one of them, I would ask you to notice what you are doing. You are evaluating the source rather than the argument. You are treating the method of production as evidence about the quality of the product without examining the product itself. The chapter </w:t>
      </w:r>
      <w:r w:rsidRPr="004164B2">
        <w:rPr>
          <w:i/>
          <w:iCs/>
        </w:rPr>
        <w:fldChar w:fldCharType="begin"/>
      </w:r>
      <w:r w:rsidRPr="004164B2">
        <w:rPr>
          <w:i/>
          <w:iCs/>
        </w:rPr>
        <w:instrText xml:space="preserve"> REF _Ref226197077 \h  \* MERGEFORMAT </w:instrText>
      </w:r>
      <w:r w:rsidRPr="004164B2">
        <w:rPr>
          <w:i/>
          <w:iCs/>
        </w:rPr>
      </w:r>
      <w:r w:rsidRPr="004164B2">
        <w:rPr>
          <w:i/>
          <w:iCs/>
        </w:rPr>
        <w:fldChar w:fldCharType="separate"/>
      </w:r>
      <w:r w:rsidRPr="001B6FB1">
        <w:rPr>
          <w:i/>
          <w:iCs/>
        </w:rPr>
        <w:t>Belief as Armor</w:t>
      </w:r>
      <w:r w:rsidRPr="004164B2">
        <w:rPr>
          <w:i/>
          <w:iCs/>
        </w:rPr>
        <w:fldChar w:fldCharType="end"/>
      </w:r>
      <w:r>
        <w:rPr>
          <w:i/>
          <w:iCs/>
        </w:rPr>
        <w:t xml:space="preserve"> </w:t>
      </w:r>
      <w:r>
        <w:t xml:space="preserve">in </w:t>
      </w:r>
      <w:r w:rsidRPr="004164B2">
        <w:rPr>
          <w:i/>
          <w:iCs/>
        </w:rPr>
        <w:fldChar w:fldCharType="begin"/>
      </w:r>
      <w:r w:rsidRPr="004164B2">
        <w:rPr>
          <w:i/>
          <w:iCs/>
        </w:rPr>
        <w:instrText xml:space="preserve"> REF _Ref226197108 \h  \* MERGEFORMAT </w:instrText>
      </w:r>
      <w:r w:rsidRPr="004164B2">
        <w:rPr>
          <w:i/>
          <w:iCs/>
        </w:rPr>
      </w:r>
      <w:r w:rsidRPr="004164B2">
        <w:rPr>
          <w:i/>
          <w:iCs/>
        </w:rPr>
        <w:fldChar w:fldCharType="separate"/>
      </w:r>
      <w:r w:rsidRPr="001B6FB1">
        <w:rPr>
          <w:i/>
          <w:iCs/>
        </w:rPr>
        <w:t>PART II: Why the Illusion Persists</w:t>
      </w:r>
      <w:r w:rsidRPr="004164B2">
        <w:rPr>
          <w:i/>
          <w:iCs/>
        </w:rPr>
        <w:fldChar w:fldCharType="end"/>
      </w:r>
      <w:r>
        <w:t xml:space="preserve"> describes that move in detail: the tendency to judge claims based on who is making them rather than what is being claimed. The chapter </w:t>
      </w:r>
      <w:r w:rsidRPr="004164B2">
        <w:rPr>
          <w:i/>
          <w:iCs/>
        </w:rPr>
        <w:fldChar w:fldCharType="begin"/>
      </w:r>
      <w:r w:rsidRPr="004164B2">
        <w:rPr>
          <w:i/>
          <w:iCs/>
        </w:rPr>
        <w:instrText xml:space="preserve"> REF _Ref226197191 \h  \* MERGEFORMAT </w:instrText>
      </w:r>
      <w:r w:rsidRPr="004164B2">
        <w:rPr>
          <w:i/>
          <w:iCs/>
        </w:rPr>
      </w:r>
      <w:r w:rsidRPr="004164B2">
        <w:rPr>
          <w:i/>
          <w:iCs/>
        </w:rPr>
        <w:fldChar w:fldCharType="separate"/>
      </w:r>
      <w:r w:rsidRPr="001B6FB1">
        <w:rPr>
          <w:i/>
          <w:iCs/>
        </w:rPr>
        <w:t>The Epistemic Commons</w:t>
      </w:r>
      <w:r w:rsidRPr="004164B2">
        <w:rPr>
          <w:i/>
          <w:iCs/>
        </w:rPr>
        <w:fldChar w:fldCharType="end"/>
      </w:r>
      <w:r>
        <w:t xml:space="preserve"> in </w:t>
      </w:r>
      <w:r w:rsidRPr="004164B2">
        <w:rPr>
          <w:i/>
          <w:iCs/>
        </w:rPr>
        <w:fldChar w:fldCharType="begin"/>
      </w:r>
      <w:r w:rsidRPr="004164B2">
        <w:rPr>
          <w:i/>
          <w:iCs/>
        </w:rPr>
        <w:instrText xml:space="preserve"> REF _Ref226197201 \h </w:instrText>
      </w:r>
      <w:r>
        <w:rPr>
          <w:i/>
          <w:iCs/>
        </w:rPr>
        <w:instrText xml:space="preserve"> \* MERGEFORMAT </w:instrText>
      </w:r>
      <w:r w:rsidRPr="004164B2">
        <w:rPr>
          <w:i/>
          <w:iCs/>
        </w:rPr>
      </w:r>
      <w:r w:rsidRPr="004164B2">
        <w:rPr>
          <w:i/>
          <w:iCs/>
        </w:rPr>
        <w:fldChar w:fldCharType="separate"/>
      </w:r>
      <w:r w:rsidRPr="001B6FB1">
        <w:rPr>
          <w:i/>
          <w:iCs/>
        </w:rPr>
        <w:t>PART IV: The Illusion's Deepest Cost</w:t>
      </w:r>
      <w:r w:rsidRPr="004164B2">
        <w:rPr>
          <w:i/>
          <w:iCs/>
        </w:rPr>
        <w:fldChar w:fldCharType="end"/>
      </w:r>
      <w:r w:rsidRPr="004164B2">
        <w:rPr>
          <w:i/>
          <w:iCs/>
        </w:rPr>
        <w:t xml:space="preserve"> </w:t>
      </w:r>
      <w:r>
        <w:t>examines what happens when AI-generated content floods the information environment without verification or accountability.</w:t>
      </w:r>
    </w:p>
    <w:p w14:paraId="17C3FF79" w14:textId="77777777" w:rsidR="008D699F" w:rsidRDefault="008D699F" w:rsidP="008D699F">
      <w:r>
        <w:t xml:space="preserve">Both of those concerns apply here. They should. But the tools this book recommends work on this problem too. The arguments can be checked. The evidence can be traced. The reasoning can be evaluated on its own terms. That is the difference between a book written with AI under human judgment and the unverified synthetic content that </w:t>
      </w:r>
      <w:r w:rsidRPr="00124127">
        <w:rPr>
          <w:i/>
          <w:iCs/>
        </w:rPr>
        <w:fldChar w:fldCharType="begin"/>
      </w:r>
      <w:r w:rsidRPr="00124127">
        <w:rPr>
          <w:i/>
          <w:iCs/>
        </w:rPr>
        <w:instrText xml:space="preserve"> REF _Ref226197191 \h </w:instrText>
      </w:r>
      <w:r>
        <w:rPr>
          <w:i/>
          <w:iCs/>
        </w:rPr>
        <w:instrText xml:space="preserve"> \* MERGEFORMAT </w:instrText>
      </w:r>
      <w:r w:rsidRPr="00124127">
        <w:rPr>
          <w:i/>
          <w:iCs/>
        </w:rPr>
      </w:r>
      <w:r w:rsidRPr="00124127">
        <w:rPr>
          <w:i/>
          <w:iCs/>
        </w:rPr>
        <w:fldChar w:fldCharType="separate"/>
      </w:r>
      <w:r w:rsidRPr="001B6FB1">
        <w:rPr>
          <w:i/>
          <w:iCs/>
        </w:rPr>
        <w:t>The Epistemic Commons</w:t>
      </w:r>
      <w:r w:rsidRPr="00124127">
        <w:rPr>
          <w:i/>
          <w:iCs/>
        </w:rPr>
        <w:fldChar w:fldCharType="end"/>
      </w:r>
      <w:r>
        <w:t xml:space="preserve"> chapter warns about. The concern is legitimate. The framework for resolving it is already in your hands.</w:t>
      </w:r>
    </w:p>
    <w:p w14:paraId="552C7ECD" w14:textId="77777777" w:rsidR="008D699F" w:rsidRDefault="008D699F" w:rsidP="008D699F">
      <w:r>
        <w:t>The substance of this book does not change based on who or what you believe produced it. The patterns it describes are either real or they are not. The evidence it presents either holds up or it does not. The reasoning either follows or it does not. If you conclude that the arguments are wrong, that is a serious response. If you conclude that the arguments do not matter because of how they were written, you are demonstrating exactly the reasoning failure this book exists to diagnose. And if it turns out that artificial intelligence helped produce a clear-eyed account of the thinking errors humans keep making, you might consider what that says about how visible those errors actually are.</w:t>
      </w:r>
    </w:p>
    <w:p w14:paraId="27B8DDEF" w14:textId="77777777" w:rsidR="008D699F" w:rsidRPr="008D699F" w:rsidRDefault="008D699F" w:rsidP="008D699F">
      <w:pPr>
        <w:sectPr w:rsidR="008D699F" w:rsidRPr="008D699F">
          <w:footerReference w:type="default" r:id="rId55"/>
          <w:footerReference w:type="first" r:id="rId56"/>
          <w:footnotePr>
            <w:numFmt w:val="chicago"/>
          </w:footnotePr>
          <w:endnotePr>
            <w:numFmt w:val="decimal"/>
          </w:endnotePr>
          <w:pgSz w:w="12240" w:h="15840"/>
          <w:pgMar w:top="1440" w:right="1440" w:bottom="1440" w:left="1440" w:header="0" w:footer="720" w:gutter="0"/>
          <w:cols w:space="720"/>
          <w:formProt w:val="0"/>
          <w:docGrid w:linePitch="100"/>
        </w:sectPr>
      </w:pPr>
    </w:p>
    <w:p w14:paraId="1058FA4B" w14:textId="4CF5C803" w:rsidR="00E25CED" w:rsidRDefault="0070646C" w:rsidP="008F0052">
      <w:pPr>
        <w:pStyle w:val="Heading1"/>
      </w:pPr>
      <w:bookmarkStart w:id="128" w:name="_Toc227410751"/>
      <w:r>
        <w:t>Recommended Reading</w:t>
      </w:r>
      <w:bookmarkEnd w:id="128"/>
    </w:p>
    <w:p w14:paraId="46B1BDD8" w14:textId="77777777" w:rsidR="00946D44" w:rsidRPr="00946D44" w:rsidRDefault="00946D44" w:rsidP="00946D44">
      <w:r w:rsidRPr="00946D44">
        <w:t>The concepts in this book are well-established, but some readers will disagree with how the framework is applied, with the relative weight given to particular mechanisms, or with the conclusions drawn in specific cases. Such disagreement does not imply misunderstanding, and it is neither unexpected nor unwelcome.</w:t>
      </w:r>
    </w:p>
    <w:p w14:paraId="0F478998" w14:textId="3138ED37" w:rsidR="00E25CED" w:rsidRDefault="00E25CED">
      <w:r>
        <w:t>The purpose of this book is not to foreclose debate. It is to follow decisions forward through their consequences within a defined analytic lens, and to ask what happens when the costs of actions are ignored, deferred, or treated as someone else</w:t>
      </w:r>
      <w:r w:rsidR="00463E2E">
        <w:t>'</w:t>
      </w:r>
      <w:r>
        <w:t>s problem.</w:t>
      </w:r>
    </w:p>
    <w:p w14:paraId="05B7EF25" w14:textId="77777777" w:rsidR="00EF6868" w:rsidRPr="00EF6868" w:rsidRDefault="00EF6868" w:rsidP="00EF6868">
      <w:r w:rsidRPr="00EF6868">
        <w:t>Disagreement about the implications of these constraints, about how large certain effects are, what other factors ought to be weighed, or what normative conclusions should follow, is part of serious intellectual engagement. This book takes a position. It does not claim that position is the only one a reasonable person could hold.</w:t>
      </w:r>
    </w:p>
    <w:p w14:paraId="4350ABFF" w14:textId="77777777" w:rsidR="00E25CED" w:rsidRDefault="00E25CED">
      <w:r>
        <w:t>The following books push back against the framework this one uses. Some reject the premise that markets allocate resources effectively. Others argue that power, history, and structural inequality matter more than incentive design. Several would dispute specific claims made in these chapters. They are worth reading precisely because they make the strongest versions of those disagreements.</w:t>
      </w:r>
    </w:p>
    <w:p w14:paraId="08E33998" w14:textId="77777777" w:rsidR="00E25CED" w:rsidRDefault="00E25CED">
      <w:r>
        <w:t>On critiques of market fundamentalism and the role of the state:</w:t>
      </w:r>
    </w:p>
    <w:p w14:paraId="10253B89" w14:textId="77777777" w:rsidR="00E25CED" w:rsidRDefault="00E25CED">
      <w:pPr>
        <w:widowControl w:val="0"/>
        <w:numPr>
          <w:ilvl w:val="0"/>
          <w:numId w:val="6"/>
        </w:numPr>
      </w:pPr>
      <w:r>
        <w:rPr>
          <w:color w:val="000000"/>
        </w:rPr>
        <w:t>Ha-Joon Chang, </w:t>
      </w:r>
      <w:r>
        <w:rPr>
          <w:i/>
          <w:iCs/>
          <w:color w:val="000000"/>
        </w:rPr>
        <w:t>23 Things They Don't Tell You About Capitalism</w:t>
      </w:r>
      <w:r>
        <w:rPr>
          <w:color w:val="000000"/>
        </w:rPr>
        <w:t> and </w:t>
      </w:r>
      <w:r>
        <w:rPr>
          <w:i/>
          <w:iCs/>
          <w:color w:val="000000"/>
        </w:rPr>
        <w:t>Economics: The User's Guide</w:t>
      </w:r>
    </w:p>
    <w:p w14:paraId="7F69BCE6" w14:textId="77777777" w:rsidR="00E25CED" w:rsidRDefault="00E25CED">
      <w:pPr>
        <w:widowControl w:val="0"/>
        <w:numPr>
          <w:ilvl w:val="0"/>
          <w:numId w:val="6"/>
        </w:numPr>
      </w:pPr>
      <w:r>
        <w:rPr>
          <w:color w:val="000000"/>
        </w:rPr>
        <w:t>Karl Polanyi, </w:t>
      </w:r>
      <w:r>
        <w:rPr>
          <w:i/>
          <w:iCs/>
          <w:color w:val="000000"/>
        </w:rPr>
        <w:t>The Great Transformation: The Political and Economic Origins of Our Time</w:t>
      </w:r>
    </w:p>
    <w:p w14:paraId="1680C45C" w14:textId="77777777" w:rsidR="00E25CED" w:rsidRDefault="00E25CED">
      <w:pPr>
        <w:widowControl w:val="0"/>
        <w:numPr>
          <w:ilvl w:val="0"/>
          <w:numId w:val="6"/>
        </w:numPr>
      </w:pPr>
      <w:r>
        <w:rPr>
          <w:color w:val="000000"/>
        </w:rPr>
        <w:t>Naomi Klein, </w:t>
      </w:r>
      <w:r>
        <w:rPr>
          <w:i/>
          <w:iCs/>
          <w:color w:val="000000"/>
        </w:rPr>
        <w:t>The Shock Doctrine: The Rise of Disaster Capitalism</w:t>
      </w:r>
    </w:p>
    <w:p w14:paraId="64F9BA30" w14:textId="77777777" w:rsidR="00E25CED" w:rsidRDefault="00E25CED">
      <w:r>
        <w:t>On inequality, power, and social justice in economic systems:</w:t>
      </w:r>
    </w:p>
    <w:p w14:paraId="5B68A930" w14:textId="77777777" w:rsidR="00E25CED" w:rsidRDefault="00E25CED">
      <w:pPr>
        <w:widowControl w:val="0"/>
        <w:numPr>
          <w:ilvl w:val="0"/>
          <w:numId w:val="6"/>
        </w:numPr>
      </w:pPr>
      <w:r>
        <w:rPr>
          <w:color w:val="000000"/>
        </w:rPr>
        <w:t>Thomas Piketty, </w:t>
      </w:r>
      <w:r>
        <w:rPr>
          <w:i/>
          <w:iCs/>
          <w:color w:val="000000"/>
        </w:rPr>
        <w:t>Capital in the Twenty-First Century</w:t>
      </w:r>
    </w:p>
    <w:p w14:paraId="592F89E7" w14:textId="77777777" w:rsidR="00E25CED" w:rsidRDefault="00E25CED">
      <w:pPr>
        <w:widowControl w:val="0"/>
        <w:numPr>
          <w:ilvl w:val="0"/>
          <w:numId w:val="6"/>
        </w:numPr>
      </w:pPr>
      <w:r>
        <w:rPr>
          <w:color w:val="000000"/>
        </w:rPr>
        <w:t>Nancy Fraser, </w:t>
      </w:r>
      <w:r>
        <w:rPr>
          <w:i/>
          <w:iCs/>
          <w:color w:val="000000"/>
        </w:rPr>
        <w:t>Fortunes of Feminism: From State-Managed Capitalism to Neoliberal Crisis</w:t>
      </w:r>
    </w:p>
    <w:p w14:paraId="0FCA393D" w14:textId="7708ECB7" w:rsidR="00EF6868" w:rsidRDefault="00E25CED">
      <w:pPr>
        <w:widowControl w:val="0"/>
        <w:numPr>
          <w:ilvl w:val="0"/>
          <w:numId w:val="6"/>
        </w:numPr>
      </w:pPr>
      <w:r>
        <w:rPr>
          <w:color w:val="000000"/>
        </w:rPr>
        <w:t>Daron Acemoglu and James A. Robinson, </w:t>
      </w:r>
      <w:r>
        <w:rPr>
          <w:i/>
          <w:iCs/>
          <w:color w:val="000000"/>
        </w:rPr>
        <w:t>Why Nations Fail: The Origins of Power, Prosperity, and Poverty</w:t>
      </w:r>
      <w:r w:rsidR="00EF6868">
        <w:rPr>
          <w:rStyle w:val="FootnoteReference"/>
          <w:i/>
          <w:iCs/>
          <w:color w:val="000000"/>
        </w:rPr>
        <w:footnoteReference w:id="2"/>
      </w:r>
    </w:p>
    <w:p w14:paraId="5C02963A" w14:textId="77777777" w:rsidR="009616FF" w:rsidRDefault="00F87934">
      <w:r>
        <w:t>On behavioral economics and challenges to rational choice theory:</w:t>
      </w:r>
    </w:p>
    <w:p w14:paraId="6A4A0A55" w14:textId="77777777" w:rsidR="009616FF" w:rsidRDefault="00F87934">
      <w:pPr>
        <w:widowControl w:val="0"/>
        <w:numPr>
          <w:ilvl w:val="0"/>
          <w:numId w:val="1"/>
        </w:numPr>
      </w:pPr>
      <w:r>
        <w:rPr>
          <w:color w:val="000000"/>
        </w:rPr>
        <w:t>Daniel Kahneman, </w:t>
      </w:r>
      <w:r>
        <w:rPr>
          <w:i/>
          <w:iCs/>
          <w:color w:val="000000"/>
        </w:rPr>
        <w:t>Thinking, Fast and Slow</w:t>
      </w:r>
    </w:p>
    <w:p w14:paraId="357B41DC" w14:textId="77777777" w:rsidR="009616FF" w:rsidRDefault="00F87934">
      <w:pPr>
        <w:widowControl w:val="0"/>
        <w:numPr>
          <w:ilvl w:val="0"/>
          <w:numId w:val="1"/>
        </w:numPr>
      </w:pPr>
      <w:r>
        <w:rPr>
          <w:color w:val="000000"/>
        </w:rPr>
        <w:t>Richard Thaler, </w:t>
      </w:r>
      <w:r>
        <w:rPr>
          <w:i/>
          <w:iCs/>
          <w:color w:val="000000"/>
        </w:rPr>
        <w:t>Nudge: Improving Decisions About Health, Wealth, and Happiness</w:t>
      </w:r>
    </w:p>
    <w:p w14:paraId="549A6CBD" w14:textId="77777777" w:rsidR="009616FF" w:rsidRDefault="00F87934">
      <w:pPr>
        <w:ind w:left="720" w:firstLine="0"/>
      </w:pPr>
      <w:r>
        <w:t>On environmental economics and limits to growth:</w:t>
      </w:r>
    </w:p>
    <w:p w14:paraId="434A6401" w14:textId="77777777" w:rsidR="009616FF" w:rsidRDefault="00F87934">
      <w:pPr>
        <w:widowControl w:val="0"/>
        <w:numPr>
          <w:ilvl w:val="0"/>
          <w:numId w:val="1"/>
        </w:numPr>
      </w:pPr>
      <w:r>
        <w:rPr>
          <w:color w:val="000000"/>
        </w:rPr>
        <w:t>Herman Daly, </w:t>
      </w:r>
      <w:r>
        <w:rPr>
          <w:i/>
          <w:iCs/>
          <w:color w:val="000000"/>
        </w:rPr>
        <w:t>Beyond Growth: The Economics of Sustainable Development</w:t>
      </w:r>
    </w:p>
    <w:p w14:paraId="17EB4FEF" w14:textId="77777777" w:rsidR="009616FF" w:rsidRDefault="00F87934">
      <w:pPr>
        <w:widowControl w:val="0"/>
        <w:numPr>
          <w:ilvl w:val="0"/>
          <w:numId w:val="1"/>
        </w:numPr>
      </w:pPr>
      <w:r>
        <w:rPr>
          <w:color w:val="000000"/>
        </w:rPr>
        <w:t>Kate Raworth, </w:t>
      </w:r>
      <w:r>
        <w:rPr>
          <w:i/>
          <w:iCs/>
          <w:color w:val="000000"/>
        </w:rPr>
        <w:t>Doughnut Economics: Seven Ways to Think Like a 21st-Century Economist</w:t>
      </w:r>
    </w:p>
    <w:p w14:paraId="5E80E817" w14:textId="77777777" w:rsidR="00EF6868" w:rsidRPr="00EF6868" w:rsidRDefault="00EF6868" w:rsidP="00EF6868">
      <w:r w:rsidRPr="00EF6868">
        <w:t>The ideas in this book did not originate here. The following works shaped the analytical framework these chapters rely on: the emphasis on tradeoffs, incentives, institutional design, and the gap between intention and outcome. Readers who want to go deeper into that tradition will find no shortage of material.</w:t>
      </w:r>
    </w:p>
    <w:p w14:paraId="23E279F0" w14:textId="77777777" w:rsidR="009616FF" w:rsidRDefault="00F87934">
      <w:r>
        <w:t>On core economic reasoning and tradeoffs:</w:t>
      </w:r>
    </w:p>
    <w:p w14:paraId="426CA50F" w14:textId="77777777" w:rsidR="009616FF" w:rsidRDefault="00F87934">
      <w:pPr>
        <w:widowControl w:val="0"/>
        <w:numPr>
          <w:ilvl w:val="0"/>
          <w:numId w:val="2"/>
        </w:numPr>
      </w:pPr>
      <w:r>
        <w:rPr>
          <w:color w:val="000000"/>
        </w:rPr>
        <w:t xml:space="preserve">Thomas Sowell, </w:t>
      </w:r>
      <w:r>
        <w:rPr>
          <w:i/>
          <w:iCs/>
          <w:color w:val="000000"/>
        </w:rPr>
        <w:t>Basic Economics</w:t>
      </w:r>
      <w:r>
        <w:rPr>
          <w:color w:val="000000"/>
        </w:rPr>
        <w:t xml:space="preserve"> and </w:t>
      </w:r>
      <w:r>
        <w:rPr>
          <w:i/>
          <w:iCs/>
          <w:color w:val="000000"/>
        </w:rPr>
        <w:t>Applied Economics</w:t>
      </w:r>
    </w:p>
    <w:p w14:paraId="16FBE2EA" w14:textId="795279FD" w:rsidR="00F11B46" w:rsidRDefault="00F11B46" w:rsidP="00F11B46">
      <w:pPr>
        <w:widowControl w:val="0"/>
        <w:numPr>
          <w:ilvl w:val="0"/>
          <w:numId w:val="2"/>
        </w:numPr>
      </w:pPr>
      <w:r>
        <w:t>F.A.</w:t>
      </w:r>
      <w:r w:rsidRPr="004D3FA1">
        <w:t xml:space="preserve"> Hayek</w:t>
      </w:r>
      <w:r>
        <w:t xml:space="preserve">, </w:t>
      </w:r>
      <w:r w:rsidRPr="004D3FA1">
        <w:rPr>
          <w:i/>
          <w:iCs/>
        </w:rPr>
        <w:t>The Road to Serfdom</w:t>
      </w:r>
      <w:r w:rsidRPr="004D3FA1">
        <w:t xml:space="preserve"> </w:t>
      </w:r>
    </w:p>
    <w:p w14:paraId="5D05051E" w14:textId="77777777" w:rsidR="009616FF" w:rsidRDefault="00F87934">
      <w:pPr>
        <w:widowControl w:val="0"/>
        <w:numPr>
          <w:ilvl w:val="0"/>
          <w:numId w:val="2"/>
        </w:numPr>
        <w:rPr>
          <w:i/>
          <w:iCs/>
          <w:color w:val="000000"/>
        </w:rPr>
      </w:pPr>
      <w:r>
        <w:rPr>
          <w:color w:val="000000"/>
        </w:rPr>
        <w:t xml:space="preserve">Henry Hazlitt, </w:t>
      </w:r>
      <w:r>
        <w:rPr>
          <w:i/>
          <w:iCs/>
          <w:color w:val="000000"/>
        </w:rPr>
        <w:t>Economics in One Lesson</w:t>
      </w:r>
    </w:p>
    <w:p w14:paraId="24A2337B" w14:textId="77777777" w:rsidR="009616FF" w:rsidRDefault="00F87934">
      <w:pPr>
        <w:widowControl w:val="0"/>
        <w:numPr>
          <w:ilvl w:val="0"/>
          <w:numId w:val="2"/>
        </w:numPr>
      </w:pPr>
      <w:r>
        <w:rPr>
          <w:color w:val="000000"/>
        </w:rPr>
        <w:t xml:space="preserve">Frédéric Bastiat, </w:t>
      </w:r>
      <w:r>
        <w:rPr>
          <w:i/>
          <w:iCs/>
          <w:color w:val="000000"/>
        </w:rPr>
        <w:t>That Which Is Seen and That Which Is Not Seen</w:t>
      </w:r>
    </w:p>
    <w:p w14:paraId="7D9DB884" w14:textId="77777777" w:rsidR="009616FF" w:rsidRDefault="00F87934">
      <w:r>
        <w:t>On incentives, institutional design, and public choice theory:</w:t>
      </w:r>
    </w:p>
    <w:p w14:paraId="26BCA10E" w14:textId="77777777" w:rsidR="009616FF" w:rsidRDefault="00F87934">
      <w:pPr>
        <w:widowControl w:val="0"/>
        <w:numPr>
          <w:ilvl w:val="0"/>
          <w:numId w:val="3"/>
        </w:numPr>
      </w:pPr>
      <w:r>
        <w:rPr>
          <w:color w:val="000000"/>
        </w:rPr>
        <w:t xml:space="preserve">James Buchanan and Gordon Tullock, </w:t>
      </w:r>
      <w:r>
        <w:rPr>
          <w:i/>
          <w:iCs/>
          <w:color w:val="000000"/>
        </w:rPr>
        <w:t>The Calculus of Consent</w:t>
      </w:r>
    </w:p>
    <w:p w14:paraId="2D7B6EBA" w14:textId="77777777" w:rsidR="009616FF" w:rsidRPr="004D3FA1" w:rsidRDefault="00F87934">
      <w:pPr>
        <w:widowControl w:val="0"/>
        <w:numPr>
          <w:ilvl w:val="0"/>
          <w:numId w:val="3"/>
        </w:numPr>
      </w:pPr>
      <w:r>
        <w:rPr>
          <w:color w:val="000000"/>
        </w:rPr>
        <w:t xml:space="preserve">Elinor Ostrom, </w:t>
      </w:r>
      <w:r>
        <w:rPr>
          <w:i/>
          <w:iCs/>
          <w:color w:val="000000"/>
        </w:rPr>
        <w:t>Governing the Commons</w:t>
      </w:r>
    </w:p>
    <w:p w14:paraId="7353AAD6" w14:textId="5F9D905B" w:rsidR="009616FF" w:rsidRDefault="00F87934" w:rsidP="004D3FA1">
      <w:pPr>
        <w:widowControl w:val="0"/>
        <w:numPr>
          <w:ilvl w:val="0"/>
          <w:numId w:val="3"/>
        </w:numPr>
      </w:pPr>
      <w:r w:rsidRPr="004D3FA1">
        <w:rPr>
          <w:color w:val="000000"/>
        </w:rPr>
        <w:t xml:space="preserve">William Niskanen, </w:t>
      </w:r>
      <w:r w:rsidRPr="004D3FA1">
        <w:rPr>
          <w:i/>
          <w:iCs/>
          <w:color w:val="000000"/>
        </w:rPr>
        <w:t>Bureaucracy and Representative Government</w:t>
      </w:r>
    </w:p>
    <w:p w14:paraId="6BCDC8B4" w14:textId="77777777" w:rsidR="009616FF" w:rsidRPr="004D3FA1" w:rsidRDefault="00F87934">
      <w:pPr>
        <w:widowControl w:val="0"/>
        <w:numPr>
          <w:ilvl w:val="0"/>
          <w:numId w:val="3"/>
        </w:numPr>
      </w:pPr>
      <w:proofErr w:type="spellStart"/>
      <w:r>
        <w:rPr>
          <w:color w:val="000000"/>
        </w:rPr>
        <w:t>Mancur</w:t>
      </w:r>
      <w:proofErr w:type="spellEnd"/>
      <w:r>
        <w:rPr>
          <w:color w:val="000000"/>
        </w:rPr>
        <w:t xml:space="preserve"> Olson, </w:t>
      </w:r>
      <w:r>
        <w:rPr>
          <w:i/>
          <w:iCs/>
          <w:color w:val="000000"/>
        </w:rPr>
        <w:t>The Logic of Collective Action</w:t>
      </w:r>
    </w:p>
    <w:p w14:paraId="4F29993B" w14:textId="15D48357" w:rsidR="004D3FA1" w:rsidRDefault="004D3FA1">
      <w:pPr>
        <w:widowControl w:val="0"/>
        <w:numPr>
          <w:ilvl w:val="0"/>
          <w:numId w:val="3"/>
        </w:numPr>
      </w:pPr>
      <w:r w:rsidRPr="004D3FA1">
        <w:t>Bryan Caplan</w:t>
      </w:r>
      <w:r>
        <w:t xml:space="preserve">, </w:t>
      </w:r>
      <w:r w:rsidRPr="004D3FA1">
        <w:rPr>
          <w:i/>
          <w:iCs/>
        </w:rPr>
        <w:t>The Myth of the Rational Voter: Why Democracies Choose Bad Policies</w:t>
      </w:r>
    </w:p>
    <w:p w14:paraId="5099900F" w14:textId="77777777" w:rsidR="009616FF" w:rsidRDefault="00F87934">
      <w:r>
        <w:t>On unintended consequences and policy analysis:</w:t>
      </w:r>
    </w:p>
    <w:p w14:paraId="2E38743B" w14:textId="77777777" w:rsidR="009616FF" w:rsidRDefault="00F87934">
      <w:pPr>
        <w:widowControl w:val="0"/>
        <w:numPr>
          <w:ilvl w:val="0"/>
          <w:numId w:val="5"/>
        </w:numPr>
      </w:pPr>
      <w:r>
        <w:rPr>
          <w:color w:val="000000"/>
        </w:rPr>
        <w:t xml:space="preserve">Charles Murray, </w:t>
      </w:r>
      <w:r>
        <w:rPr>
          <w:i/>
          <w:iCs/>
          <w:color w:val="000000"/>
        </w:rPr>
        <w:t>Losing Ground</w:t>
      </w:r>
    </w:p>
    <w:p w14:paraId="46CFBAAC" w14:textId="77777777" w:rsidR="009616FF" w:rsidRDefault="00F87934">
      <w:pPr>
        <w:widowControl w:val="0"/>
        <w:numPr>
          <w:ilvl w:val="0"/>
          <w:numId w:val="5"/>
        </w:numPr>
      </w:pPr>
      <w:r>
        <w:rPr>
          <w:color w:val="000000"/>
        </w:rPr>
        <w:t xml:space="preserve">Edward Banfield, </w:t>
      </w:r>
      <w:r>
        <w:rPr>
          <w:i/>
          <w:iCs/>
          <w:color w:val="000000"/>
        </w:rPr>
        <w:t>The Unheavenly City Revisited</w:t>
      </w:r>
    </w:p>
    <w:p w14:paraId="2A393E04" w14:textId="77777777" w:rsidR="009616FF" w:rsidRDefault="00F87934">
      <w:pPr>
        <w:widowControl w:val="0"/>
        <w:numPr>
          <w:ilvl w:val="0"/>
          <w:numId w:val="5"/>
        </w:numPr>
      </w:pPr>
      <w:r>
        <w:rPr>
          <w:color w:val="000000"/>
        </w:rPr>
        <w:t xml:space="preserve">Peter Schuck, </w:t>
      </w:r>
      <w:r>
        <w:rPr>
          <w:i/>
          <w:iCs/>
          <w:color w:val="000000"/>
        </w:rPr>
        <w:t>Why Government Fails So Often</w:t>
      </w:r>
    </w:p>
    <w:p w14:paraId="710CD7A6" w14:textId="77777777" w:rsidR="009616FF" w:rsidRDefault="00F87934">
      <w:r>
        <w:t>On critiques and alternative policy perspectives:</w:t>
      </w:r>
    </w:p>
    <w:p w14:paraId="14B9DDFD" w14:textId="77777777" w:rsidR="009616FF" w:rsidRDefault="00F87934">
      <w:pPr>
        <w:widowControl w:val="0"/>
        <w:numPr>
          <w:ilvl w:val="0"/>
          <w:numId w:val="4"/>
        </w:numPr>
      </w:pPr>
      <w:r>
        <w:rPr>
          <w:color w:val="000000"/>
        </w:rPr>
        <w:t xml:space="preserve">Amartya Sen, </w:t>
      </w:r>
      <w:r>
        <w:rPr>
          <w:i/>
          <w:iCs/>
          <w:color w:val="000000"/>
        </w:rPr>
        <w:t>Development as Freedom</w:t>
      </w:r>
    </w:p>
    <w:p w14:paraId="3985EEEE" w14:textId="77777777" w:rsidR="009616FF" w:rsidRDefault="00F87934">
      <w:pPr>
        <w:widowControl w:val="0"/>
        <w:numPr>
          <w:ilvl w:val="0"/>
          <w:numId w:val="4"/>
        </w:numPr>
      </w:pPr>
      <w:r>
        <w:rPr>
          <w:color w:val="000000"/>
        </w:rPr>
        <w:t xml:space="preserve">Joseph Stiglitz, </w:t>
      </w:r>
      <w:r>
        <w:rPr>
          <w:i/>
          <w:iCs/>
          <w:color w:val="000000"/>
        </w:rPr>
        <w:t>The Price of Inequality</w:t>
      </w:r>
    </w:p>
    <w:p w14:paraId="622BE6E4" w14:textId="77777777" w:rsidR="009616FF" w:rsidRDefault="00F87934">
      <w:pPr>
        <w:widowControl w:val="0"/>
        <w:numPr>
          <w:ilvl w:val="0"/>
          <w:numId w:val="4"/>
        </w:numPr>
      </w:pPr>
      <w:r>
        <w:rPr>
          <w:color w:val="000000"/>
        </w:rPr>
        <w:t xml:space="preserve">Dani Rodrik, </w:t>
      </w:r>
      <w:r>
        <w:rPr>
          <w:i/>
          <w:iCs/>
          <w:color w:val="000000"/>
        </w:rPr>
        <w:t>Economics Rules: The Rights and Wrongs of the Dismal Science</w:t>
      </w:r>
    </w:p>
    <w:p w14:paraId="4945AF24" w14:textId="77777777" w:rsidR="009616FF" w:rsidRDefault="00F87934">
      <w:pPr>
        <w:widowControl w:val="0"/>
        <w:numPr>
          <w:ilvl w:val="0"/>
          <w:numId w:val="4"/>
        </w:numPr>
      </w:pPr>
      <w:r>
        <w:rPr>
          <w:color w:val="000000"/>
        </w:rPr>
        <w:t xml:space="preserve">Mariana Mazzucato, </w:t>
      </w:r>
      <w:r>
        <w:rPr>
          <w:i/>
          <w:iCs/>
          <w:color w:val="000000"/>
        </w:rPr>
        <w:t>The Entrepreneurial State</w:t>
      </w:r>
    </w:p>
    <w:p w14:paraId="115CCAA7" w14:textId="77777777" w:rsidR="009616FF" w:rsidRDefault="00F87934">
      <w:pPr>
        <w:sectPr w:rsidR="009616FF" w:rsidSect="008D699F">
          <w:footnotePr>
            <w:numFmt w:val="chicago"/>
          </w:footnotePr>
          <w:endnotePr>
            <w:numFmt w:val="decimal"/>
          </w:endnotePr>
          <w:type w:val="oddPage"/>
          <w:pgSz w:w="12240" w:h="15840"/>
          <w:pgMar w:top="1440" w:right="1440" w:bottom="1440" w:left="1440" w:header="0" w:footer="720" w:gutter="0"/>
          <w:cols w:space="720"/>
          <w:formProt w:val="0"/>
          <w:docGrid w:linePitch="100"/>
        </w:sectPr>
      </w:pPr>
      <w:r>
        <w:t>These books do not all agree with each other, and none of them would endorse every argument this one makes. But they represent the intellectual foundation the book is built on, and engaging with them seriously is the best way to test whether the framework holds up under pressure.</w:t>
      </w:r>
    </w:p>
    <w:p w14:paraId="2FD72297" w14:textId="77777777" w:rsidR="009616FF" w:rsidRDefault="00F87934" w:rsidP="008F0052">
      <w:pPr>
        <w:pStyle w:val="Heading1"/>
      </w:pPr>
      <w:bookmarkStart w:id="129" w:name="_Toc227410752"/>
      <w:r>
        <w:t>Endnotes</w:t>
      </w:r>
      <w:bookmarkEnd w:id="129"/>
    </w:p>
    <w:sectPr w:rsidR="009616FF" w:rsidSect="003F763B">
      <w:footerReference w:type="default" r:id="rId57"/>
      <w:footerReference w:type="first" r:id="rId58"/>
      <w:endnotePr>
        <w:numFmt w:val="decimal"/>
      </w:endnotePr>
      <w:type w:val="oddPage"/>
      <w:pgSz w:w="12240" w:h="15840"/>
      <w:pgMar w:top="1440" w:right="1440" w:bottom="1440" w:left="1440" w:header="0" w:footer="72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C3071" w14:textId="77777777" w:rsidR="008E4842" w:rsidRDefault="008E4842">
      <w:pPr>
        <w:spacing w:line="240" w:lineRule="auto"/>
      </w:pPr>
      <w:r>
        <w:separator/>
      </w:r>
    </w:p>
  </w:endnote>
  <w:endnote w:type="continuationSeparator" w:id="0">
    <w:p w14:paraId="47C44004" w14:textId="77777777" w:rsidR="008E4842" w:rsidRDefault="008E4842">
      <w:pPr>
        <w:spacing w:line="240" w:lineRule="auto"/>
      </w:pPr>
      <w:r>
        <w:continuationSeparator/>
      </w:r>
    </w:p>
  </w:endnote>
  <w:endnote w:id="1">
    <w:p w14:paraId="36D634CA" w14:textId="77777777" w:rsidR="00C229E9" w:rsidRDefault="00E25CED" w:rsidP="00C229E9">
      <w:pPr>
        <w:spacing w:line="240" w:lineRule="auto"/>
        <w:ind w:firstLine="0"/>
        <w:rPr>
          <w:sz w:val="20"/>
          <w:szCs w:val="20"/>
        </w:rPr>
      </w:pPr>
      <w:r w:rsidRPr="00CB3BE7">
        <w:rPr>
          <w:rStyle w:val="EndnotesChar"/>
        </w:rPr>
        <w:endnoteRef/>
      </w:r>
      <w:r w:rsidRPr="00CB3BE7">
        <w:rPr>
          <w:rStyle w:val="EndnotesChar"/>
        </w:rPr>
        <w:t xml:space="preserve"> </w:t>
      </w:r>
      <w:r w:rsidR="00C229E9" w:rsidRPr="00C229E9">
        <w:rPr>
          <w:sz w:val="20"/>
          <w:szCs w:val="20"/>
        </w:rPr>
        <w:t>The phrase has circulated through business and personal finance media for over a decade, with usage traceable to at least 2014. Alex Hormozi popularized it widely; Sahil Bloom's 2025 newsletter defined it as the hidden cost of what you haven't learned.</w:t>
      </w:r>
    </w:p>
    <w:p w14:paraId="178D510E" w14:textId="77777777" w:rsidR="00C229E9" w:rsidRPr="00C229E9" w:rsidRDefault="00C229E9" w:rsidP="00C229E9">
      <w:pPr>
        <w:spacing w:line="240" w:lineRule="auto"/>
        <w:ind w:firstLine="0"/>
        <w:rPr>
          <w:sz w:val="20"/>
          <w:szCs w:val="20"/>
        </w:rPr>
      </w:pPr>
    </w:p>
    <w:p w14:paraId="52B4088A" w14:textId="77777777" w:rsidR="00C229E9" w:rsidRPr="00C229E9" w:rsidRDefault="00C229E9" w:rsidP="00C229E9">
      <w:pPr>
        <w:spacing w:line="240" w:lineRule="auto"/>
        <w:ind w:firstLine="0"/>
        <w:rPr>
          <w:sz w:val="20"/>
          <w:szCs w:val="20"/>
        </w:rPr>
      </w:pPr>
      <w:r w:rsidRPr="00C229E9">
        <w:rPr>
          <w:sz w:val="20"/>
          <w:szCs w:val="20"/>
        </w:rPr>
        <w:t xml:space="preserve">Bloom, Sahil. "The Hidden Tax Holding You Back." The Curiosity Chronicle, April 28, 2025. </w:t>
      </w:r>
      <w:hyperlink r:id="rId1" w:history="1">
        <w:r w:rsidRPr="00C229E9">
          <w:rPr>
            <w:rStyle w:val="Hyperlink"/>
            <w:sz w:val="20"/>
            <w:szCs w:val="20"/>
          </w:rPr>
          <w:t>https://www.sahilbloom.com/newsletter/the-hidden-tax-holding-you-back</w:t>
        </w:r>
      </w:hyperlink>
    </w:p>
    <w:p w14:paraId="64CE0C7F" w14:textId="77777777" w:rsidR="00C229E9" w:rsidRDefault="00C229E9" w:rsidP="00C229E9">
      <w:pPr>
        <w:spacing w:line="240" w:lineRule="auto"/>
        <w:ind w:firstLine="0"/>
        <w:rPr>
          <w:sz w:val="20"/>
          <w:szCs w:val="20"/>
        </w:rPr>
      </w:pPr>
    </w:p>
    <w:p w14:paraId="5FB88A32" w14:textId="236B41F5" w:rsidR="00C229E9" w:rsidRPr="00C229E9" w:rsidRDefault="00C229E9" w:rsidP="00C229E9">
      <w:pPr>
        <w:spacing w:line="240" w:lineRule="auto"/>
        <w:ind w:firstLine="0"/>
        <w:rPr>
          <w:sz w:val="20"/>
          <w:szCs w:val="20"/>
        </w:rPr>
      </w:pPr>
      <w:r w:rsidRPr="00C229E9">
        <w:rPr>
          <w:sz w:val="20"/>
          <w:szCs w:val="20"/>
        </w:rPr>
        <w:t xml:space="preserve">Hormozi, Alex (@AlexHormozi). "The most expensive tax we pay is ignorance tax…" X (Twitter), October 2021. </w:t>
      </w:r>
      <w:hyperlink r:id="rId2" w:history="1">
        <w:r w:rsidRPr="00C229E9">
          <w:rPr>
            <w:rStyle w:val="Hyperlink"/>
            <w:sz w:val="20"/>
            <w:szCs w:val="20"/>
          </w:rPr>
          <w:t>https://x.com/AlexHormozi/status/1455550272713879572</w:t>
        </w:r>
      </w:hyperlink>
    </w:p>
    <w:p w14:paraId="6F50F21F" w14:textId="77777777" w:rsidR="00C229E9" w:rsidRDefault="00C229E9" w:rsidP="00C229E9">
      <w:pPr>
        <w:spacing w:line="240" w:lineRule="auto"/>
        <w:ind w:firstLine="0"/>
        <w:rPr>
          <w:sz w:val="20"/>
          <w:szCs w:val="20"/>
        </w:rPr>
      </w:pPr>
    </w:p>
    <w:p w14:paraId="459A87DD" w14:textId="4FC262B1" w:rsidR="00C229E9" w:rsidRPr="00C229E9" w:rsidRDefault="00C229E9" w:rsidP="00C229E9">
      <w:pPr>
        <w:spacing w:line="240" w:lineRule="auto"/>
        <w:ind w:firstLine="0"/>
        <w:rPr>
          <w:sz w:val="20"/>
          <w:szCs w:val="20"/>
        </w:rPr>
      </w:pPr>
      <w:r w:rsidRPr="00C229E9">
        <w:rPr>
          <w:sz w:val="20"/>
          <w:szCs w:val="20"/>
        </w:rPr>
        <w:t xml:space="preserve">Morgan, Madeleine. "Are You Paying 'Ignorance Tax'? 60 Seconds to Success Tips #72." LinkedIn, June 2014. </w:t>
      </w:r>
      <w:hyperlink r:id="rId3" w:history="1">
        <w:r w:rsidRPr="00C229E9">
          <w:rPr>
            <w:rStyle w:val="Hyperlink"/>
            <w:sz w:val="20"/>
            <w:szCs w:val="20"/>
          </w:rPr>
          <w:t>https://www.linkedin.com/pulse/20140625153150-45579967-are-you-paying-ignorance-tax-60-seconds-to-success-tips-72</w:t>
        </w:r>
      </w:hyperlink>
    </w:p>
    <w:p w14:paraId="0940C915" w14:textId="545B121C" w:rsidR="00E25CED" w:rsidRDefault="00E25CED" w:rsidP="00B34BCF">
      <w:pPr>
        <w:pStyle w:val="Endnotes"/>
      </w:pPr>
    </w:p>
  </w:endnote>
  <w:endnote w:id="2">
    <w:p w14:paraId="2436AEBE" w14:textId="77777777" w:rsidR="00B34BCF" w:rsidRDefault="00B34BCF" w:rsidP="00B34BCF">
      <w:pPr>
        <w:pStyle w:val="Endnotes"/>
      </w:pPr>
      <w:r w:rsidRPr="00B34BCF">
        <w:endnoteRef/>
      </w:r>
      <w:r w:rsidRPr="00B34BCF">
        <w:t xml:space="preserve"> These six writers do not constitute a unified school and would have differed sharply on many questions beyond the specific concern traced here. Bastiat wrote as a nineteenth-century French classical liberal; Hayek and Sowell worked within market-process traditions; Caplan's project sits within public choice; Kahneman and Tversky built behavioral economics from experimental psychology; Ostrom's institutional work on the commons won the 2009 Nobel Prize in Economic Sciences for demonstrating that shared resources can be governed through polycentric arrangements rather than through state or market alone. What connects them for this book's purposes is a shared posture of epistemic humility regarding what centralized decision-makers can know, predict, or control. The works cited below are canonical entry points, not exhaustive bibliographies; a fuller survey appears in the Recommended Reading section.</w:t>
      </w:r>
    </w:p>
    <w:p w14:paraId="34AD2B09" w14:textId="77777777" w:rsidR="00B34BCF" w:rsidRPr="00B34BCF" w:rsidRDefault="00B34BCF" w:rsidP="00B34BCF">
      <w:pPr>
        <w:pStyle w:val="Endnotes"/>
      </w:pPr>
    </w:p>
    <w:p w14:paraId="60DA86EA" w14:textId="77777777" w:rsidR="00B34BCF" w:rsidRPr="00B34BCF" w:rsidRDefault="00B34BCF" w:rsidP="00B34BCF">
      <w:pPr>
        <w:pStyle w:val="Endnotes"/>
      </w:pPr>
      <w:r w:rsidRPr="00B34BCF">
        <w:t xml:space="preserve">Frédéric Bastiat, </w:t>
      </w:r>
      <w:r w:rsidRPr="00B34BCF">
        <w:rPr>
          <w:i/>
          <w:iCs/>
        </w:rPr>
        <w:t>That Which Is Seen, and That Which Is Not Seen</w:t>
      </w:r>
      <w:r w:rsidRPr="00B34BCF">
        <w:t>, trans. Patrick James Stirling (London: Provost, 1870).</w:t>
      </w:r>
    </w:p>
    <w:p w14:paraId="5381795A" w14:textId="77777777" w:rsidR="00B34BCF" w:rsidRDefault="00B34BCF" w:rsidP="00B34BCF">
      <w:pPr>
        <w:pStyle w:val="Endnotes"/>
      </w:pPr>
    </w:p>
    <w:p w14:paraId="3A769B52" w14:textId="7258CB70" w:rsidR="00B34BCF" w:rsidRPr="00B34BCF" w:rsidRDefault="00B34BCF" w:rsidP="00B34BCF">
      <w:pPr>
        <w:pStyle w:val="Endnotes"/>
      </w:pPr>
      <w:r w:rsidRPr="00B34BCF">
        <w:t xml:space="preserve">Friedrich A. Hayek, "The Use of Knowledge in Society," </w:t>
      </w:r>
      <w:r w:rsidRPr="00B34BCF">
        <w:rPr>
          <w:i/>
          <w:iCs/>
        </w:rPr>
        <w:t>American Economic Review</w:t>
      </w:r>
      <w:r w:rsidRPr="00B34BCF">
        <w:t xml:space="preserve"> 35, no. 4 (September 1945): 519–30.</w:t>
      </w:r>
    </w:p>
    <w:p w14:paraId="4D9E33F9" w14:textId="77777777" w:rsidR="00B34BCF" w:rsidRDefault="00B34BCF" w:rsidP="00B34BCF">
      <w:pPr>
        <w:pStyle w:val="Endnotes"/>
      </w:pPr>
    </w:p>
    <w:p w14:paraId="73316A3C" w14:textId="291960AA" w:rsidR="00B34BCF" w:rsidRPr="00B34BCF" w:rsidRDefault="00B34BCF" w:rsidP="00B34BCF">
      <w:pPr>
        <w:pStyle w:val="Endnotes"/>
      </w:pPr>
      <w:r w:rsidRPr="00B34BCF">
        <w:t xml:space="preserve">Thomas Sowell, </w:t>
      </w:r>
      <w:r w:rsidRPr="00B34BCF">
        <w:rPr>
          <w:i/>
          <w:iCs/>
        </w:rPr>
        <w:t>Knowledge and Decisions</w:t>
      </w:r>
      <w:r w:rsidRPr="00B34BCF">
        <w:t xml:space="preserve"> (New York: Basic Books, 1980).</w:t>
      </w:r>
    </w:p>
    <w:p w14:paraId="36AA1675" w14:textId="77777777" w:rsidR="00B34BCF" w:rsidRDefault="00B34BCF" w:rsidP="00B34BCF">
      <w:pPr>
        <w:pStyle w:val="Endnotes"/>
      </w:pPr>
    </w:p>
    <w:p w14:paraId="49C56AA5" w14:textId="493CA59B" w:rsidR="00B34BCF" w:rsidRPr="00B34BCF" w:rsidRDefault="00B34BCF" w:rsidP="00B34BCF">
      <w:pPr>
        <w:pStyle w:val="Endnotes"/>
      </w:pPr>
      <w:r w:rsidRPr="00B34BCF">
        <w:t xml:space="preserve">Bryan Caplan, </w:t>
      </w:r>
      <w:r w:rsidRPr="00B34BCF">
        <w:rPr>
          <w:i/>
          <w:iCs/>
        </w:rPr>
        <w:t>The Myth of the Rational Voter: Why Democracies Choose Bad Policies</w:t>
      </w:r>
      <w:r w:rsidRPr="00B34BCF">
        <w:t xml:space="preserve"> (Princeton, NJ: Princeton University Press, 2007).</w:t>
      </w:r>
    </w:p>
    <w:p w14:paraId="5E033274" w14:textId="77777777" w:rsidR="00B34BCF" w:rsidRDefault="00B34BCF" w:rsidP="00B34BCF">
      <w:pPr>
        <w:pStyle w:val="Endnotes"/>
      </w:pPr>
    </w:p>
    <w:p w14:paraId="359916AE" w14:textId="362C569A" w:rsidR="00B34BCF" w:rsidRPr="00B34BCF" w:rsidRDefault="00B34BCF" w:rsidP="00B34BCF">
      <w:pPr>
        <w:pStyle w:val="Endnotes"/>
      </w:pPr>
      <w:r w:rsidRPr="00B34BCF">
        <w:t xml:space="preserve">Daniel Kahneman, </w:t>
      </w:r>
      <w:r w:rsidRPr="00B34BCF">
        <w:rPr>
          <w:i/>
          <w:iCs/>
        </w:rPr>
        <w:t>Thinking, Fast and Slow</w:t>
      </w:r>
      <w:r w:rsidRPr="00B34BCF">
        <w:t xml:space="preserve"> (New York: Farrar, Straus and Giroux, 2011).</w:t>
      </w:r>
    </w:p>
    <w:p w14:paraId="6C1722F5" w14:textId="77777777" w:rsidR="00B34BCF" w:rsidRDefault="00B34BCF" w:rsidP="00B34BCF">
      <w:pPr>
        <w:pStyle w:val="Endnotes"/>
      </w:pPr>
    </w:p>
    <w:p w14:paraId="4D07E9C7" w14:textId="3BB3642F" w:rsidR="00B34BCF" w:rsidRPr="00B34BCF" w:rsidRDefault="00B34BCF" w:rsidP="00B34BCF">
      <w:pPr>
        <w:pStyle w:val="Endnotes"/>
      </w:pPr>
      <w:r w:rsidRPr="00B34BCF">
        <w:t xml:space="preserve">Elinor Ostrom, </w:t>
      </w:r>
      <w:r w:rsidRPr="00B34BCF">
        <w:rPr>
          <w:i/>
          <w:iCs/>
        </w:rPr>
        <w:t>Governing the Commons: The Evolution of Institutions for Collective Action</w:t>
      </w:r>
      <w:r w:rsidRPr="00B34BCF">
        <w:t xml:space="preserve"> (Cambridge: Cambridge University Press, 1990).</w:t>
      </w:r>
    </w:p>
    <w:p w14:paraId="36B649FD" w14:textId="43A04598" w:rsidR="00B34BCF" w:rsidRDefault="00B34BCF" w:rsidP="00B34BCF">
      <w:pPr>
        <w:pStyle w:val="Endnotes"/>
      </w:pPr>
    </w:p>
  </w:endnote>
  <w:endnote w:id="3">
    <w:p w14:paraId="3F2C0694" w14:textId="48DF52D4" w:rsidR="00CA696A" w:rsidRDefault="00CA696A" w:rsidP="00CA696A">
      <w:pPr>
        <w:pStyle w:val="Endnotes"/>
      </w:pPr>
      <w:r w:rsidRPr="00CB3BE7">
        <w:endnoteRef/>
      </w:r>
      <w:r w:rsidRPr="00CB3BE7">
        <w:t xml:space="preserve"> </w:t>
      </w:r>
      <w:r>
        <w:t xml:space="preserve">U.S. House of Representatives: History, Art &amp; Archives. "Party Divisions of the House of Representatives, 1789 to Present." Washington, DC: Office of the Historian. </w:t>
      </w:r>
      <w:hyperlink r:id="rId4" w:history="1">
        <w:r w:rsidRPr="00CB11FD">
          <w:rPr>
            <w:rStyle w:val="Hyperlink"/>
          </w:rPr>
          <w:t>https://history.house.gov/Institution/Party-Divisions/Party-Divisions/</w:t>
        </w:r>
      </w:hyperlink>
      <w:r>
        <w:t>.</w:t>
      </w:r>
    </w:p>
    <w:p w14:paraId="6BDF286D" w14:textId="77777777" w:rsidR="00CA696A" w:rsidRDefault="00CA696A" w:rsidP="00CA696A">
      <w:pPr>
        <w:pStyle w:val="Endnotes"/>
      </w:pPr>
    </w:p>
  </w:endnote>
  <w:endnote w:id="4">
    <w:p w14:paraId="39A0D846" w14:textId="77777777" w:rsidR="00C229E9" w:rsidRPr="00C229E9" w:rsidRDefault="00CA696A" w:rsidP="00C229E9">
      <w:pPr>
        <w:pStyle w:val="Endnotes"/>
      </w:pPr>
      <w:r w:rsidRPr="00CB3BE7">
        <w:endnoteRef/>
      </w:r>
      <w:r w:rsidRPr="00CB3BE7">
        <w:t xml:space="preserve"> </w:t>
      </w:r>
      <w:r w:rsidR="00C229E9" w:rsidRPr="00C229E9">
        <w:t>The free lunch spread was deliberately spiced and salted to provoke thirst. An American Heritage survey counted 115 saloons offering free lunches along a single four-mile stretch in 1890s Chicago, compared with only five standalone ten-cent restaurants.</w:t>
      </w:r>
    </w:p>
    <w:p w14:paraId="282AB1A1" w14:textId="77777777" w:rsidR="00C229E9" w:rsidRDefault="00C229E9" w:rsidP="00CA696A">
      <w:pPr>
        <w:pStyle w:val="Endnotes"/>
      </w:pPr>
    </w:p>
    <w:p w14:paraId="6A34ECE6" w14:textId="77777777" w:rsidR="007D50E3" w:rsidRDefault="007D50E3" w:rsidP="007D50E3">
      <w:pPr>
        <w:pStyle w:val="Endnotes"/>
      </w:pPr>
      <w:r>
        <w:t>Sismondo, Christine. America Walks into a Bar: A Spirited History of Taverns and Saloons, Speakeasies and Grog Shops. New York: Oxford University Press, 2011.</w:t>
      </w:r>
    </w:p>
    <w:p w14:paraId="0B7133D6" w14:textId="77777777" w:rsidR="007D50E3" w:rsidRDefault="007D50E3" w:rsidP="007D50E3">
      <w:pPr>
        <w:pStyle w:val="Endnotes"/>
      </w:pPr>
    </w:p>
    <w:p w14:paraId="10DE4B06" w14:textId="77777777" w:rsidR="007D50E3" w:rsidRDefault="007D50E3" w:rsidP="007D50E3">
      <w:pPr>
        <w:pStyle w:val="Endnotes"/>
      </w:pPr>
      <w:r>
        <w:t>Chandonnet, Ann. Food in the American Gilded Age. Lanham, MD: Rowman &amp; Littlefield, 2016.</w:t>
      </w:r>
    </w:p>
    <w:p w14:paraId="3AF0D416" w14:textId="77777777" w:rsidR="007D50E3" w:rsidRDefault="007D50E3" w:rsidP="007D50E3">
      <w:pPr>
        <w:pStyle w:val="Endnotes"/>
      </w:pPr>
    </w:p>
    <w:p w14:paraId="442BACD0" w14:textId="4CCC1FF6" w:rsidR="00CA696A" w:rsidRDefault="007D50E3" w:rsidP="007D50E3">
      <w:pPr>
        <w:pStyle w:val="Endnotes"/>
      </w:pPr>
      <w:r>
        <w:t xml:space="preserve">"The Saloon." </w:t>
      </w:r>
      <w:r w:rsidRPr="007D50E3">
        <w:rPr>
          <w:i/>
          <w:iCs/>
        </w:rPr>
        <w:t>American Heritage</w:t>
      </w:r>
      <w:r>
        <w:t xml:space="preserve"> 22, no. 3 (April 1971). </w:t>
      </w:r>
      <w:hyperlink r:id="rId5" w:history="1">
        <w:r w:rsidRPr="00CB11FD">
          <w:rPr>
            <w:rStyle w:val="Hyperlink"/>
          </w:rPr>
          <w:t>https://www.americanheritage.com/saloon</w:t>
        </w:r>
      </w:hyperlink>
      <w:r>
        <w:t>.</w:t>
      </w:r>
    </w:p>
    <w:p w14:paraId="4F6D9A83" w14:textId="77777777" w:rsidR="007D50E3" w:rsidRDefault="007D50E3" w:rsidP="007D50E3">
      <w:pPr>
        <w:pStyle w:val="Endnotes"/>
      </w:pPr>
    </w:p>
  </w:endnote>
  <w:endnote w:id="5">
    <w:p w14:paraId="2443FCCE" w14:textId="6102D0D9" w:rsidR="003218C7" w:rsidRPr="00CB3BE7" w:rsidRDefault="003218C7" w:rsidP="003218C7">
      <w:pPr>
        <w:pStyle w:val="Endnotes"/>
      </w:pPr>
      <w:r w:rsidRPr="00CB3BE7">
        <w:endnoteRef/>
      </w:r>
      <w:r w:rsidRPr="00CB3BE7">
        <w:t xml:space="preserve"> Walter Morrow, "Economics in Eight Words," </w:t>
      </w:r>
      <w:r w:rsidRPr="00CB3BE7">
        <w:rPr>
          <w:i/>
          <w:iCs/>
        </w:rPr>
        <w:t>El Paso Herald-Post</w:t>
      </w:r>
      <w:r w:rsidRPr="00CB3BE7">
        <w:t>, June 27, 1938.</w:t>
      </w:r>
    </w:p>
    <w:p w14:paraId="5F4643C6" w14:textId="77777777" w:rsidR="003218C7" w:rsidRDefault="003218C7" w:rsidP="003218C7">
      <w:pPr>
        <w:pStyle w:val="Endnotes"/>
      </w:pPr>
    </w:p>
  </w:endnote>
  <w:endnote w:id="6">
    <w:p w14:paraId="6A98B1D8" w14:textId="77777777" w:rsidR="00C229E9" w:rsidRPr="00C229E9" w:rsidRDefault="00CB3BE7" w:rsidP="00C229E9">
      <w:pPr>
        <w:pStyle w:val="Endnotes"/>
      </w:pPr>
      <w:r w:rsidRPr="00CB3BE7">
        <w:endnoteRef/>
      </w:r>
      <w:r w:rsidRPr="00CB3BE7">
        <w:t xml:space="preserve"> </w:t>
      </w:r>
      <w:r w:rsidR="00C229E9" w:rsidRPr="00C229E9">
        <w:t xml:space="preserve">Heinlein made the phrase a recurring motif in his 1966 novel </w:t>
      </w:r>
      <w:r w:rsidR="00C229E9" w:rsidRPr="00C229E9">
        <w:rPr>
          <w:i/>
          <w:iCs/>
        </w:rPr>
        <w:t>The Moon Is a Harsh Mistress</w:t>
      </w:r>
      <w:r w:rsidR="00C229E9" w:rsidRPr="00C229E9">
        <w:t>, popularizing the acronym TANSTAAFL. Friedman adopted it as the title of his 1975 essay collection.</w:t>
      </w:r>
    </w:p>
    <w:p w14:paraId="1FFD7602" w14:textId="7EEBA693" w:rsidR="00CB3BE7" w:rsidRDefault="00CB3BE7" w:rsidP="00CB3BE7">
      <w:pPr>
        <w:pStyle w:val="Endnotes"/>
      </w:pPr>
    </w:p>
    <w:p w14:paraId="59A4F0EF" w14:textId="77777777" w:rsidR="00CB3BE7" w:rsidRDefault="00CB3BE7" w:rsidP="00CB3BE7">
      <w:pPr>
        <w:pStyle w:val="Endnotes"/>
      </w:pPr>
      <w:r>
        <w:t>Heinlein, Robert A. The Moon Is a Harsh Mistress. New York: G.P. Putnam's Sons, 1966.</w:t>
      </w:r>
    </w:p>
    <w:p w14:paraId="27BBE23C" w14:textId="77777777" w:rsidR="00CB3BE7" w:rsidRDefault="00CB3BE7" w:rsidP="00CB3BE7">
      <w:pPr>
        <w:pStyle w:val="Endnotes"/>
      </w:pPr>
    </w:p>
    <w:p w14:paraId="3F3A20A2" w14:textId="6DE2D05E" w:rsidR="00CB3BE7" w:rsidRDefault="00CB3BE7" w:rsidP="00CB3BE7">
      <w:pPr>
        <w:pStyle w:val="Endnotes"/>
      </w:pPr>
      <w:r>
        <w:t>Friedman, Milton. There's No Such Thing as a Free Lunch. LaSalle, IL: Open Court, 1975.</w:t>
      </w:r>
    </w:p>
    <w:p w14:paraId="5EE6F58C" w14:textId="77777777" w:rsidR="00CB3BE7" w:rsidRDefault="00CB3BE7" w:rsidP="00840BB0">
      <w:pPr>
        <w:pStyle w:val="Endnotes"/>
      </w:pPr>
    </w:p>
  </w:endnote>
  <w:endnote w:id="7">
    <w:p w14:paraId="73101ED6" w14:textId="77777777" w:rsidR="00840BB0" w:rsidRDefault="00840BB0" w:rsidP="00840BB0">
      <w:pPr>
        <w:pStyle w:val="Endnotes"/>
      </w:pPr>
      <w:r w:rsidRPr="00840BB0">
        <w:endnoteRef/>
      </w:r>
      <w:r w:rsidRPr="00840BB0">
        <w:t xml:space="preserve"> Markopolos first contacted the SEC's Boston regional office in May 2000 with an 8-page analysis. The November 2005 submission was his third and most detailed: a 21-page memo that laid out the quantitative case in full. His central argument was mathematical rather than investigative. The fund's reported Sharpe ratio was inconsistent with any legitimate strategy over a 15-year period, its monthly return distribution showed almost no correlation with the options-based strategy Madoff claimed to be running, and the reported assets under management had grown to a size at which the options volume Madoff's strategy would have required did not exist in the actual market. Markopolos expected either action from the SEC or a rebuttal showing where his analysis was wrong. He got neither.</w:t>
      </w:r>
    </w:p>
    <w:p w14:paraId="4F9BAD0E" w14:textId="77777777" w:rsidR="00840BB0" w:rsidRPr="00840BB0" w:rsidRDefault="00840BB0" w:rsidP="00840BB0">
      <w:pPr>
        <w:pStyle w:val="Endnotes"/>
      </w:pPr>
    </w:p>
    <w:p w14:paraId="4C7BDB06" w14:textId="77777777" w:rsidR="00840BB0" w:rsidRPr="00840BB0" w:rsidRDefault="00840BB0" w:rsidP="00840BB0">
      <w:pPr>
        <w:pStyle w:val="Endnotes"/>
      </w:pPr>
      <w:r w:rsidRPr="00840BB0">
        <w:t xml:space="preserve">Markopolos, Harry. "The World's Largest Hedge Fund Is a Fraud." Submission to the U.S. Securities and Exchange Commission, November 7, 2005. </w:t>
      </w:r>
      <w:hyperlink r:id="rId6" w:history="1">
        <w:r w:rsidRPr="00840BB0">
          <w:rPr>
            <w:rStyle w:val="Hyperlink"/>
          </w:rPr>
          <w:t>https://www.sec.gov/news/studies/2009/oig-509/exhibit-0276.pdf</w:t>
        </w:r>
      </w:hyperlink>
      <w:r w:rsidRPr="00840BB0">
        <w:t>.</w:t>
      </w:r>
    </w:p>
    <w:p w14:paraId="2C9A7C75" w14:textId="77777777" w:rsidR="00840BB0" w:rsidRDefault="00840BB0" w:rsidP="00840BB0">
      <w:pPr>
        <w:pStyle w:val="Endnotes"/>
      </w:pPr>
    </w:p>
    <w:p w14:paraId="468E4295" w14:textId="224ADA03" w:rsidR="00840BB0" w:rsidRPr="00840BB0" w:rsidRDefault="00840BB0" w:rsidP="00840BB0">
      <w:pPr>
        <w:pStyle w:val="Endnotes"/>
      </w:pPr>
      <w:r w:rsidRPr="00840BB0">
        <w:t xml:space="preserve">Markopolos, Harry. </w:t>
      </w:r>
      <w:r w:rsidRPr="00840BB0">
        <w:rPr>
          <w:i/>
          <w:iCs/>
        </w:rPr>
        <w:t>No One Would Listen: A True Financial Thriller</w:t>
      </w:r>
      <w:r w:rsidRPr="00840BB0">
        <w:t>. Hoboken, NJ: John Wiley &amp; Sons, 2010.</w:t>
      </w:r>
    </w:p>
    <w:p w14:paraId="3CCA6C53" w14:textId="5A9D19F4" w:rsidR="00840BB0" w:rsidRDefault="00840BB0" w:rsidP="00840BB0">
      <w:pPr>
        <w:pStyle w:val="Endnotes"/>
      </w:pPr>
    </w:p>
  </w:endnote>
  <w:endnote w:id="8">
    <w:p w14:paraId="2232578F" w14:textId="77777777" w:rsidR="00840BB0" w:rsidRDefault="00840BB0" w:rsidP="00840BB0">
      <w:pPr>
        <w:pStyle w:val="Endnotes"/>
      </w:pPr>
      <w:r w:rsidRPr="00840BB0">
        <w:endnoteRef/>
      </w:r>
      <w:r w:rsidRPr="00840BB0">
        <w:t xml:space="preserve"> The SEC's Office of Inspector General conducted its own investigation after the fraud collapsed and produced the authoritative account of the regulatory failure. The report documented that the SEC had received at least six substantive complaints about Madoff's operation between 1992 and 2008, including Markopolos's submissions, and that each investigation was assigned to inexperienced staff, scoped too narrowly to catch the underlying fraud, or closed without following obvious leads. The OIG found no evidence of corruption or collusion. The failures stemmed instead from a combination of disbelief that a figure of Madoff's institutional standing could be running a fraud and a general reluctance to scrutinize someone who had helped shape the agency's own regulatory framework.</w:t>
      </w:r>
    </w:p>
    <w:p w14:paraId="2429493A" w14:textId="77777777" w:rsidR="00840BB0" w:rsidRPr="00840BB0" w:rsidRDefault="00840BB0" w:rsidP="00840BB0">
      <w:pPr>
        <w:pStyle w:val="Endnotes"/>
      </w:pPr>
    </w:p>
    <w:p w14:paraId="0055C86B" w14:textId="77777777" w:rsidR="00840BB0" w:rsidRPr="00840BB0" w:rsidRDefault="00840BB0" w:rsidP="00840BB0">
      <w:pPr>
        <w:pStyle w:val="Endnotes"/>
      </w:pPr>
      <w:r w:rsidRPr="00840BB0">
        <w:t xml:space="preserve">U.S. Securities and Exchange Commission, Office of Inspector General. </w:t>
      </w:r>
      <w:r w:rsidRPr="00840BB0">
        <w:rPr>
          <w:i/>
          <w:iCs/>
        </w:rPr>
        <w:t>Investigation of Failure of the SEC to Uncover Bernard Madoff's Ponzi Scheme</w:t>
      </w:r>
      <w:r w:rsidRPr="00840BB0">
        <w:t xml:space="preserve">. Report No. OIG-509. Washington, DC: U.S. Securities and Exchange Commission, August 31, 2009. </w:t>
      </w:r>
      <w:hyperlink r:id="rId7" w:history="1">
        <w:r w:rsidRPr="00840BB0">
          <w:rPr>
            <w:rStyle w:val="Hyperlink"/>
          </w:rPr>
          <w:t>https://www.sec.gov/news/studies/2009/oig-509.pdf</w:t>
        </w:r>
      </w:hyperlink>
      <w:r w:rsidRPr="00840BB0">
        <w:t>.</w:t>
      </w:r>
    </w:p>
    <w:p w14:paraId="0D56455A" w14:textId="75F65E93" w:rsidR="00840BB0" w:rsidRDefault="00840BB0">
      <w:pPr>
        <w:pStyle w:val="EndnoteText"/>
      </w:pPr>
    </w:p>
  </w:endnote>
  <w:endnote w:id="9">
    <w:p w14:paraId="368167AC" w14:textId="77777777" w:rsidR="00840BB0" w:rsidRDefault="00840BB0" w:rsidP="00840BB0">
      <w:pPr>
        <w:pStyle w:val="Endnotes"/>
      </w:pPr>
      <w:r w:rsidRPr="00840BB0">
        <w:endnoteRef/>
      </w:r>
      <w:r w:rsidRPr="00840BB0">
        <w:t xml:space="preserve"> The $65 billion figure represents client account balances as reported on the November 30, 2008 statements, not actual investor principal. Court filings in the criminal case put real principal losses at roughly $17 to $18 billion. The larger number reflects the fictitious returns Madoff had been reporting for years, which investors carried on their statements as real holdings and which became the basis for subsequent bankruptcy claims.</w:t>
      </w:r>
    </w:p>
    <w:p w14:paraId="12A5770F" w14:textId="77777777" w:rsidR="00840BB0" w:rsidRPr="00840BB0" w:rsidRDefault="00840BB0" w:rsidP="00840BB0">
      <w:pPr>
        <w:pStyle w:val="Endnotes"/>
      </w:pPr>
    </w:p>
    <w:p w14:paraId="1D72F692" w14:textId="77777777" w:rsidR="00840BB0" w:rsidRDefault="00840BB0" w:rsidP="00840BB0">
      <w:pPr>
        <w:pStyle w:val="Endnotes"/>
      </w:pPr>
      <w:r w:rsidRPr="00840BB0">
        <w:t xml:space="preserve">Federal Bureau of Investigation. "Bernie Madoff." Famous Cases &amp; Criminals. </w:t>
      </w:r>
      <w:hyperlink r:id="rId8" w:history="1">
        <w:r w:rsidRPr="00840BB0">
          <w:rPr>
            <w:rStyle w:val="Hyperlink"/>
          </w:rPr>
          <w:t>https://www.fbi.gov/history/famous-cases/bernie-madoff</w:t>
        </w:r>
      </w:hyperlink>
      <w:r w:rsidRPr="00840BB0">
        <w:t>.</w:t>
      </w:r>
    </w:p>
    <w:p w14:paraId="3C9A96EB" w14:textId="77777777" w:rsidR="00840BB0" w:rsidRPr="00840BB0" w:rsidRDefault="00840BB0" w:rsidP="00840BB0">
      <w:pPr>
        <w:pStyle w:val="Endnotes"/>
      </w:pPr>
    </w:p>
    <w:p w14:paraId="5E6A04A5" w14:textId="77777777" w:rsidR="00840BB0" w:rsidRPr="00840BB0" w:rsidRDefault="00840BB0" w:rsidP="00840BB0">
      <w:pPr>
        <w:pStyle w:val="Endnotes"/>
      </w:pPr>
      <w:r w:rsidRPr="00840BB0">
        <w:t xml:space="preserve">United States v. Bernard L. Madoff. Sentencing Memorandum. No. 09 Cr. 213 (DC). S.D.N.Y. June 29, 2009. </w:t>
      </w:r>
      <w:hyperlink r:id="rId9" w:history="1">
        <w:r w:rsidRPr="00840BB0">
          <w:rPr>
            <w:rStyle w:val="Hyperlink"/>
          </w:rPr>
          <w:t>https://www.justice.gov/usao-sdny/page/file/1283421/dl?inline</w:t>
        </w:r>
      </w:hyperlink>
      <w:r w:rsidRPr="00840BB0">
        <w:t>.</w:t>
      </w:r>
    </w:p>
    <w:p w14:paraId="625C53CC" w14:textId="24412455" w:rsidR="00840BB0" w:rsidRDefault="00840BB0">
      <w:pPr>
        <w:pStyle w:val="EndnoteText"/>
      </w:pPr>
    </w:p>
  </w:endnote>
  <w:endnote w:id="10">
    <w:p w14:paraId="7FCAB64B" w14:textId="77777777" w:rsidR="00840BB0" w:rsidRPr="00840BB0" w:rsidRDefault="00CF1742" w:rsidP="00840BB0">
      <w:pPr>
        <w:pStyle w:val="Endnotes"/>
      </w:pPr>
      <w:r w:rsidRPr="0084228F">
        <w:endnoteRef/>
      </w:r>
      <w:r w:rsidRPr="0084228F">
        <w:t xml:space="preserve"> </w:t>
      </w:r>
      <w:r w:rsidR="00840BB0" w:rsidRPr="00840BB0">
        <w:t>René-Thierry Magon de La Villehuchet, who ran Access International Advisors and had placed approximately $1.4 billion of client money with Madoff, was found dead in his Manhattan office on December 23, 2008, two weeks after the fraud became public. William Foxton, a decorated British Army officer who had lost his family's savings through a Madoff feeder fund, shot himself in February 2009. The "at least two" formulation is deliberately conservative. Charles Murphy, a hedge fund executive whose firm had large Madoff exposure, took his own life in 2017 in circumstances colleagues attributed in part to unresolved fallout from the fraud.</w:t>
      </w:r>
    </w:p>
    <w:p w14:paraId="1EC05768" w14:textId="77777777" w:rsidR="00840BB0" w:rsidRDefault="00840BB0" w:rsidP="00840BB0">
      <w:pPr>
        <w:pStyle w:val="Endnotes"/>
      </w:pPr>
      <w:r w:rsidRPr="00840BB0">
        <w:t xml:space="preserve">Berenson, Alex. "Hedge Fund Executive Is Found Dead in an Apparent Suicide." </w:t>
      </w:r>
      <w:r w:rsidRPr="00840BB0">
        <w:rPr>
          <w:i/>
          <w:iCs/>
        </w:rPr>
        <w:t>New York Times</w:t>
      </w:r>
      <w:r w:rsidRPr="00840BB0">
        <w:t xml:space="preserve">, December 23, 2008. </w:t>
      </w:r>
      <w:hyperlink r:id="rId10" w:history="1">
        <w:r w:rsidRPr="00840BB0">
          <w:rPr>
            <w:rStyle w:val="Hyperlink"/>
          </w:rPr>
          <w:t>https://www.nytimes.com/2008/12/24/business/24madoff.html</w:t>
        </w:r>
      </w:hyperlink>
      <w:r w:rsidRPr="00840BB0">
        <w:t>.</w:t>
      </w:r>
    </w:p>
    <w:p w14:paraId="2C947BC5" w14:textId="77777777" w:rsidR="00840BB0" w:rsidRPr="00840BB0" w:rsidRDefault="00840BB0" w:rsidP="00840BB0">
      <w:pPr>
        <w:pStyle w:val="Endnotes"/>
      </w:pPr>
    </w:p>
    <w:p w14:paraId="53E5E382" w14:textId="77777777" w:rsidR="00840BB0" w:rsidRPr="00840BB0" w:rsidRDefault="00840BB0" w:rsidP="00840BB0">
      <w:pPr>
        <w:pStyle w:val="Endnotes"/>
      </w:pPr>
      <w:r w:rsidRPr="00840BB0">
        <w:t xml:space="preserve">"UK Veteran Killed Himself After Madoff Loss." </w:t>
      </w:r>
      <w:r w:rsidRPr="00840BB0">
        <w:rPr>
          <w:i/>
          <w:iCs/>
        </w:rPr>
        <w:t>New York Post</w:t>
      </w:r>
      <w:r w:rsidRPr="00840BB0">
        <w:t xml:space="preserve">, February 13, 2009. </w:t>
      </w:r>
      <w:hyperlink r:id="rId11" w:history="1">
        <w:r w:rsidRPr="00840BB0">
          <w:rPr>
            <w:rStyle w:val="Hyperlink"/>
          </w:rPr>
          <w:t>https://nypost.com/2009/02/13/uk-veteran-killed-himself-after-madoff-loss/</w:t>
        </w:r>
      </w:hyperlink>
      <w:r w:rsidRPr="00840BB0">
        <w:t>.</w:t>
      </w:r>
    </w:p>
    <w:p w14:paraId="7F8D0130" w14:textId="77777777" w:rsidR="00CF1742" w:rsidRDefault="00CF1742" w:rsidP="00A16C1A">
      <w:pPr>
        <w:pStyle w:val="Endnotes"/>
      </w:pPr>
    </w:p>
  </w:endnote>
  <w:endnote w:id="11">
    <w:p w14:paraId="4144CB81" w14:textId="77777777" w:rsidR="00A16C1A" w:rsidRPr="00A16C1A" w:rsidRDefault="00A16C1A" w:rsidP="00A16C1A">
      <w:pPr>
        <w:pStyle w:val="Endnotes"/>
      </w:pPr>
      <w:r w:rsidRPr="00A16C1A">
        <w:endnoteRef/>
      </w:r>
      <w:r w:rsidRPr="00A16C1A">
        <w:t xml:space="preserve"> The claim that bailouts encourage riskier behavior is not just theoretical. It has been studied extensively. After the 2008 financial crisis, a Federal Reserve study found that large rescued banks shifted toward riskier lending while smaller rescued banks became more cautious, a difference driven not by the bailout itself but by size: banks large enough to expect future rescue behaved accordingly. Even more revealing is what institutions will pay for the expectation of future rescue. Researchers found that banks paid at least $15 billion extra in merger deals specifically to become large enough to be considered "too big to fail."</w:t>
      </w:r>
    </w:p>
    <w:p w14:paraId="50CBA4B6" w14:textId="073FD940" w:rsidR="00A16C1A" w:rsidRDefault="00A16C1A" w:rsidP="00A16C1A">
      <w:pPr>
        <w:pStyle w:val="Endnotes"/>
      </w:pPr>
    </w:p>
    <w:p w14:paraId="4EB01C51" w14:textId="77777777" w:rsidR="00A16C1A" w:rsidRDefault="00A16C1A" w:rsidP="00A16C1A">
      <w:pPr>
        <w:pStyle w:val="Endnotes"/>
      </w:pPr>
      <w:r w:rsidRPr="00856CAE">
        <w:t xml:space="preserve">Black, Lamont K., and Liesbeth N. Hazelwood. </w:t>
      </w:r>
      <w:r>
        <w:t>“</w:t>
      </w:r>
      <w:r w:rsidRPr="00856CAE">
        <w:t>The Effect of TARP on Bank Risk-Taking.</w:t>
      </w:r>
      <w:r>
        <w:t>”</w:t>
      </w:r>
      <w:r w:rsidRPr="00856CAE">
        <w:t xml:space="preserve"> Board of Governors of the Federal Reserve System, International Finance Discussion Papers No. 1043, 2012.</w:t>
      </w:r>
    </w:p>
    <w:p w14:paraId="553B22AC" w14:textId="77777777" w:rsidR="00A16C1A" w:rsidRPr="00856CAE" w:rsidRDefault="00A16C1A" w:rsidP="00A16C1A">
      <w:pPr>
        <w:pStyle w:val="Endnotes"/>
      </w:pPr>
    </w:p>
    <w:p w14:paraId="58ADF2C1" w14:textId="77777777" w:rsidR="00A16C1A" w:rsidRDefault="00A16C1A" w:rsidP="00A16C1A">
      <w:pPr>
        <w:pStyle w:val="Endnotes"/>
      </w:pPr>
      <w:r w:rsidRPr="00856CAE">
        <w:t xml:space="preserve">Duchin, Ran, and Denis Sosyura. </w:t>
      </w:r>
      <w:r>
        <w:t>“</w:t>
      </w:r>
      <w:r w:rsidRPr="00856CAE">
        <w:t>Safer Ratios, Riskier Portfolios: Banks' Response to Government Aid.</w:t>
      </w:r>
      <w:r>
        <w:t>”</w:t>
      </w:r>
      <w:r w:rsidRPr="00856CAE">
        <w:t xml:space="preserve"> </w:t>
      </w:r>
      <w:r w:rsidRPr="00856CAE">
        <w:rPr>
          <w:i/>
          <w:iCs/>
        </w:rPr>
        <w:t>Journal of Financial Economics</w:t>
      </w:r>
      <w:r w:rsidRPr="00856CAE">
        <w:t xml:space="preserve"> 113, no. 1 (July 2014): 1–28.</w:t>
      </w:r>
    </w:p>
    <w:p w14:paraId="2446C0E3" w14:textId="77777777" w:rsidR="00A16C1A" w:rsidRPr="00856CAE" w:rsidRDefault="00A16C1A" w:rsidP="00A16C1A">
      <w:pPr>
        <w:pStyle w:val="Endnotes"/>
      </w:pPr>
    </w:p>
    <w:p w14:paraId="49629816" w14:textId="77777777" w:rsidR="00A16C1A" w:rsidRDefault="00A16C1A" w:rsidP="00A16C1A">
      <w:pPr>
        <w:pStyle w:val="Endnotes"/>
      </w:pPr>
      <w:r w:rsidRPr="00856CAE">
        <w:t xml:space="preserve">Brewer, Elijah, and Julapa Jagtiani. </w:t>
      </w:r>
      <w:r>
        <w:t>“</w:t>
      </w:r>
      <w:r w:rsidRPr="00856CAE">
        <w:t>How Much Did Banks Pay to Become Too-Big-To-Fail and to Become Systemically Important?</w:t>
      </w:r>
      <w:r>
        <w:t>”</w:t>
      </w:r>
      <w:r w:rsidRPr="00856CAE">
        <w:t xml:space="preserve"> </w:t>
      </w:r>
      <w:r w:rsidRPr="00856CAE">
        <w:rPr>
          <w:i/>
          <w:iCs/>
        </w:rPr>
        <w:t>Journal of Financial Services Research</w:t>
      </w:r>
      <w:r w:rsidRPr="00856CAE">
        <w:t xml:space="preserve"> 43, no. 1 (February 2013): 1–35.</w:t>
      </w:r>
    </w:p>
    <w:p w14:paraId="667152BD" w14:textId="77777777" w:rsidR="00A16C1A" w:rsidRPr="00856CAE" w:rsidRDefault="00A16C1A" w:rsidP="00A16C1A">
      <w:pPr>
        <w:pStyle w:val="Endnotes"/>
      </w:pPr>
    </w:p>
    <w:p w14:paraId="24801931" w14:textId="77777777" w:rsidR="00A16C1A" w:rsidRDefault="00A16C1A" w:rsidP="00A16C1A">
      <w:pPr>
        <w:pStyle w:val="Endnotes"/>
      </w:pPr>
      <w:r w:rsidRPr="00856CAE">
        <w:t xml:space="preserve">International Monetary Fund. </w:t>
      </w:r>
      <w:r>
        <w:t>“</w:t>
      </w:r>
      <w:r w:rsidRPr="00856CAE">
        <w:t>How Big Is the Implicit Subsidy for Banks Considered Too Important to Fail?</w:t>
      </w:r>
      <w:r>
        <w:t>”</w:t>
      </w:r>
      <w:r w:rsidRPr="00856CAE">
        <w:t xml:space="preserve"> </w:t>
      </w:r>
      <w:r w:rsidRPr="00856CAE">
        <w:rPr>
          <w:i/>
          <w:iCs/>
        </w:rPr>
        <w:t>Global Financial Stability Report</w:t>
      </w:r>
      <w:r w:rsidRPr="00856CAE">
        <w:t>, April 2014, Chapter 3.</w:t>
      </w:r>
    </w:p>
    <w:p w14:paraId="6153424B" w14:textId="77777777" w:rsidR="00A16C1A" w:rsidRPr="00856CAE" w:rsidRDefault="00A16C1A" w:rsidP="00A16C1A">
      <w:pPr>
        <w:pStyle w:val="Endnotes"/>
      </w:pPr>
    </w:p>
    <w:p w14:paraId="52231AC0" w14:textId="77777777" w:rsidR="00A16C1A" w:rsidRDefault="00A16C1A" w:rsidP="00A16C1A">
      <w:pPr>
        <w:pStyle w:val="Endnotes"/>
      </w:pPr>
      <w:r w:rsidRPr="00856CAE">
        <w:t xml:space="preserve">Dash, Eric. </w:t>
      </w:r>
      <w:r>
        <w:t>“</w:t>
      </w:r>
      <w:r w:rsidRPr="00856CAE">
        <w:t>If It's Too Big to Fail, Is It Too Big to Exist?</w:t>
      </w:r>
      <w:r>
        <w:t>”</w:t>
      </w:r>
      <w:r w:rsidRPr="00856CAE">
        <w:t xml:space="preserve"> </w:t>
      </w:r>
      <w:r w:rsidRPr="00856CAE">
        <w:rPr>
          <w:i/>
          <w:iCs/>
        </w:rPr>
        <w:t>New York Times</w:t>
      </w:r>
      <w:r w:rsidRPr="00856CAE">
        <w:t>, June 20, 2009.</w:t>
      </w:r>
    </w:p>
    <w:p w14:paraId="72F8D27E" w14:textId="77777777" w:rsidR="00A16C1A" w:rsidRDefault="00A16C1A" w:rsidP="00A419F8">
      <w:pPr>
        <w:pStyle w:val="Endnotes"/>
      </w:pPr>
    </w:p>
  </w:endnote>
  <w:endnote w:id="12">
    <w:p w14:paraId="5655A2A9" w14:textId="77777777" w:rsidR="00A419F8" w:rsidRDefault="00A419F8" w:rsidP="00A419F8">
      <w:pPr>
        <w:pStyle w:val="Endnotes"/>
      </w:pPr>
      <w:r w:rsidRPr="00A419F8">
        <w:endnoteRef/>
      </w:r>
      <w:r w:rsidRPr="00A419F8">
        <w:t xml:space="preserve"> Polling data consistently confirms bipartisan opposition to institutional bailouts. A March 2008 Gallup survey conducted before the Bear Stearns rescue found 6 in 10 Americans opposed federal action to prevent major Wall Street firms from failing, with opposition nearly identical across parties: Republicans 61 percent, independents 64 percent, Democrats 57 percent. A 2010 Pew Research survey found that 64 percent of Republicans and 52 percent of independents said they were less likely to vote for candidates who supported the 2008 bank bailouts, along with 31 percent of Democrats. The most direct measure of the underlying moral intuition comes from a March 2023 Reuters/Ipsos poll conducted during the Silicon Valley Bank collapse: 84 percent of Americans agreed that taxpayers should not have to foot the bill for irresponsible bank management, including 85 percent of Democrats and 86 percent of Republicans. Agreement of that magnitude across both parties on an economic policy question is rare and indicates that the underlying principle (penalties should follow from decisions) commands near-universal assent even when the political coalitions built around specific bailout episodes do not.</w:t>
      </w:r>
    </w:p>
    <w:p w14:paraId="6706F36A" w14:textId="77777777" w:rsidR="00A419F8" w:rsidRPr="00A419F8" w:rsidRDefault="00A419F8" w:rsidP="00A419F8">
      <w:pPr>
        <w:pStyle w:val="Endnotes"/>
      </w:pPr>
    </w:p>
    <w:p w14:paraId="2E4E1000" w14:textId="77777777" w:rsidR="00A419F8" w:rsidRPr="00A419F8" w:rsidRDefault="00A419F8" w:rsidP="00A419F8">
      <w:pPr>
        <w:pStyle w:val="Endnotes"/>
      </w:pPr>
      <w:r w:rsidRPr="00A419F8">
        <w:t xml:space="preserve">Gallup. "Six in 10 Oppose Wall Street Bailouts." April 3, 2008. </w:t>
      </w:r>
      <w:hyperlink r:id="rId12" w:history="1">
        <w:r w:rsidRPr="00A419F8">
          <w:rPr>
            <w:rStyle w:val="Hyperlink"/>
          </w:rPr>
          <w:t>https://news.gallup.com/poll/106114/six-oppose-wall-street-bailouts.aspx</w:t>
        </w:r>
      </w:hyperlink>
      <w:r w:rsidRPr="00A419F8">
        <w:t>.</w:t>
      </w:r>
    </w:p>
    <w:p w14:paraId="0E143F10" w14:textId="77777777" w:rsidR="00A419F8" w:rsidRDefault="00A419F8" w:rsidP="00A419F8">
      <w:pPr>
        <w:pStyle w:val="Endnotes"/>
      </w:pPr>
    </w:p>
    <w:p w14:paraId="03C8AB57" w14:textId="10B515DB" w:rsidR="00A419F8" w:rsidRPr="00A419F8" w:rsidRDefault="00A419F8" w:rsidP="00A419F8">
      <w:pPr>
        <w:pStyle w:val="Endnotes"/>
      </w:pPr>
      <w:r w:rsidRPr="00A419F8">
        <w:t xml:space="preserve">Ipsos. "Half of Americans Support Government Bailouts of Banks." March 15, 2023. </w:t>
      </w:r>
      <w:hyperlink r:id="rId13" w:history="1">
        <w:r w:rsidRPr="00A419F8">
          <w:rPr>
            <w:rStyle w:val="Hyperlink"/>
          </w:rPr>
          <w:t>https://www.ipsos.com/en-us/half-americans-support-government-bailouts-banks</w:t>
        </w:r>
      </w:hyperlink>
      <w:r w:rsidRPr="00A419F8">
        <w:t>.</w:t>
      </w:r>
    </w:p>
    <w:p w14:paraId="3150366C" w14:textId="77777777" w:rsidR="00A419F8" w:rsidRDefault="00A419F8" w:rsidP="00A419F8">
      <w:pPr>
        <w:pStyle w:val="Endnotes"/>
      </w:pPr>
    </w:p>
    <w:p w14:paraId="4461EC31" w14:textId="39C40DBF" w:rsidR="00A419F8" w:rsidRPr="00A419F8" w:rsidRDefault="00A419F8" w:rsidP="00A419F8">
      <w:pPr>
        <w:pStyle w:val="Endnotes"/>
      </w:pPr>
      <w:r w:rsidRPr="00A419F8">
        <w:t xml:space="preserve">Pew Research Center. "Possible Negatives for Candidates: Vote for Bank Bailout, Palin Support." October 6, 2010. </w:t>
      </w:r>
      <w:hyperlink r:id="rId14" w:history="1">
        <w:r w:rsidRPr="00A419F8">
          <w:rPr>
            <w:rStyle w:val="Hyperlink"/>
          </w:rPr>
          <w:t>https://www.pewresearch.org/politics/2010/10/06/possible-negatives-for-candidates-vote-for-bank-bailout-palin-support/</w:t>
        </w:r>
      </w:hyperlink>
      <w:r w:rsidRPr="00A419F8">
        <w:t>.</w:t>
      </w:r>
    </w:p>
    <w:p w14:paraId="529FC49C" w14:textId="7BAEE77E" w:rsidR="00A419F8" w:rsidRDefault="00A419F8" w:rsidP="008C52D7">
      <w:pPr>
        <w:pStyle w:val="Endnotes"/>
      </w:pPr>
    </w:p>
  </w:endnote>
  <w:endnote w:id="13">
    <w:p w14:paraId="3D4642AC" w14:textId="77777777" w:rsidR="008C52D7" w:rsidRDefault="008C52D7" w:rsidP="008C52D7">
      <w:pPr>
        <w:pStyle w:val="Endnotes"/>
      </w:pPr>
      <w:r w:rsidRPr="008C52D7">
        <w:endnoteRef/>
      </w:r>
      <w:r w:rsidRPr="008C52D7">
        <w:t xml:space="preserve"> Developmental research treats self-regulation (the ability to manage attention, delay gratification, tolerate frustration, and match behavior to situational demands) as the central cognitive capacity children build during the preschool and early school years. The most rapid gains occur between ages three and five, and the capacity develops through repeated experience with environments that require it. When a child's environment does not require these responses, because outcomes are adjusted after the fact or because another party absorbs the cost of poor judgment, the underlying capacity does not develop on the same timeline. A 2021 study in the </w:t>
      </w:r>
      <w:r w:rsidRPr="008C52D7">
        <w:rPr>
          <w:i/>
          <w:iCs/>
        </w:rPr>
        <w:t>Journal of Family Psychology</w:t>
      </w:r>
      <w:r w:rsidRPr="008C52D7">
        <w:t xml:space="preserve"> found that parental over-engagement during early childhood predicted poorer self-regulation in kindergarten, providing direct empirical support for the mechanism this passage describes. Blair and Raver, summarizing the broader developmental psychobiological literature, describe self-regulation as the product of sustained interaction between biological predispositions and environmental demands rather than as a trait children either have or lack.</w:t>
      </w:r>
    </w:p>
    <w:p w14:paraId="17BAD438" w14:textId="77777777" w:rsidR="008C52D7" w:rsidRPr="008C52D7" w:rsidRDefault="008C52D7" w:rsidP="008C52D7">
      <w:pPr>
        <w:pStyle w:val="Endnotes"/>
      </w:pPr>
    </w:p>
    <w:p w14:paraId="4B78A03E" w14:textId="77777777" w:rsidR="008C52D7" w:rsidRPr="008C52D7" w:rsidRDefault="008C52D7" w:rsidP="008C52D7">
      <w:pPr>
        <w:pStyle w:val="Endnotes"/>
      </w:pPr>
      <w:r w:rsidRPr="008C52D7">
        <w:t xml:space="preserve">Blair, Clancy, and C. Cybele Raver. "School Readiness and Self-Regulation: A Developmental Psychobiological Approach." </w:t>
      </w:r>
      <w:r w:rsidRPr="008C52D7">
        <w:rPr>
          <w:i/>
          <w:iCs/>
        </w:rPr>
        <w:t>Annual Review of Psychology</w:t>
      </w:r>
      <w:r w:rsidRPr="008C52D7">
        <w:t xml:space="preserve"> 66 (2015): 711–731. </w:t>
      </w:r>
      <w:hyperlink r:id="rId15" w:history="1">
        <w:r w:rsidRPr="008C52D7">
          <w:rPr>
            <w:rStyle w:val="Hyperlink"/>
          </w:rPr>
          <w:t>https://pmc.ncbi.nlm.nih.gov/articles/PMC4682347/</w:t>
        </w:r>
      </w:hyperlink>
      <w:r w:rsidRPr="008C52D7">
        <w:t>.</w:t>
      </w:r>
    </w:p>
    <w:p w14:paraId="525C9777" w14:textId="77777777" w:rsidR="008C52D7" w:rsidRDefault="008C52D7" w:rsidP="008C52D7">
      <w:pPr>
        <w:pStyle w:val="Endnotes"/>
      </w:pPr>
    </w:p>
    <w:p w14:paraId="6DA8499B" w14:textId="756C2F39" w:rsidR="008C52D7" w:rsidRPr="008C52D7" w:rsidRDefault="008C52D7" w:rsidP="008C52D7">
      <w:pPr>
        <w:pStyle w:val="Endnotes"/>
      </w:pPr>
      <w:r w:rsidRPr="008C52D7">
        <w:t xml:space="preserve">Obradović, Jelena, Michael J. Sulik, and Anne Shaffer. "Learning to Let Go: Parental Over-Engagement Predicts Poorer Self-Regulation in Kindergartners." </w:t>
      </w:r>
      <w:r w:rsidRPr="008C52D7">
        <w:rPr>
          <w:i/>
          <w:iCs/>
        </w:rPr>
        <w:t>Journal of Family Psychology</w:t>
      </w:r>
      <w:r w:rsidRPr="008C52D7">
        <w:t xml:space="preserve"> 35, no. 8 (2021): 1160–1170.</w:t>
      </w:r>
    </w:p>
    <w:p w14:paraId="3353DB17" w14:textId="77777777" w:rsidR="008C52D7" w:rsidRDefault="008C52D7" w:rsidP="008C52D7">
      <w:pPr>
        <w:pStyle w:val="Endnotes"/>
      </w:pPr>
    </w:p>
    <w:p w14:paraId="6C1CAC67" w14:textId="452B9083" w:rsidR="008C52D7" w:rsidRPr="008C52D7" w:rsidRDefault="008C52D7" w:rsidP="008C52D7">
      <w:pPr>
        <w:pStyle w:val="Endnotes"/>
      </w:pPr>
      <w:r w:rsidRPr="008C52D7">
        <w:t xml:space="preserve">Tackett, Jennifer L. "Applied Implications of Understanding the Natural Development of Effortful Control." </w:t>
      </w:r>
      <w:r w:rsidRPr="008C52D7">
        <w:rPr>
          <w:i/>
          <w:iCs/>
        </w:rPr>
        <w:t>Current Directions in Psychological Science</w:t>
      </w:r>
      <w:r w:rsidRPr="008C52D7">
        <w:t xml:space="preserve"> 27, no. 5 (2018): 335–340. </w:t>
      </w:r>
      <w:hyperlink r:id="rId16" w:history="1">
        <w:r w:rsidRPr="008C52D7">
          <w:rPr>
            <w:rStyle w:val="Hyperlink"/>
          </w:rPr>
          <w:t>https://pmc.ncbi.nlm.nih.gov/articles/PMC6219622/</w:t>
        </w:r>
      </w:hyperlink>
      <w:r w:rsidRPr="008C52D7">
        <w:t>.</w:t>
      </w:r>
    </w:p>
    <w:p w14:paraId="61D7F6FB" w14:textId="230ED73E" w:rsidR="008C52D7" w:rsidRDefault="008C52D7" w:rsidP="008C52D7">
      <w:pPr>
        <w:pStyle w:val="Endnotes"/>
      </w:pPr>
    </w:p>
  </w:endnote>
  <w:endnote w:id="14">
    <w:p w14:paraId="1712E1DA" w14:textId="77777777" w:rsidR="008C52D7" w:rsidRDefault="008C52D7" w:rsidP="008C52D7">
      <w:pPr>
        <w:pStyle w:val="Endnotes"/>
      </w:pPr>
      <w:r w:rsidRPr="008C52D7">
        <w:endnoteRef/>
      </w:r>
      <w:r w:rsidRPr="008C52D7">
        <w:t xml:space="preserve"> The empirical literature on grade inflation supports the causal chain described in this passage. Rojstaczer and Healy's canonical analysis of American college and university grading from 1940 through 2009 documented a steady, multi-decade rise in average grades uncoupled from any corresponding rise in demonstrated achievement. Arum and Roksa's </w:t>
      </w:r>
      <w:r w:rsidRPr="008C52D7">
        <w:rPr>
          <w:i/>
          <w:iCs/>
        </w:rPr>
        <w:t>Academically Adrift</w:t>
      </w:r>
      <w:r w:rsidRPr="008C52D7">
        <w:t xml:space="preserve"> found that a substantial share of American undergraduates showed no statistically significant gain in critical thinking, complex reasoning, or written communication over their first two years of college, even as their grades rose. A 2026 study presented at the Harvard Graduate School of Education by economist Jeffrey Denning of the University of Texas at Austin, co-authored with researchers at RAND, the University of Maryland, and the University of Georgia, found that lenient grading produces measurably worse academic outcomes, lower employment prospects, and reduced future earnings, tracing what the authors described as a causal chain running from inflated grades through accumulated skill deficits to labor market consequences. A Swedish study examining grade inflation at the upper secondary level found that the effect on earnings operated mainly through the quality of the universities and fields students subsequently accessed, which suggests that the labor market is partially correcting for inflated credentials by pricing them less than non-inflated ones. The pattern documented across multiple national contexts is consistent with the mechanism this passage describes: softened academic consequences produce softer capacity, which the labor market eventually prices.</w:t>
      </w:r>
    </w:p>
    <w:p w14:paraId="6F86B8AE" w14:textId="77777777" w:rsidR="008C52D7" w:rsidRPr="008C52D7" w:rsidRDefault="008C52D7" w:rsidP="008C52D7">
      <w:pPr>
        <w:pStyle w:val="Endnotes"/>
      </w:pPr>
    </w:p>
    <w:p w14:paraId="4A6F2782" w14:textId="77777777" w:rsidR="008C52D7" w:rsidRPr="008C52D7" w:rsidRDefault="008C52D7" w:rsidP="008C52D7">
      <w:pPr>
        <w:pStyle w:val="Endnotes"/>
      </w:pPr>
      <w:r w:rsidRPr="008C52D7">
        <w:t xml:space="preserve">Arum, Richard, and Josipa Roksa. </w:t>
      </w:r>
      <w:r w:rsidRPr="008C52D7">
        <w:rPr>
          <w:i/>
          <w:iCs/>
        </w:rPr>
        <w:t>Academically Adrift: Limited Learning on College Campuses</w:t>
      </w:r>
      <w:r w:rsidRPr="008C52D7">
        <w:t>. Chicago: University of Chicago Press, 2011.</w:t>
      </w:r>
    </w:p>
    <w:p w14:paraId="10BF95B6" w14:textId="77777777" w:rsidR="008C52D7" w:rsidRDefault="008C52D7" w:rsidP="008C52D7">
      <w:pPr>
        <w:pStyle w:val="Endnotes"/>
      </w:pPr>
    </w:p>
    <w:p w14:paraId="254B92BA" w14:textId="1E67D769" w:rsidR="008C52D7" w:rsidRPr="008C52D7" w:rsidRDefault="008C52D7" w:rsidP="008C52D7">
      <w:pPr>
        <w:pStyle w:val="Endnotes"/>
      </w:pPr>
      <w:r w:rsidRPr="008C52D7">
        <w:t>Denning, Jeffrey T., Eric R. Eide, Kevin J. Mumford, Richard W. Patterson, and Merrill Warnick. "Easy A's and A-Ha! Moments: The Long-Term Effects of Grade Inflation." Working paper presented at the Harvard Graduate School of Education, February 2026.</w:t>
      </w:r>
    </w:p>
    <w:p w14:paraId="2DE5FE89" w14:textId="77777777" w:rsidR="008C52D7" w:rsidRDefault="008C52D7" w:rsidP="008C52D7">
      <w:pPr>
        <w:pStyle w:val="Endnotes"/>
      </w:pPr>
    </w:p>
    <w:p w14:paraId="5F489DA5" w14:textId="20DF344C" w:rsidR="008C52D7" w:rsidRPr="008C52D7" w:rsidRDefault="008C52D7" w:rsidP="008C52D7">
      <w:pPr>
        <w:pStyle w:val="Endnotes"/>
      </w:pPr>
      <w:r w:rsidRPr="008C52D7">
        <w:t xml:space="preserve">Lindahl, Erica, and Magnus Wikström. "The Impact of Grade Inflation on Higher Education Enrolment and Earnings." </w:t>
      </w:r>
      <w:r w:rsidRPr="008C52D7">
        <w:rPr>
          <w:i/>
          <w:iCs/>
        </w:rPr>
        <w:t>Economics of Education Review</w:t>
      </w:r>
      <w:r w:rsidRPr="008C52D7">
        <w:t xml:space="preserve"> 73 (December 2019). </w:t>
      </w:r>
      <w:hyperlink r:id="rId17" w:history="1">
        <w:r w:rsidRPr="008C52D7">
          <w:rPr>
            <w:rStyle w:val="Hyperlink"/>
          </w:rPr>
          <w:t>https://www.sciencedirect.com/science/article/abs/pii/S027277571930024X</w:t>
        </w:r>
      </w:hyperlink>
      <w:r w:rsidRPr="008C52D7">
        <w:t>.</w:t>
      </w:r>
    </w:p>
    <w:p w14:paraId="3DD6F61E" w14:textId="77777777" w:rsidR="008C52D7" w:rsidRDefault="008C52D7" w:rsidP="008C52D7">
      <w:pPr>
        <w:pStyle w:val="Endnotes"/>
      </w:pPr>
    </w:p>
    <w:p w14:paraId="7FD4A5FE" w14:textId="6B6286B6" w:rsidR="008C52D7" w:rsidRPr="008C52D7" w:rsidRDefault="008C52D7" w:rsidP="008C52D7">
      <w:pPr>
        <w:pStyle w:val="Endnotes"/>
      </w:pPr>
      <w:r w:rsidRPr="008C52D7">
        <w:t xml:space="preserve">Rojstaczer, Stuart, and Christopher Healy. "Where A Is Ordinary: The Evolution of American College and University Grading, 1940–2009." </w:t>
      </w:r>
      <w:r w:rsidRPr="008C52D7">
        <w:rPr>
          <w:i/>
          <w:iCs/>
        </w:rPr>
        <w:t>Teachers College Record</w:t>
      </w:r>
      <w:r w:rsidRPr="008C52D7">
        <w:t xml:space="preserve"> 114, no. 7 (2012): 1–23.</w:t>
      </w:r>
    </w:p>
    <w:p w14:paraId="3EEDAA05" w14:textId="1BF1066C" w:rsidR="008C52D7" w:rsidRDefault="008C52D7" w:rsidP="008C52D7">
      <w:pPr>
        <w:pStyle w:val="EndnoteText"/>
        <w:ind w:firstLine="0"/>
      </w:pPr>
    </w:p>
  </w:endnote>
  <w:endnote w:id="15">
    <w:p w14:paraId="5EA1D78E" w14:textId="77777777" w:rsidR="00EF4B36" w:rsidRPr="00EF4B36" w:rsidRDefault="00E25CED" w:rsidP="00EF4B36">
      <w:pPr>
        <w:spacing w:line="240" w:lineRule="auto"/>
        <w:ind w:firstLine="0"/>
        <w:rPr>
          <w:sz w:val="20"/>
          <w:szCs w:val="20"/>
        </w:rPr>
      </w:pPr>
      <w:r w:rsidRPr="00EF4B36">
        <w:rPr>
          <w:rStyle w:val="EndnotesChar"/>
        </w:rPr>
        <w:endnoteRef/>
      </w:r>
      <w:r w:rsidRPr="00EF4B36">
        <w:rPr>
          <w:rStyle w:val="EndnotesChar"/>
        </w:rPr>
        <w:t xml:space="preserve"> </w:t>
      </w:r>
      <w:r w:rsidR="00EF4B36" w:rsidRPr="00EF4B36">
        <w:rPr>
          <w:sz w:val="20"/>
          <w:szCs w:val="20"/>
        </w:rPr>
        <w:t>The Caring Campus initiative was created and is administered by the Institute for Evidence-Based Change, a nonprofit that coaches college faculty and staff on student-facing behavioral commitments designed to increase student connectedness and retention. As of 2025, IEBC reports more than 120 colleges in 21 states have adopted the program, a figure independently corroborated by the Community College Research Center at Teachers College, Columbia University, which confirmed adoption at over 100 institutions across 19 states in its May 2023 report and has produced four separate evaluations of the initiative since 2021. The Center for Community College Student Engagement at the University of Texas at Austin devoted its October 2025 national report to the framework, surveying more than 54,000 students at 127 community colleges. The Aspen Institute's College Excellence Program has described a culture of caring as a hallmark of excellent community colleges, and Amarillo College, which built its institutional identity around this framework, was named co-recipient of the 2023 Aspen Prize for Community College Excellence.</w:t>
      </w:r>
    </w:p>
    <w:p w14:paraId="4C04DCB7" w14:textId="77777777" w:rsidR="00EF4B36" w:rsidRDefault="00EF4B36" w:rsidP="00EF4B36">
      <w:pPr>
        <w:spacing w:line="240" w:lineRule="auto"/>
        <w:ind w:firstLine="0"/>
        <w:rPr>
          <w:sz w:val="20"/>
          <w:szCs w:val="20"/>
        </w:rPr>
      </w:pPr>
    </w:p>
    <w:p w14:paraId="01D748DE" w14:textId="48A70F5A" w:rsidR="00EF4B36" w:rsidRPr="00EF4B36" w:rsidRDefault="00EF4B36" w:rsidP="00EF4B36">
      <w:pPr>
        <w:spacing w:line="240" w:lineRule="auto"/>
        <w:ind w:firstLine="0"/>
        <w:rPr>
          <w:sz w:val="20"/>
          <w:szCs w:val="20"/>
        </w:rPr>
      </w:pPr>
      <w:r w:rsidRPr="00EF4B36">
        <w:rPr>
          <w:sz w:val="20"/>
          <w:szCs w:val="20"/>
        </w:rPr>
        <w:t xml:space="preserve">Aspen Institute College Excellence Program. "Making Success a Given for Students." May 18, 2021. </w:t>
      </w:r>
      <w:hyperlink r:id="rId18" w:history="1">
        <w:r w:rsidRPr="00EF4B36">
          <w:rPr>
            <w:rStyle w:val="Hyperlink"/>
            <w:sz w:val="20"/>
            <w:szCs w:val="20"/>
          </w:rPr>
          <w:t>https://highered.aspeninstitute.org/idea/making-success-a-given-for-students/</w:t>
        </w:r>
      </w:hyperlink>
      <w:r w:rsidRPr="00EF4B36">
        <w:rPr>
          <w:sz w:val="20"/>
          <w:szCs w:val="20"/>
        </w:rPr>
        <w:t>.</w:t>
      </w:r>
    </w:p>
    <w:p w14:paraId="68B6D21A" w14:textId="77777777" w:rsidR="00EF4B36" w:rsidRDefault="00EF4B36" w:rsidP="00EF4B36">
      <w:pPr>
        <w:spacing w:line="240" w:lineRule="auto"/>
        <w:ind w:firstLine="0"/>
        <w:rPr>
          <w:sz w:val="20"/>
          <w:szCs w:val="20"/>
        </w:rPr>
      </w:pPr>
    </w:p>
    <w:p w14:paraId="3B131DCD" w14:textId="1400407E" w:rsidR="00EF4B36" w:rsidRPr="00EF4B36" w:rsidRDefault="00EF4B36" w:rsidP="00EF4B36">
      <w:pPr>
        <w:spacing w:line="240" w:lineRule="auto"/>
        <w:ind w:firstLine="0"/>
        <w:rPr>
          <w:sz w:val="20"/>
          <w:szCs w:val="20"/>
        </w:rPr>
      </w:pPr>
      <w:r w:rsidRPr="00EF4B36">
        <w:rPr>
          <w:sz w:val="20"/>
          <w:szCs w:val="20"/>
        </w:rPr>
        <w:t xml:space="preserve">Barnett, Elizabeth A., Susan Bickerstaff, and Selena Cho. "Implementing Caring Campus: Strategies College Presidents Use to Improve Culture and Support Reform." Community College Research Center, Teachers College, Columbia University, May 2023. </w:t>
      </w:r>
      <w:hyperlink r:id="rId19" w:history="1">
        <w:r w:rsidRPr="00EF4B36">
          <w:rPr>
            <w:rStyle w:val="Hyperlink"/>
            <w:sz w:val="20"/>
            <w:szCs w:val="20"/>
          </w:rPr>
          <w:t>https://ccrc.tc.columbia.edu/wp-content/uploads/2023/05/implementing-caring-campus-strategies.pdf</w:t>
        </w:r>
      </w:hyperlink>
      <w:r w:rsidRPr="00EF4B36">
        <w:rPr>
          <w:sz w:val="20"/>
          <w:szCs w:val="20"/>
        </w:rPr>
        <w:t>.</w:t>
      </w:r>
    </w:p>
    <w:p w14:paraId="46909ED7" w14:textId="77777777" w:rsidR="00EF4B36" w:rsidRDefault="00EF4B36" w:rsidP="00EF4B36">
      <w:pPr>
        <w:spacing w:line="240" w:lineRule="auto"/>
        <w:ind w:firstLine="0"/>
        <w:rPr>
          <w:sz w:val="20"/>
          <w:szCs w:val="20"/>
        </w:rPr>
      </w:pPr>
    </w:p>
    <w:p w14:paraId="676B214E" w14:textId="749300BF" w:rsidR="00EF4B36" w:rsidRPr="00EF4B36" w:rsidRDefault="00EF4B36" w:rsidP="00EF4B36">
      <w:pPr>
        <w:spacing w:line="240" w:lineRule="auto"/>
        <w:ind w:firstLine="0"/>
        <w:rPr>
          <w:sz w:val="20"/>
          <w:szCs w:val="20"/>
        </w:rPr>
      </w:pPr>
      <w:r w:rsidRPr="00EF4B36">
        <w:rPr>
          <w:sz w:val="20"/>
          <w:szCs w:val="20"/>
        </w:rPr>
        <w:t xml:space="preserve">Center for Community College Student Engagement. </w:t>
      </w:r>
      <w:r w:rsidRPr="00EF4B36">
        <w:rPr>
          <w:i/>
          <w:iCs/>
          <w:sz w:val="20"/>
          <w:szCs w:val="20"/>
        </w:rPr>
        <w:t>Essential Conditions for Community College Student Success: Maximizing Student Engagement by Fostering a Culture of Caring</w:t>
      </w:r>
      <w:r w:rsidRPr="00EF4B36">
        <w:rPr>
          <w:sz w:val="20"/>
          <w:szCs w:val="20"/>
        </w:rPr>
        <w:t xml:space="preserve">. Austin: University of Texas at Austin, 2025. </w:t>
      </w:r>
      <w:hyperlink r:id="rId20" w:history="1">
        <w:r w:rsidRPr="00EF4B36">
          <w:rPr>
            <w:rStyle w:val="Hyperlink"/>
            <w:sz w:val="20"/>
            <w:szCs w:val="20"/>
          </w:rPr>
          <w:t>https://cccse.org/culture-of-caring</w:t>
        </w:r>
      </w:hyperlink>
      <w:r w:rsidRPr="00EF4B36">
        <w:rPr>
          <w:sz w:val="20"/>
          <w:szCs w:val="20"/>
        </w:rPr>
        <w:t>.</w:t>
      </w:r>
    </w:p>
    <w:p w14:paraId="53FB8E68" w14:textId="77777777" w:rsidR="00EF4B36" w:rsidRDefault="00EF4B36" w:rsidP="00EF4B36">
      <w:pPr>
        <w:spacing w:line="240" w:lineRule="auto"/>
        <w:ind w:firstLine="0"/>
        <w:rPr>
          <w:sz w:val="20"/>
          <w:szCs w:val="20"/>
        </w:rPr>
      </w:pPr>
    </w:p>
    <w:p w14:paraId="13E9AA65" w14:textId="4FFA64D8" w:rsidR="00EF4B36" w:rsidRPr="00EF4B36" w:rsidRDefault="00EF4B36" w:rsidP="00EF4B36">
      <w:pPr>
        <w:spacing w:line="240" w:lineRule="auto"/>
        <w:ind w:firstLine="0"/>
        <w:rPr>
          <w:sz w:val="20"/>
          <w:szCs w:val="20"/>
        </w:rPr>
      </w:pPr>
      <w:r w:rsidRPr="00EF4B36">
        <w:rPr>
          <w:sz w:val="20"/>
          <w:szCs w:val="20"/>
        </w:rPr>
        <w:t xml:space="preserve">Institute for Evidence-Based Change. "Caring Campus." Accessed February 16, 2026. </w:t>
      </w:r>
      <w:hyperlink r:id="rId21" w:history="1">
        <w:r w:rsidRPr="00EF4B36">
          <w:rPr>
            <w:rStyle w:val="Hyperlink"/>
            <w:sz w:val="20"/>
            <w:szCs w:val="20"/>
          </w:rPr>
          <w:t>https://iebcnow.org/caring-campus/</w:t>
        </w:r>
      </w:hyperlink>
      <w:r w:rsidRPr="00EF4B36">
        <w:rPr>
          <w:sz w:val="20"/>
          <w:szCs w:val="20"/>
        </w:rPr>
        <w:t>.</w:t>
      </w:r>
    </w:p>
    <w:p w14:paraId="05FC78C9" w14:textId="063A9E3D" w:rsidR="00E25CED" w:rsidRDefault="00E25CED" w:rsidP="00EF4B36">
      <w:pPr>
        <w:spacing w:line="240" w:lineRule="auto"/>
        <w:ind w:firstLine="0"/>
        <w:rPr>
          <w:color w:val="000000"/>
          <w:sz w:val="20"/>
          <w:szCs w:val="20"/>
        </w:rPr>
      </w:pPr>
    </w:p>
  </w:endnote>
  <w:endnote w:id="16">
    <w:p w14:paraId="41B263E7" w14:textId="514323CC" w:rsidR="00E25CED" w:rsidRDefault="00E25CED">
      <w:pPr>
        <w:spacing w:line="240" w:lineRule="auto"/>
        <w:ind w:firstLine="0"/>
        <w:rPr>
          <w:color w:val="000000"/>
          <w:sz w:val="20"/>
          <w:szCs w:val="20"/>
        </w:rPr>
      </w:pPr>
      <w:r w:rsidRPr="00EF4B36">
        <w:rPr>
          <w:rStyle w:val="EndnotesChar"/>
        </w:rPr>
        <w:endnoteRef/>
      </w:r>
      <w:r w:rsidRPr="00EF4B36">
        <w:rPr>
          <w:rStyle w:val="EndnotesChar"/>
        </w:rPr>
        <w:t xml:space="preserve"> The scope and growth of contingent faculty at community colleges is well documented across federal,</w:t>
      </w:r>
      <w:r>
        <w:rPr>
          <w:color w:val="000000"/>
          <w:sz w:val="20"/>
          <w:szCs w:val="20"/>
        </w:rPr>
        <w:t xml:space="preserve"> professional, and research sources. The U.S. Government Accountability Office reported in 2017 that contingent faculty filled approximately 70 percent of all postsecondary instructional positions nationwide, with two-year public institutions relying on them at even higher rates, and that from 1995 to 2011 the share of tenure-track positions fell from 42 percent to 28 percent while full-time contingent positions grew by 109 percent. The American Association of University Professors found that tenure-track positions at community colleges make up less than 20 percent of faculty, with the majority of full-time non-tenure-track community college faculty on annual contracts and 8 percent on contracts shorter than a year, noting that even indefinite contracts differ from tenure because they are </w:t>
      </w:r>
      <w:r w:rsidR="00463E2E">
        <w:rPr>
          <w:color w:val="000000"/>
          <w:sz w:val="20"/>
          <w:szCs w:val="20"/>
        </w:rPr>
        <w:t>"</w:t>
      </w:r>
      <w:r>
        <w:rPr>
          <w:color w:val="000000"/>
          <w:sz w:val="20"/>
          <w:szCs w:val="20"/>
        </w:rPr>
        <w:t>effectively at-will in many states.</w:t>
      </w:r>
      <w:r w:rsidR="00463E2E">
        <w:rPr>
          <w:color w:val="000000"/>
          <w:sz w:val="20"/>
          <w:szCs w:val="20"/>
        </w:rPr>
        <w:t>"</w:t>
      </w:r>
      <w:r>
        <w:rPr>
          <w:color w:val="000000"/>
          <w:sz w:val="20"/>
          <w:szCs w:val="20"/>
        </w:rPr>
        <w:t xml:space="preserve"> A 2025 CUPA-HR report found that adjuncts constitute 66 percent of the faculty workforce at associate's-degree-granting institutions, and that 70 percent of institutions cancel courses with low enrollment, leaving adjuncts without compensation for classes they were scheduled to teach. The Center for Community College Student Engagement reported that part-time contingent instructors teach 58 percent of all community college courses and more than half of community college students.</w:t>
      </w:r>
    </w:p>
    <w:p w14:paraId="73AF6730" w14:textId="77777777" w:rsidR="00E25CED" w:rsidRDefault="00E25CED">
      <w:pPr>
        <w:spacing w:line="240" w:lineRule="auto"/>
        <w:ind w:firstLine="0"/>
        <w:rPr>
          <w:color w:val="000000"/>
          <w:sz w:val="20"/>
          <w:szCs w:val="20"/>
        </w:rPr>
      </w:pPr>
    </w:p>
    <w:p w14:paraId="2B168736" w14:textId="77777777" w:rsidR="00E25CED" w:rsidRDefault="00E25CED">
      <w:pPr>
        <w:spacing w:line="240" w:lineRule="auto"/>
        <w:ind w:firstLine="0"/>
        <w:rPr>
          <w:color w:val="000000"/>
          <w:sz w:val="20"/>
          <w:szCs w:val="20"/>
        </w:rPr>
      </w:pPr>
      <w:r>
        <w:rPr>
          <w:color w:val="000000"/>
          <w:sz w:val="20"/>
          <w:szCs w:val="20"/>
        </w:rPr>
        <w:t xml:space="preserve">U.S. Government Accountability Office. Contingent Workforce: Size, Characteristics, Compensation, and Work Experiences of Adjunct and Other Non-Tenure-Track Faculty. GAO-18-49. Washington, DC: GAO, October 2017. </w:t>
      </w:r>
      <w:hyperlink r:id="rId22">
        <w:r>
          <w:rPr>
            <w:rStyle w:val="Hyperlink"/>
            <w:color w:val="467886"/>
            <w:sz w:val="20"/>
            <w:szCs w:val="20"/>
          </w:rPr>
          <w:t>https://www.gao.gov/products/gao-18-49</w:t>
        </w:r>
      </w:hyperlink>
      <w:r>
        <w:rPr>
          <w:color w:val="000000"/>
          <w:sz w:val="20"/>
          <w:szCs w:val="20"/>
        </w:rPr>
        <w:t>.</w:t>
      </w:r>
    </w:p>
    <w:p w14:paraId="1A4DF651" w14:textId="77777777" w:rsidR="00E25CED" w:rsidRDefault="00E25CED">
      <w:pPr>
        <w:spacing w:line="240" w:lineRule="auto"/>
        <w:ind w:firstLine="0"/>
        <w:rPr>
          <w:color w:val="000000"/>
          <w:sz w:val="20"/>
          <w:szCs w:val="20"/>
        </w:rPr>
      </w:pPr>
    </w:p>
    <w:p w14:paraId="3BEF30C8" w14:textId="6B20EB03" w:rsidR="00E25CED" w:rsidRDefault="00E25CED">
      <w:pPr>
        <w:spacing w:line="240" w:lineRule="auto"/>
        <w:ind w:firstLine="0"/>
        <w:rPr>
          <w:color w:val="000000"/>
          <w:sz w:val="20"/>
          <w:szCs w:val="20"/>
        </w:rPr>
      </w:pPr>
      <w:r>
        <w:rPr>
          <w:color w:val="000000"/>
          <w:sz w:val="20"/>
          <w:szCs w:val="20"/>
        </w:rPr>
        <w:t xml:space="preserve">American Association of University Professors. </w:t>
      </w:r>
      <w:r w:rsidR="00463E2E">
        <w:rPr>
          <w:color w:val="000000"/>
          <w:sz w:val="20"/>
          <w:szCs w:val="20"/>
        </w:rPr>
        <w:t>"</w:t>
      </w:r>
      <w:r>
        <w:rPr>
          <w:color w:val="000000"/>
          <w:sz w:val="20"/>
          <w:szCs w:val="20"/>
        </w:rPr>
        <w:t>Data Snapshot: Contingent Faculty in US Higher Ed.</w:t>
      </w:r>
      <w:r w:rsidR="00463E2E">
        <w:rPr>
          <w:color w:val="000000"/>
          <w:sz w:val="20"/>
          <w:szCs w:val="20"/>
        </w:rPr>
        <w:t>"</w:t>
      </w:r>
      <w:r>
        <w:rPr>
          <w:color w:val="000000"/>
          <w:sz w:val="20"/>
          <w:szCs w:val="20"/>
        </w:rPr>
        <w:t xml:space="preserve"> Washington, DC: AAUP, 2018. </w:t>
      </w:r>
      <w:hyperlink r:id="rId23">
        <w:r>
          <w:rPr>
            <w:rStyle w:val="Hyperlink"/>
            <w:color w:val="467886"/>
            <w:sz w:val="20"/>
            <w:szCs w:val="20"/>
          </w:rPr>
          <w:t>https://www.aaup.org/sites/default/files/10112018%20Data%20Snapshot%20Tenure.pdf</w:t>
        </w:r>
      </w:hyperlink>
      <w:r>
        <w:rPr>
          <w:color w:val="000000"/>
          <w:sz w:val="20"/>
          <w:szCs w:val="20"/>
        </w:rPr>
        <w:t>.</w:t>
      </w:r>
    </w:p>
    <w:p w14:paraId="622F3AB3" w14:textId="2981C5BE" w:rsidR="00E25CED" w:rsidRDefault="00E25CED">
      <w:pPr>
        <w:spacing w:line="240" w:lineRule="auto"/>
        <w:ind w:firstLine="0"/>
        <w:rPr>
          <w:color w:val="000000"/>
          <w:sz w:val="20"/>
          <w:szCs w:val="20"/>
        </w:rPr>
      </w:pPr>
      <w:r>
        <w:rPr>
          <w:color w:val="000000"/>
          <w:sz w:val="20"/>
          <w:szCs w:val="20"/>
        </w:rPr>
        <w:t xml:space="preserve">CUPA-HR. </w:t>
      </w:r>
      <w:r w:rsidR="00463E2E">
        <w:rPr>
          <w:color w:val="000000"/>
          <w:sz w:val="20"/>
          <w:szCs w:val="20"/>
        </w:rPr>
        <w:t>"</w:t>
      </w:r>
      <w:r>
        <w:rPr>
          <w:color w:val="000000"/>
          <w:sz w:val="20"/>
          <w:szCs w:val="20"/>
        </w:rPr>
        <w:t>Adjunct Faculty in the Higher Education Workforce.</w:t>
      </w:r>
      <w:r w:rsidR="00463E2E">
        <w:rPr>
          <w:color w:val="000000"/>
          <w:sz w:val="20"/>
          <w:szCs w:val="20"/>
        </w:rPr>
        <w:t>"</w:t>
      </w:r>
      <w:r>
        <w:rPr>
          <w:color w:val="000000"/>
          <w:sz w:val="20"/>
          <w:szCs w:val="20"/>
        </w:rPr>
        <w:t xml:space="preserve"> 2025. </w:t>
      </w:r>
      <w:hyperlink r:id="rId24">
        <w:r>
          <w:rPr>
            <w:rStyle w:val="Hyperlink"/>
            <w:color w:val="467886"/>
            <w:sz w:val="20"/>
            <w:szCs w:val="20"/>
          </w:rPr>
          <w:t>https://www.cupahr.org/resource/adjunct-faculty-in-the-higher-education-workforce/</w:t>
        </w:r>
      </w:hyperlink>
      <w:r>
        <w:rPr>
          <w:color w:val="000000"/>
          <w:sz w:val="20"/>
          <w:szCs w:val="20"/>
        </w:rPr>
        <w:t>.</w:t>
      </w:r>
    </w:p>
    <w:p w14:paraId="48EBE142" w14:textId="77777777" w:rsidR="00E25CED" w:rsidRDefault="00E25CED">
      <w:pPr>
        <w:spacing w:line="240" w:lineRule="auto"/>
        <w:ind w:firstLine="0"/>
        <w:rPr>
          <w:color w:val="000000"/>
          <w:sz w:val="20"/>
          <w:szCs w:val="20"/>
        </w:rPr>
      </w:pPr>
    </w:p>
    <w:p w14:paraId="1C2D80F6" w14:textId="77777777" w:rsidR="00E25CED" w:rsidRDefault="00E25CED">
      <w:pPr>
        <w:spacing w:line="240" w:lineRule="auto"/>
        <w:ind w:firstLine="0"/>
        <w:rPr>
          <w:color w:val="000000"/>
          <w:sz w:val="20"/>
          <w:szCs w:val="20"/>
        </w:rPr>
      </w:pPr>
      <w:r>
        <w:rPr>
          <w:color w:val="000000"/>
          <w:sz w:val="20"/>
          <w:szCs w:val="20"/>
        </w:rPr>
        <w:t xml:space="preserve">Center for Community College Student Engagement. Contingent Commitments: Bringing Part-Time Faculty into Focus. Austin: University of Texas at Austin, 2014. </w:t>
      </w:r>
      <w:hyperlink r:id="rId25">
        <w:r>
          <w:rPr>
            <w:rStyle w:val="Hyperlink"/>
            <w:color w:val="467886"/>
            <w:sz w:val="20"/>
            <w:szCs w:val="20"/>
          </w:rPr>
          <w:t>https://www.ccsse.org/docs/ptf_special_report.pdf</w:t>
        </w:r>
      </w:hyperlink>
      <w:r>
        <w:rPr>
          <w:color w:val="000000"/>
          <w:sz w:val="20"/>
          <w:szCs w:val="20"/>
        </w:rPr>
        <w:t>.</w:t>
      </w:r>
    </w:p>
    <w:p w14:paraId="18B92AFF" w14:textId="77777777" w:rsidR="00E25CED" w:rsidRDefault="00E25CED" w:rsidP="00086E1E">
      <w:pPr>
        <w:pStyle w:val="Endnotes"/>
      </w:pPr>
    </w:p>
  </w:endnote>
  <w:endnote w:id="17">
    <w:p w14:paraId="1E666EE8" w14:textId="77777777" w:rsidR="00A975B0" w:rsidRPr="00A975B0" w:rsidRDefault="00A975B0" w:rsidP="00A975B0">
      <w:pPr>
        <w:pStyle w:val="Endnotes"/>
      </w:pPr>
      <w:r w:rsidRPr="00424BB7">
        <w:endnoteRef/>
      </w:r>
      <w:r w:rsidRPr="00424BB7">
        <w:t xml:space="preserve"> Oregon's pre-reform Medicaid program covered roughly 240,000 people at full benefit levels while excluding an</w:t>
      </w:r>
      <w:r w:rsidRPr="00A975B0">
        <w:t xml:space="preserve"> estimated 120,000 low-income residents who fell outside the eligibility categories despite being below the federal poverty line. The exclusion was not deliberate policy. It was the residue of an eligibility framework built around categorical groups (children, pregnant women, the disabled, the elderly) that left working poor adults without dependents outside the program entirely. Oregon's reform replaced categorical eligibility with an income threshold and funded the expansion by capping the treatment list. The 1989 Senate Bill 27 authorized the redesign; the federal Section 1115 waiver required to implement it was approved in 1993, and the plan became operational in 1994. By 1997, the state's uninsured rate had fallen from 17 percent to 11 percent.</w:t>
      </w:r>
    </w:p>
    <w:p w14:paraId="15893F86" w14:textId="77777777" w:rsidR="00A975B0" w:rsidRDefault="00A975B0" w:rsidP="00A975B0">
      <w:pPr>
        <w:pStyle w:val="Endnotes"/>
      </w:pPr>
    </w:p>
    <w:p w14:paraId="5AB98775" w14:textId="1B5B383D" w:rsidR="00A975B0" w:rsidRPr="00A975B0" w:rsidRDefault="00A975B0" w:rsidP="00A975B0">
      <w:pPr>
        <w:pStyle w:val="Endnotes"/>
      </w:pPr>
      <w:r w:rsidRPr="00A975B0">
        <w:t xml:space="preserve">Oberlander, Jonathan. "Rationing Medical Care: Rhetoric and Reality in the Oregon Health Plan." </w:t>
      </w:r>
      <w:r w:rsidRPr="00A975B0">
        <w:rPr>
          <w:i/>
          <w:iCs/>
        </w:rPr>
        <w:t>Canadian Medical Association Journal</w:t>
      </w:r>
      <w:r w:rsidRPr="00A975B0">
        <w:t xml:space="preserve"> 164, no. 11 (2001): 1583–1587. </w:t>
      </w:r>
      <w:hyperlink r:id="rId26" w:history="1">
        <w:r w:rsidRPr="00A975B0">
          <w:rPr>
            <w:rStyle w:val="Hyperlink"/>
          </w:rPr>
          <w:t>https://pmc.ncbi.nlm.nih.gov/articles/PMC81116/</w:t>
        </w:r>
      </w:hyperlink>
      <w:r w:rsidRPr="00A975B0">
        <w:t>.</w:t>
      </w:r>
    </w:p>
    <w:p w14:paraId="3FD9A351" w14:textId="77777777" w:rsidR="00A975B0" w:rsidRDefault="00A975B0" w:rsidP="00A975B0">
      <w:pPr>
        <w:pStyle w:val="Endnotes"/>
      </w:pPr>
    </w:p>
    <w:p w14:paraId="1A8E70CB" w14:textId="64AF9AFC" w:rsidR="00A975B0" w:rsidRPr="00A975B0" w:rsidRDefault="00A975B0" w:rsidP="00A975B0">
      <w:pPr>
        <w:pStyle w:val="Endnotes"/>
      </w:pPr>
      <w:r w:rsidRPr="00A975B0">
        <w:t xml:space="preserve">Bodenheimer, Thomas. "The Oregon Health Plan: Lessons for the Nation." </w:t>
      </w:r>
      <w:r w:rsidRPr="00A975B0">
        <w:rPr>
          <w:i/>
          <w:iCs/>
        </w:rPr>
        <w:t>New England Journal of Medicine</w:t>
      </w:r>
      <w:r w:rsidRPr="00A975B0">
        <w:t xml:space="preserve"> 337, no. 9 (August 28, 1997): 651–656.</w:t>
      </w:r>
    </w:p>
    <w:p w14:paraId="3C74B77A" w14:textId="77777777" w:rsidR="00A975B0" w:rsidRDefault="00A975B0" w:rsidP="00A975B0">
      <w:pPr>
        <w:pStyle w:val="Endnotes"/>
      </w:pPr>
    </w:p>
    <w:p w14:paraId="6589D4B1" w14:textId="451B1EAD" w:rsidR="00A975B0" w:rsidRPr="00A975B0" w:rsidRDefault="00A975B0" w:rsidP="00A975B0">
      <w:pPr>
        <w:pStyle w:val="Endnotes"/>
      </w:pPr>
      <w:r w:rsidRPr="00A975B0">
        <w:t xml:space="preserve">Kitzhaber, John. "The Oregon Health Plan." John Kitzhaber (blog). </w:t>
      </w:r>
      <w:hyperlink r:id="rId27" w:history="1">
        <w:r w:rsidRPr="00A975B0">
          <w:rPr>
            <w:rStyle w:val="Hyperlink"/>
          </w:rPr>
          <w:t>https://blog.johnkitzhaber.com/the-oregon-health-plan/</w:t>
        </w:r>
      </w:hyperlink>
      <w:r w:rsidRPr="00A975B0">
        <w:t>.</w:t>
      </w:r>
    </w:p>
    <w:p w14:paraId="09D0BBBE" w14:textId="73B165EF" w:rsidR="00A975B0" w:rsidRDefault="00A975B0" w:rsidP="00A975B0">
      <w:pPr>
        <w:pStyle w:val="Endnotes"/>
      </w:pPr>
    </w:p>
  </w:endnote>
  <w:endnote w:id="18">
    <w:p w14:paraId="4BDD5045" w14:textId="77777777" w:rsidR="00424BB7" w:rsidRDefault="00E25CED" w:rsidP="00424BB7">
      <w:pPr>
        <w:spacing w:line="240" w:lineRule="auto"/>
        <w:ind w:firstLine="0"/>
        <w:rPr>
          <w:color w:val="000000"/>
          <w:sz w:val="20"/>
          <w:szCs w:val="20"/>
        </w:rPr>
      </w:pPr>
      <w:r w:rsidRPr="00424BB7">
        <w:rPr>
          <w:rStyle w:val="EndnotesChar"/>
        </w:rPr>
        <w:endnoteRef/>
      </w:r>
      <w:r w:rsidRPr="00424BB7">
        <w:rPr>
          <w:rStyle w:val="EndnotesChar"/>
        </w:rPr>
        <w:t xml:space="preserve"> </w:t>
      </w:r>
      <w:r w:rsidR="00424BB7" w:rsidRPr="00424BB7">
        <w:rPr>
          <w:rStyle w:val="EndnotesChar"/>
        </w:rPr>
        <w:t>Siebert's 2001 analysis introduced the cobra bounty into mainstream economics and gave the pattern its name.</w:t>
      </w:r>
      <w:r w:rsidR="00424BB7" w:rsidRPr="00424BB7">
        <w:rPr>
          <w:color w:val="000000"/>
          <w:sz w:val="20"/>
          <w:szCs w:val="20"/>
        </w:rPr>
        <w:t xml:space="preserve"> The Hanoi rat bounty is documented in French colonial municipal records.</w:t>
      </w:r>
    </w:p>
    <w:p w14:paraId="43F21F80" w14:textId="77777777" w:rsidR="00424BB7" w:rsidRPr="00424BB7" w:rsidRDefault="00424BB7" w:rsidP="00424BB7">
      <w:pPr>
        <w:spacing w:line="240" w:lineRule="auto"/>
        <w:ind w:firstLine="0"/>
        <w:rPr>
          <w:color w:val="000000"/>
          <w:sz w:val="20"/>
          <w:szCs w:val="20"/>
        </w:rPr>
      </w:pPr>
    </w:p>
    <w:p w14:paraId="045D475A" w14:textId="77777777" w:rsidR="00424BB7" w:rsidRPr="00424BB7" w:rsidRDefault="00424BB7" w:rsidP="00424BB7">
      <w:pPr>
        <w:spacing w:line="240" w:lineRule="auto"/>
        <w:ind w:firstLine="0"/>
        <w:rPr>
          <w:color w:val="000000"/>
          <w:sz w:val="20"/>
          <w:szCs w:val="20"/>
        </w:rPr>
      </w:pPr>
      <w:r w:rsidRPr="00424BB7">
        <w:rPr>
          <w:color w:val="000000"/>
          <w:sz w:val="20"/>
          <w:szCs w:val="20"/>
        </w:rPr>
        <w:t xml:space="preserve">Siebert, Horst. </w:t>
      </w:r>
      <w:r w:rsidRPr="00424BB7">
        <w:rPr>
          <w:i/>
          <w:iCs/>
          <w:color w:val="000000"/>
          <w:sz w:val="20"/>
          <w:szCs w:val="20"/>
        </w:rPr>
        <w:t>Der Kobra-Effekt: Wie man Irrwege der Wirtschaftspolitik vermeidet</w:t>
      </w:r>
      <w:r w:rsidRPr="00424BB7">
        <w:rPr>
          <w:color w:val="000000"/>
          <w:sz w:val="20"/>
          <w:szCs w:val="20"/>
        </w:rPr>
        <w:t>. Stuttgart: Deutsche Verlags-Anstalt, 2001.</w:t>
      </w:r>
    </w:p>
    <w:p w14:paraId="71CA7BB2" w14:textId="77777777" w:rsidR="00424BB7" w:rsidRDefault="00424BB7" w:rsidP="00424BB7">
      <w:pPr>
        <w:spacing w:line="240" w:lineRule="auto"/>
        <w:ind w:firstLine="0"/>
        <w:rPr>
          <w:color w:val="000000"/>
          <w:sz w:val="20"/>
          <w:szCs w:val="20"/>
        </w:rPr>
      </w:pPr>
    </w:p>
    <w:p w14:paraId="09870AD6" w14:textId="3AAF4A84" w:rsidR="00424BB7" w:rsidRPr="00424BB7" w:rsidRDefault="00424BB7" w:rsidP="00424BB7">
      <w:pPr>
        <w:spacing w:line="240" w:lineRule="auto"/>
        <w:ind w:firstLine="0"/>
        <w:rPr>
          <w:color w:val="000000"/>
          <w:sz w:val="20"/>
          <w:szCs w:val="20"/>
        </w:rPr>
      </w:pPr>
      <w:r w:rsidRPr="00424BB7">
        <w:rPr>
          <w:color w:val="000000"/>
          <w:sz w:val="20"/>
          <w:szCs w:val="20"/>
        </w:rPr>
        <w:t xml:space="preserve">Vann, Michael G. "Of Rats, Rice, and Race: The Great Hanoi Rat Massacre, an Episode in French Colonial History." </w:t>
      </w:r>
      <w:r w:rsidRPr="00424BB7">
        <w:rPr>
          <w:i/>
          <w:iCs/>
          <w:color w:val="000000"/>
          <w:sz w:val="20"/>
          <w:szCs w:val="20"/>
        </w:rPr>
        <w:t>French Colonial History</w:t>
      </w:r>
      <w:r w:rsidRPr="00424BB7">
        <w:rPr>
          <w:color w:val="000000"/>
          <w:sz w:val="20"/>
          <w:szCs w:val="20"/>
        </w:rPr>
        <w:t xml:space="preserve"> 4 (2003): 191–203.</w:t>
      </w:r>
    </w:p>
    <w:p w14:paraId="6102BB14" w14:textId="1CB75DA1" w:rsidR="00E25CED" w:rsidRDefault="00E25CED" w:rsidP="00424BB7">
      <w:pPr>
        <w:spacing w:line="240" w:lineRule="auto"/>
        <w:ind w:firstLine="0"/>
        <w:rPr>
          <w:color w:val="000000"/>
          <w:sz w:val="20"/>
          <w:szCs w:val="20"/>
        </w:rPr>
      </w:pPr>
    </w:p>
  </w:endnote>
  <w:endnote w:id="19">
    <w:p w14:paraId="4B92E09C" w14:textId="77777777" w:rsidR="00C229E9" w:rsidRPr="00C229E9" w:rsidRDefault="00E25CED" w:rsidP="00C229E9">
      <w:pPr>
        <w:spacing w:line="240" w:lineRule="auto"/>
        <w:ind w:firstLine="0"/>
        <w:rPr>
          <w:color w:val="000000"/>
          <w:sz w:val="20"/>
          <w:szCs w:val="20"/>
        </w:rPr>
      </w:pPr>
      <w:r w:rsidRPr="008E161E">
        <w:rPr>
          <w:rStyle w:val="EndnotesChar"/>
        </w:rPr>
        <w:endnoteRef/>
      </w:r>
      <w:r w:rsidRPr="008E161E">
        <w:rPr>
          <w:rStyle w:val="EndnotesChar"/>
        </w:rPr>
        <w:t xml:space="preserve"> </w:t>
      </w:r>
      <w:r w:rsidR="00C229E9" w:rsidRPr="008E161E">
        <w:rPr>
          <w:rStyle w:val="EndnotesChar"/>
        </w:rPr>
        <w:t>The senators' warnings and Treasury Secretary Mnuchin's dismissal are documented in contemporaneous</w:t>
      </w:r>
      <w:r w:rsidR="00C229E9" w:rsidRPr="00C229E9">
        <w:rPr>
          <w:color w:val="000000"/>
          <w:sz w:val="20"/>
          <w:szCs w:val="20"/>
        </w:rPr>
        <w:t xml:space="preserve"> reporting from March 2020. The Boston Globe editorial board and economist Heidi Shierholz of the Economic Policy Institute exemplify the pattern of recasting the behavioral prediction in moral terms.</w:t>
      </w:r>
    </w:p>
    <w:p w14:paraId="7FDD52BA" w14:textId="5CBFA84C" w:rsidR="00E25CED" w:rsidRDefault="00E25CED">
      <w:pPr>
        <w:spacing w:line="240" w:lineRule="auto"/>
        <w:ind w:firstLine="0"/>
        <w:rPr>
          <w:color w:val="000000"/>
          <w:sz w:val="20"/>
          <w:szCs w:val="20"/>
        </w:rPr>
      </w:pPr>
    </w:p>
    <w:p w14:paraId="68BB9338" w14:textId="27802EE1" w:rsidR="00E25CED" w:rsidRDefault="00463E2E">
      <w:pPr>
        <w:spacing w:line="240" w:lineRule="auto"/>
        <w:ind w:firstLine="0"/>
        <w:rPr>
          <w:color w:val="000000"/>
          <w:sz w:val="20"/>
          <w:szCs w:val="20"/>
        </w:rPr>
      </w:pPr>
      <w:r>
        <w:rPr>
          <w:color w:val="000000"/>
          <w:sz w:val="20"/>
          <w:szCs w:val="20"/>
        </w:rPr>
        <w:t>"</w:t>
      </w:r>
      <w:r w:rsidR="00E25CED">
        <w:rPr>
          <w:color w:val="000000"/>
          <w:sz w:val="20"/>
          <w:szCs w:val="20"/>
        </w:rPr>
        <w:t>Senators Threaten to Delay Coronavirus Relief Bill with Last-Minute Objections.</w:t>
      </w:r>
      <w:r>
        <w:rPr>
          <w:color w:val="000000"/>
          <w:sz w:val="20"/>
          <w:szCs w:val="20"/>
        </w:rPr>
        <w:t>"</w:t>
      </w:r>
      <w:r w:rsidR="00E25CED">
        <w:rPr>
          <w:color w:val="000000"/>
          <w:sz w:val="20"/>
          <w:szCs w:val="20"/>
        </w:rPr>
        <w:t xml:space="preserve"> Axios, March 25, 2020. </w:t>
      </w:r>
      <w:hyperlink r:id="rId28">
        <w:r w:rsidR="00E25CED">
          <w:rPr>
            <w:rStyle w:val="Hyperlink"/>
            <w:color w:val="467886"/>
            <w:sz w:val="20"/>
            <w:szCs w:val="20"/>
          </w:rPr>
          <w:t>https://www.axios.com/coronavirus-relief-bill-lindsey-graham-bernie-sanders-619d2d7e-fea5-4884-ae48-a80fcb029e40</w:t>
        </w:r>
      </w:hyperlink>
      <w:r w:rsidR="00E25CED">
        <w:rPr>
          <w:color w:val="000000"/>
          <w:sz w:val="20"/>
          <w:szCs w:val="20"/>
        </w:rPr>
        <w:t>.</w:t>
      </w:r>
    </w:p>
    <w:p w14:paraId="7F0BA9AD" w14:textId="77777777" w:rsidR="00E25CED" w:rsidRDefault="00E25CED">
      <w:pPr>
        <w:spacing w:line="240" w:lineRule="auto"/>
        <w:ind w:firstLine="0"/>
        <w:rPr>
          <w:color w:val="000000"/>
          <w:sz w:val="20"/>
          <w:szCs w:val="20"/>
        </w:rPr>
      </w:pPr>
    </w:p>
    <w:p w14:paraId="7D7945FC" w14:textId="5B0B7780" w:rsidR="00E25CED" w:rsidRDefault="00463E2E">
      <w:pPr>
        <w:spacing w:line="240" w:lineRule="auto"/>
        <w:ind w:firstLine="0"/>
        <w:rPr>
          <w:color w:val="000000"/>
          <w:sz w:val="20"/>
          <w:szCs w:val="20"/>
        </w:rPr>
      </w:pPr>
      <w:r>
        <w:rPr>
          <w:color w:val="000000"/>
          <w:sz w:val="20"/>
          <w:szCs w:val="20"/>
        </w:rPr>
        <w:t>"</w:t>
      </w:r>
      <w:r w:rsidR="00E25CED">
        <w:rPr>
          <w:color w:val="000000"/>
          <w:sz w:val="20"/>
          <w:szCs w:val="20"/>
        </w:rPr>
        <w:t>Senate Coronavirus Stimulus Passage Likely Despite Jobless Benefits Dispute.</w:t>
      </w:r>
      <w:r>
        <w:rPr>
          <w:color w:val="000000"/>
          <w:sz w:val="20"/>
          <w:szCs w:val="20"/>
        </w:rPr>
        <w:t>"</w:t>
      </w:r>
      <w:r w:rsidR="00E25CED">
        <w:rPr>
          <w:color w:val="000000"/>
          <w:sz w:val="20"/>
          <w:szCs w:val="20"/>
        </w:rPr>
        <w:t xml:space="preserve"> Roll Call, March 26, 2020. </w:t>
      </w:r>
      <w:hyperlink r:id="rId29">
        <w:r w:rsidR="00E25CED">
          <w:rPr>
            <w:rStyle w:val="Hyperlink"/>
            <w:color w:val="467886"/>
            <w:sz w:val="20"/>
            <w:szCs w:val="20"/>
          </w:rPr>
          <w:t>https://rollcall.com/2020/03/25/gop-senators-drop-unemployment-objection-as-senate-vote-nears/</w:t>
        </w:r>
      </w:hyperlink>
      <w:r w:rsidR="00E25CED">
        <w:rPr>
          <w:color w:val="000000"/>
          <w:sz w:val="20"/>
          <w:szCs w:val="20"/>
        </w:rPr>
        <w:t>.</w:t>
      </w:r>
    </w:p>
    <w:p w14:paraId="307EC35E" w14:textId="77777777" w:rsidR="00E25CED" w:rsidRDefault="00E25CED">
      <w:pPr>
        <w:spacing w:line="240" w:lineRule="auto"/>
        <w:ind w:firstLine="0"/>
        <w:rPr>
          <w:color w:val="000000"/>
          <w:sz w:val="20"/>
          <w:szCs w:val="20"/>
        </w:rPr>
      </w:pPr>
    </w:p>
    <w:p w14:paraId="0A19B981" w14:textId="71DC7CE1" w:rsidR="00E25CED" w:rsidRDefault="00E25CED">
      <w:pPr>
        <w:spacing w:line="240" w:lineRule="auto"/>
        <w:ind w:firstLine="0"/>
        <w:rPr>
          <w:color w:val="000000"/>
          <w:sz w:val="20"/>
          <w:szCs w:val="20"/>
        </w:rPr>
      </w:pPr>
      <w:r>
        <w:rPr>
          <w:color w:val="000000"/>
          <w:sz w:val="20"/>
          <w:szCs w:val="20"/>
        </w:rPr>
        <w:t xml:space="preserve">Graham, Lindsey. </w:t>
      </w:r>
      <w:r w:rsidR="00463E2E">
        <w:rPr>
          <w:color w:val="000000"/>
          <w:sz w:val="20"/>
          <w:szCs w:val="20"/>
        </w:rPr>
        <w:t>"</w:t>
      </w:r>
      <w:r>
        <w:rPr>
          <w:color w:val="000000"/>
          <w:sz w:val="20"/>
          <w:szCs w:val="20"/>
        </w:rPr>
        <w:t>Graham Supports CARES Act, Plans to Revisit Unemployment Provision.</w:t>
      </w:r>
      <w:r w:rsidR="00463E2E">
        <w:rPr>
          <w:color w:val="000000"/>
          <w:sz w:val="20"/>
          <w:szCs w:val="20"/>
        </w:rPr>
        <w:t>"</w:t>
      </w:r>
      <w:r>
        <w:rPr>
          <w:color w:val="000000"/>
          <w:sz w:val="20"/>
          <w:szCs w:val="20"/>
        </w:rPr>
        <w:t xml:space="preserve"> Press release, Office of Senator Lindsey Graham, March 2020. </w:t>
      </w:r>
      <w:hyperlink r:id="rId30">
        <w:r>
          <w:rPr>
            <w:rStyle w:val="Hyperlink"/>
            <w:color w:val="467886"/>
            <w:sz w:val="20"/>
            <w:szCs w:val="20"/>
          </w:rPr>
          <w:t>https://www.lgraham.senate.gov/public/index.cfm/2020/3/graham-supports-cares-act-plans-to-revisit-unemployment-provision</w:t>
        </w:r>
      </w:hyperlink>
      <w:r>
        <w:rPr>
          <w:color w:val="000000"/>
          <w:sz w:val="20"/>
          <w:szCs w:val="20"/>
        </w:rPr>
        <w:t>.</w:t>
      </w:r>
    </w:p>
    <w:p w14:paraId="17EE40DD" w14:textId="77777777" w:rsidR="00E25CED" w:rsidRDefault="00E25CED">
      <w:pPr>
        <w:spacing w:line="240" w:lineRule="auto"/>
        <w:ind w:firstLine="0"/>
        <w:rPr>
          <w:color w:val="000000"/>
          <w:sz w:val="20"/>
          <w:szCs w:val="20"/>
        </w:rPr>
      </w:pPr>
    </w:p>
    <w:p w14:paraId="2A3B1E33" w14:textId="1AD1D3C0" w:rsidR="00E25CED" w:rsidRDefault="00463E2E">
      <w:pPr>
        <w:spacing w:line="240" w:lineRule="auto"/>
        <w:ind w:firstLine="0"/>
        <w:rPr>
          <w:color w:val="000000"/>
          <w:sz w:val="20"/>
          <w:szCs w:val="20"/>
        </w:rPr>
      </w:pPr>
      <w:r>
        <w:rPr>
          <w:color w:val="000000"/>
          <w:sz w:val="20"/>
          <w:szCs w:val="20"/>
        </w:rPr>
        <w:t>"</w:t>
      </w:r>
      <w:r w:rsidR="00E25CED">
        <w:rPr>
          <w:color w:val="000000"/>
          <w:sz w:val="20"/>
          <w:szCs w:val="20"/>
        </w:rPr>
        <w:t>No, Unemployment Benefits Do Not Discourage Work.</w:t>
      </w:r>
      <w:r>
        <w:rPr>
          <w:color w:val="000000"/>
          <w:sz w:val="20"/>
          <w:szCs w:val="20"/>
        </w:rPr>
        <w:t>"</w:t>
      </w:r>
      <w:r w:rsidR="00E25CED">
        <w:rPr>
          <w:color w:val="000000"/>
          <w:sz w:val="20"/>
          <w:szCs w:val="20"/>
        </w:rPr>
        <w:t xml:space="preserve"> Boston Globe, July 29, 2020. </w:t>
      </w:r>
      <w:hyperlink r:id="rId31">
        <w:r w:rsidR="00E25CED">
          <w:rPr>
            <w:rStyle w:val="Hyperlink"/>
            <w:color w:val="467886"/>
            <w:sz w:val="20"/>
            <w:szCs w:val="20"/>
          </w:rPr>
          <w:t>https://www.bostonglobe.com/2020/07/29/opinion/no-unemployment-benefits-do-not-discourage-work/</w:t>
        </w:r>
      </w:hyperlink>
      <w:r w:rsidR="00E25CED">
        <w:rPr>
          <w:color w:val="000000"/>
          <w:sz w:val="20"/>
          <w:szCs w:val="20"/>
        </w:rPr>
        <w:t>.</w:t>
      </w:r>
    </w:p>
    <w:p w14:paraId="3902620B" w14:textId="77777777" w:rsidR="00E25CED" w:rsidRDefault="00E25CED">
      <w:pPr>
        <w:spacing w:line="240" w:lineRule="auto"/>
        <w:ind w:firstLine="0"/>
        <w:rPr>
          <w:color w:val="000000"/>
          <w:sz w:val="20"/>
          <w:szCs w:val="20"/>
        </w:rPr>
      </w:pPr>
    </w:p>
    <w:p w14:paraId="2B781FD5" w14:textId="07992C1D" w:rsidR="00E25CED" w:rsidRDefault="00E25CED">
      <w:pPr>
        <w:spacing w:line="240" w:lineRule="auto"/>
        <w:ind w:firstLine="0"/>
        <w:rPr>
          <w:color w:val="000000"/>
          <w:sz w:val="20"/>
          <w:szCs w:val="20"/>
        </w:rPr>
      </w:pPr>
      <w:r>
        <w:rPr>
          <w:color w:val="000000"/>
          <w:sz w:val="20"/>
          <w:szCs w:val="20"/>
        </w:rPr>
        <w:t xml:space="preserve">Shierholz, Heidi. </w:t>
      </w:r>
      <w:r w:rsidR="00463E2E">
        <w:rPr>
          <w:color w:val="000000"/>
          <w:sz w:val="20"/>
          <w:szCs w:val="20"/>
        </w:rPr>
        <w:t>"</w:t>
      </w:r>
      <w:r>
        <w:rPr>
          <w:color w:val="000000"/>
          <w:sz w:val="20"/>
          <w:szCs w:val="20"/>
        </w:rPr>
        <w:t>Joblessness Remains at Historic Levels and There Is No Evidence UI Is Disincentivizing Work.</w:t>
      </w:r>
      <w:r w:rsidR="00463E2E">
        <w:rPr>
          <w:color w:val="000000"/>
          <w:sz w:val="20"/>
          <w:szCs w:val="20"/>
        </w:rPr>
        <w:t>"</w:t>
      </w:r>
      <w:r>
        <w:rPr>
          <w:color w:val="000000"/>
          <w:sz w:val="20"/>
          <w:szCs w:val="20"/>
        </w:rPr>
        <w:t xml:space="preserve"> Economic Policy Institute, July 23, 2020. </w:t>
      </w:r>
      <w:hyperlink r:id="rId32">
        <w:r>
          <w:rPr>
            <w:rStyle w:val="Hyperlink"/>
            <w:color w:val="467886"/>
            <w:sz w:val="20"/>
            <w:szCs w:val="20"/>
          </w:rPr>
          <w:t>https://www.epi.org/blog/joblessness-remains-at-historic-levels-and-there-is-no-evidence-ui-is-disincentivizing-work-congress-must-extend-the-extra-600-in-ui-benefits/</w:t>
        </w:r>
      </w:hyperlink>
      <w:r>
        <w:rPr>
          <w:color w:val="000000"/>
          <w:sz w:val="20"/>
          <w:szCs w:val="20"/>
        </w:rPr>
        <w:t>.</w:t>
      </w:r>
    </w:p>
    <w:p w14:paraId="3A69EE12" w14:textId="77777777" w:rsidR="00E25CED" w:rsidRDefault="00E25CED">
      <w:pPr>
        <w:spacing w:line="240" w:lineRule="auto"/>
        <w:ind w:firstLine="0"/>
        <w:rPr>
          <w:color w:val="000000"/>
          <w:sz w:val="20"/>
          <w:szCs w:val="20"/>
        </w:rPr>
      </w:pPr>
    </w:p>
  </w:endnote>
  <w:endnote w:id="20">
    <w:p w14:paraId="7A5791E9" w14:textId="77777777" w:rsidR="008E161E" w:rsidRDefault="008E161E" w:rsidP="008E161E">
      <w:pPr>
        <w:spacing w:line="240" w:lineRule="auto"/>
        <w:ind w:firstLine="0"/>
        <w:rPr>
          <w:color w:val="000000"/>
          <w:sz w:val="20"/>
          <w:szCs w:val="20"/>
        </w:rPr>
      </w:pPr>
      <w:r w:rsidRPr="005239C5">
        <w:rPr>
          <w:rStyle w:val="EndnotesChar"/>
        </w:rPr>
        <w:endnoteRef/>
      </w:r>
      <w:r w:rsidRPr="005239C5">
        <w:rPr>
          <w:rStyle w:val="EndnotesChar"/>
        </w:rPr>
        <w:t xml:space="preserve"> Earlier studies conducted during the pandemic's peak had found minimal employment effects, but those studies</w:t>
      </w:r>
      <w:r>
        <w:rPr>
          <w:color w:val="000000"/>
          <w:sz w:val="20"/>
          <w:szCs w:val="20"/>
        </w:rPr>
        <w:t xml:space="preserve"> measured behavior during a period when jobs were scarce and health risks were severe. Those studies answered a different question than whether generous benefits affect employment decisions when jobs are available. The 2021 state-level expirations created a cleaner natural experiment: comparable populations, identical economic conditions, divergent policies. The results confirmed measurable employment effects.</w:t>
      </w:r>
    </w:p>
    <w:p w14:paraId="0C85839F" w14:textId="77777777" w:rsidR="008E161E" w:rsidRDefault="008E161E" w:rsidP="008E161E">
      <w:pPr>
        <w:spacing w:line="240" w:lineRule="auto"/>
        <w:ind w:firstLine="0"/>
        <w:rPr>
          <w:color w:val="000000"/>
          <w:sz w:val="20"/>
          <w:szCs w:val="20"/>
        </w:rPr>
      </w:pPr>
    </w:p>
    <w:p w14:paraId="7917147E" w14:textId="77777777" w:rsidR="008E161E" w:rsidRDefault="008E161E" w:rsidP="008E161E">
      <w:pPr>
        <w:spacing w:line="240" w:lineRule="auto"/>
        <w:ind w:firstLine="0"/>
        <w:rPr>
          <w:color w:val="000000"/>
          <w:sz w:val="20"/>
          <w:szCs w:val="20"/>
        </w:rPr>
      </w:pPr>
      <w:r>
        <w:rPr>
          <w:color w:val="000000"/>
          <w:sz w:val="20"/>
          <w:szCs w:val="20"/>
        </w:rPr>
        <w:t>Holzer, Harry J., R. Glenn Hubbard, and Michael R. Strain. "Did Pandemic Unemployment Benefits Reduce Employment? Evidence from Early State-Level Expirations in June 2021." NBER Working Paper no. 29575, December 2021. </w:t>
      </w:r>
      <w:hyperlink r:id="rId33">
        <w:r>
          <w:rPr>
            <w:rStyle w:val="Hyperlink"/>
            <w:color w:val="467886"/>
            <w:sz w:val="20"/>
            <w:szCs w:val="20"/>
          </w:rPr>
          <w:t>https://www.nber.org/digest/202202/covid-19-unemployment-benefits-slowed-return-work</w:t>
        </w:r>
      </w:hyperlink>
      <w:r>
        <w:rPr>
          <w:color w:val="000000"/>
          <w:sz w:val="20"/>
          <w:szCs w:val="20"/>
        </w:rPr>
        <w:t>.</w:t>
      </w:r>
    </w:p>
    <w:p w14:paraId="057A2CA6" w14:textId="77777777" w:rsidR="008E161E" w:rsidRDefault="008E161E" w:rsidP="008E161E">
      <w:pPr>
        <w:spacing w:line="240" w:lineRule="auto"/>
        <w:ind w:firstLine="0"/>
        <w:rPr>
          <w:color w:val="000000"/>
          <w:sz w:val="20"/>
          <w:szCs w:val="20"/>
        </w:rPr>
      </w:pPr>
    </w:p>
    <w:p w14:paraId="3B0F8DFC" w14:textId="77777777" w:rsidR="008E161E" w:rsidRDefault="008E161E" w:rsidP="008E161E">
      <w:pPr>
        <w:spacing w:line="240" w:lineRule="auto"/>
        <w:ind w:firstLine="0"/>
        <w:rPr>
          <w:color w:val="000000"/>
          <w:sz w:val="20"/>
          <w:szCs w:val="20"/>
        </w:rPr>
      </w:pPr>
      <w:r>
        <w:rPr>
          <w:color w:val="000000"/>
          <w:sz w:val="20"/>
          <w:szCs w:val="20"/>
        </w:rPr>
        <w:t>Marinescu, Ioana, Daphne Skandalis, and Daniel Zhao. "The Impact of the Federal Pandemic Unemployment Compensation on Job Search and Vacancy Creation." Journal of Public Economics 200 (2021). </w:t>
      </w:r>
      <w:hyperlink r:id="rId34">
        <w:r>
          <w:rPr>
            <w:rStyle w:val="Hyperlink"/>
            <w:color w:val="467886"/>
            <w:sz w:val="20"/>
            <w:szCs w:val="20"/>
          </w:rPr>
          <w:t>https://pmc.ncbi.nlm.nih.gov/articles/PMC9753141/</w:t>
        </w:r>
      </w:hyperlink>
      <w:r>
        <w:rPr>
          <w:color w:val="000000"/>
          <w:sz w:val="20"/>
          <w:szCs w:val="20"/>
        </w:rPr>
        <w:t>.</w:t>
      </w:r>
    </w:p>
    <w:p w14:paraId="5EC6C06E" w14:textId="77777777" w:rsidR="008E161E" w:rsidRDefault="008E161E" w:rsidP="005239C5">
      <w:pPr>
        <w:pStyle w:val="Endnotes"/>
      </w:pPr>
    </w:p>
  </w:endnote>
  <w:endnote w:id="21">
    <w:p w14:paraId="25F2818F" w14:textId="77777777" w:rsidR="005239C5" w:rsidRDefault="005239C5" w:rsidP="005239C5">
      <w:pPr>
        <w:pStyle w:val="Endnotes"/>
      </w:pPr>
      <w:r w:rsidRPr="005239C5">
        <w:endnoteRef/>
      </w:r>
      <w:r w:rsidRPr="005239C5">
        <w:t xml:space="preserve"> The phenomenon has a name in policy literature: the benefits cliff. The Atlanta Fed's Career Ladder Identifier and Financial Forecaster (CLIFF) tool models these dynamics across all 50 states and finds the pattern is structural rather than DC-specific, though magnitudes vary substantially by state and household composition. The cliff is not a flaw in any single program. It is the cumulative result of separate programs (housing, food, childcare, healthcare, tax credits) each phasing out independently as income rises, with no mechanism coordinating the combined effect. No designer set out to produce a 100-percent marginal tax rate. Each program's phase-out, viewed in isolation, looks reasonable. The compound effect is what produces the cliff.</w:t>
      </w:r>
    </w:p>
    <w:p w14:paraId="7696A62A" w14:textId="77777777" w:rsidR="005239C5" w:rsidRPr="005239C5" w:rsidRDefault="005239C5" w:rsidP="005239C5">
      <w:pPr>
        <w:pStyle w:val="Endnotes"/>
      </w:pPr>
    </w:p>
    <w:p w14:paraId="6361108E" w14:textId="77777777" w:rsidR="005239C5" w:rsidRPr="005239C5" w:rsidRDefault="005239C5" w:rsidP="005239C5">
      <w:pPr>
        <w:pStyle w:val="Endnotes"/>
      </w:pPr>
      <w:r w:rsidRPr="005239C5">
        <w:t xml:space="preserve">Congressional Budget Office. </w:t>
      </w:r>
      <w:r w:rsidRPr="005239C5">
        <w:rPr>
          <w:i/>
          <w:iCs/>
        </w:rPr>
        <w:t>Effective Marginal Tax Rates for Low- and Moderate-Income Workers in 2016</w:t>
      </w:r>
      <w:r w:rsidRPr="005239C5">
        <w:t xml:space="preserve">. Washington, DC: Congressional Budget Office, November 2015. </w:t>
      </w:r>
      <w:hyperlink r:id="rId35" w:history="1">
        <w:r w:rsidRPr="005239C5">
          <w:rPr>
            <w:rStyle w:val="Hyperlink"/>
          </w:rPr>
          <w:t>https://www.cbo.gov/publication/50923</w:t>
        </w:r>
      </w:hyperlink>
      <w:r w:rsidRPr="005239C5">
        <w:t>.</w:t>
      </w:r>
    </w:p>
    <w:p w14:paraId="7A9AF252" w14:textId="77777777" w:rsidR="005239C5" w:rsidRDefault="005239C5" w:rsidP="005239C5">
      <w:pPr>
        <w:pStyle w:val="Endnotes"/>
      </w:pPr>
    </w:p>
    <w:p w14:paraId="1DC50DFA" w14:textId="0C7188D4" w:rsidR="005239C5" w:rsidRPr="005239C5" w:rsidRDefault="005239C5" w:rsidP="005239C5">
      <w:pPr>
        <w:pStyle w:val="Endnotes"/>
      </w:pPr>
      <w:r w:rsidRPr="005239C5">
        <w:t xml:space="preserve">Ilin, Elias, and Alvaro Sanchez. </w:t>
      </w:r>
      <w:r w:rsidRPr="005239C5">
        <w:rPr>
          <w:i/>
          <w:iCs/>
        </w:rPr>
        <w:t>Mitigating Benefits Cliffs for Low-Income Families: District of Columbia Career Mobility Action Plan as a Case Study</w:t>
      </w:r>
      <w:r w:rsidRPr="005239C5">
        <w:t xml:space="preserve">. Community &amp; Economic Development Discussion Paper No. 01-23. Atlanta: Federal Reserve Bank of Atlanta, September 2023. </w:t>
      </w:r>
      <w:hyperlink r:id="rId36" w:history="1">
        <w:r w:rsidRPr="005239C5">
          <w:rPr>
            <w:rStyle w:val="Hyperlink"/>
          </w:rPr>
          <w:t>https://www.atlantafed.org/-/media/Project/Atlanta/FRBA/Documents/research/publication/discussion-paper/2023/09/26/01-a-case-study-mitigating-benefits-cliffs-in-the-district-of-columbia.pdf</w:t>
        </w:r>
      </w:hyperlink>
      <w:r w:rsidRPr="005239C5">
        <w:t>.</w:t>
      </w:r>
    </w:p>
    <w:p w14:paraId="6AA447C7" w14:textId="77777777" w:rsidR="005239C5" w:rsidRDefault="005239C5" w:rsidP="005239C5">
      <w:pPr>
        <w:pStyle w:val="Endnotes"/>
      </w:pPr>
    </w:p>
    <w:p w14:paraId="2BB5E2FF" w14:textId="254F34AB" w:rsidR="005239C5" w:rsidRPr="005239C5" w:rsidRDefault="005239C5" w:rsidP="005239C5">
      <w:pPr>
        <w:pStyle w:val="Endnotes"/>
      </w:pPr>
      <w:r w:rsidRPr="005239C5">
        <w:t xml:space="preserve">Maag, Elaine, C. Eugene Steuerle, Ritadhi Chakravarti, and Caleb Quakenbush. "How Marginal Tax Rates Affect Families at Various Levels of Poverty." </w:t>
      </w:r>
      <w:r w:rsidRPr="005239C5">
        <w:rPr>
          <w:i/>
          <w:iCs/>
        </w:rPr>
        <w:t>National Tax Journal</w:t>
      </w:r>
      <w:r w:rsidRPr="005239C5">
        <w:t xml:space="preserve"> 65, no. 4 (December 2012): 759–782.</w:t>
      </w:r>
    </w:p>
    <w:p w14:paraId="51608163" w14:textId="77777777" w:rsidR="005239C5" w:rsidRDefault="005239C5" w:rsidP="005239C5">
      <w:pPr>
        <w:pStyle w:val="Endnotes"/>
      </w:pPr>
    </w:p>
    <w:p w14:paraId="7BD22CCC" w14:textId="3B629E52" w:rsidR="005239C5" w:rsidRPr="005239C5" w:rsidRDefault="005239C5" w:rsidP="005239C5">
      <w:pPr>
        <w:pStyle w:val="Endnotes"/>
      </w:pPr>
      <w:r w:rsidRPr="005239C5">
        <w:t xml:space="preserve">Romich, Jennifer L., Sarah Gais, and Heather D. Hill. "The Welfare Cliff Effect: Pitfalls of the Patchwork U.S. Safety Net for Workers Earning Wage Increases." </w:t>
      </w:r>
      <w:r w:rsidRPr="005239C5">
        <w:rPr>
          <w:i/>
          <w:iCs/>
        </w:rPr>
        <w:t>RSF: The Russell Sage Foundation Journal of the Social Sciences</w:t>
      </w:r>
      <w:r w:rsidRPr="005239C5">
        <w:t xml:space="preserve"> 9, no. 5 (October 2023): 134–157.</w:t>
      </w:r>
    </w:p>
    <w:p w14:paraId="1A6FBCC2" w14:textId="490D77FC" w:rsidR="005239C5" w:rsidRDefault="005239C5" w:rsidP="00755582">
      <w:pPr>
        <w:pStyle w:val="Endnotes"/>
      </w:pPr>
    </w:p>
  </w:endnote>
  <w:endnote w:id="22">
    <w:p w14:paraId="53D83A08" w14:textId="77777777" w:rsidR="00755582" w:rsidRDefault="00755582" w:rsidP="00755582">
      <w:pPr>
        <w:pStyle w:val="Endnotes"/>
      </w:pPr>
      <w:r w:rsidRPr="00E8240A">
        <w:endnoteRef/>
      </w:r>
      <w:r w:rsidRPr="00E8240A">
        <w:t xml:space="preserve"> The Washington University study surveyed a nationally representative sample of low-wage workers enrolled in</w:t>
      </w:r>
      <w:r w:rsidRPr="00755582">
        <w:t xml:space="preserve"> public benefits programs and found that 21.8 percent had taken at least one cliff-avoidance action in the prior year, including turning down raises, refusing additional hours, declining job offers, and keeping savings below program asset limits. The Sutherland Institute survey of Utah safety-net participants produced a higher state-specific figure of 43 percent, suggesting that benefit-design specifics at the state level can produce substantially different behavioral responses to the same underlying dynamic.</w:t>
      </w:r>
    </w:p>
    <w:p w14:paraId="77AD6566" w14:textId="77777777" w:rsidR="00755582" w:rsidRPr="00755582" w:rsidRDefault="00755582" w:rsidP="00755582">
      <w:pPr>
        <w:pStyle w:val="Endnotes"/>
      </w:pPr>
    </w:p>
    <w:p w14:paraId="29371AC7" w14:textId="77777777" w:rsidR="00755582" w:rsidRPr="00755582" w:rsidRDefault="00755582" w:rsidP="00755582">
      <w:pPr>
        <w:pStyle w:val="Endnotes"/>
      </w:pPr>
      <w:r w:rsidRPr="00755582">
        <w:t xml:space="preserve">Roll, Stephen, Selina Miller, and Mathieu Despard. </w:t>
      </w:r>
      <w:r w:rsidRPr="00755582">
        <w:rPr>
          <w:i/>
          <w:iCs/>
        </w:rPr>
        <w:t>The Impact of Benefits Cliffs and Asset Limits on Low-Wage Workers: New Evidence from a Nationally Representative Survey</w:t>
      </w:r>
      <w:r w:rsidRPr="00755582">
        <w:t xml:space="preserve">. CSD Research Brief No. 25-07. St. Louis: Washington University, Center for Social Development, May 2025. </w:t>
      </w:r>
      <w:hyperlink r:id="rId37" w:history="1">
        <w:r w:rsidRPr="00755582">
          <w:rPr>
            <w:rStyle w:val="Hyperlink"/>
          </w:rPr>
          <w:t>https://doi.org/10.7936/5ykn-5z34</w:t>
        </w:r>
      </w:hyperlink>
      <w:r w:rsidRPr="00755582">
        <w:t>.</w:t>
      </w:r>
    </w:p>
    <w:p w14:paraId="7A4DA5B9" w14:textId="77777777" w:rsidR="00755582" w:rsidRDefault="00755582" w:rsidP="00755582">
      <w:pPr>
        <w:pStyle w:val="Endnotes"/>
      </w:pPr>
    </w:p>
    <w:p w14:paraId="420AFDEA" w14:textId="5217E8DF" w:rsidR="00755582" w:rsidRPr="00755582" w:rsidRDefault="00755582" w:rsidP="00755582">
      <w:pPr>
        <w:pStyle w:val="Endnotes"/>
      </w:pPr>
      <w:r w:rsidRPr="00755582">
        <w:t xml:space="preserve">Sutherland Institute. </w:t>
      </w:r>
      <w:r w:rsidRPr="00755582">
        <w:rPr>
          <w:i/>
          <w:iCs/>
        </w:rPr>
        <w:t>Strengthening the American Dream: Addressing Benefits Cliffs to Empower Safety Net Participants to Pursue Work and Opportunity</w:t>
      </w:r>
      <w:r w:rsidRPr="00755582">
        <w:t xml:space="preserve">. Salt Lake City: Sutherland Institute, November 2024. </w:t>
      </w:r>
      <w:hyperlink r:id="rId38" w:history="1">
        <w:r w:rsidRPr="00755582">
          <w:rPr>
            <w:rStyle w:val="Hyperlink"/>
          </w:rPr>
          <w:t>https://sutherlandinstitute.org/publications/strengthening-the-american-dream/</w:t>
        </w:r>
      </w:hyperlink>
      <w:r w:rsidRPr="00755582">
        <w:t>.</w:t>
      </w:r>
    </w:p>
    <w:p w14:paraId="7B6297B8" w14:textId="3ABBC7A2" w:rsidR="00755582" w:rsidRDefault="00755582">
      <w:pPr>
        <w:pStyle w:val="EndnoteText"/>
      </w:pPr>
    </w:p>
  </w:endnote>
  <w:endnote w:id="23">
    <w:p w14:paraId="2FE2EDB4" w14:textId="77777777" w:rsidR="00E8240A" w:rsidRDefault="00E8240A" w:rsidP="00E8240A">
      <w:pPr>
        <w:spacing w:line="240" w:lineRule="auto"/>
        <w:ind w:firstLine="0"/>
        <w:rPr>
          <w:color w:val="000000"/>
          <w:sz w:val="20"/>
          <w:szCs w:val="20"/>
        </w:rPr>
      </w:pPr>
      <w:r w:rsidRPr="00E8240A">
        <w:rPr>
          <w:rStyle w:val="EndnotesChar"/>
        </w:rPr>
        <w:endnoteRef/>
      </w:r>
      <w:r w:rsidRPr="00E8240A">
        <w:rPr>
          <w:rStyle w:val="EndnotesChar"/>
        </w:rPr>
        <w:t xml:space="preserve"> The disconnect between economic consensus and political rhetoric on rent control provides a stark example of the</w:t>
      </w:r>
      <w:r>
        <w:rPr>
          <w:color w:val="000000"/>
          <w:sz w:val="20"/>
          <w:szCs w:val="20"/>
        </w:rPr>
        <w:t xml:space="preserve"> "moral dismissal" dynamic. While rigorous economic analyses, such as the landmark 2019 study of San Francisco by Diamond, McQuade, and Qian, consistently find that rent control reduces the rental housing supply (by 15 percent in their findings) and drives up market rents, political discourse frequently rejects these structural mechanisms as illegitimate. Advocacy groups like </w:t>
      </w:r>
      <w:r>
        <w:rPr>
          <w:i/>
          <w:iCs/>
          <w:color w:val="000000"/>
          <w:sz w:val="20"/>
          <w:szCs w:val="20"/>
        </w:rPr>
        <w:t>Housing Is A Human Right</w:t>
      </w:r>
      <w:r>
        <w:rPr>
          <w:color w:val="000000"/>
          <w:sz w:val="20"/>
          <w:szCs w:val="20"/>
        </w:rPr>
        <w:t xml:space="preserve"> explicitly categorize these economic findings as "misinformation" and "fearmongering," labeling the Diamond study a "flawed analysis . . . by Wall Street for Wall Street." Similarly, figures like Elizabeth Warren frame the crisis as a product of "greedy corporate landlords," effectively treating supply-side constraints as corporate talking points rather than valid economic realities.</w:t>
      </w:r>
    </w:p>
    <w:p w14:paraId="2FC5E257" w14:textId="77777777" w:rsidR="00E8240A" w:rsidRDefault="00E8240A" w:rsidP="00E8240A">
      <w:pPr>
        <w:spacing w:line="240" w:lineRule="auto"/>
        <w:ind w:firstLine="0"/>
        <w:rPr>
          <w:b/>
          <w:bCs/>
          <w:color w:val="000000"/>
          <w:sz w:val="20"/>
          <w:szCs w:val="20"/>
        </w:rPr>
      </w:pPr>
    </w:p>
    <w:p w14:paraId="5588F62D" w14:textId="77777777" w:rsidR="00E8240A" w:rsidRDefault="00E8240A" w:rsidP="00E8240A">
      <w:pPr>
        <w:spacing w:line="240" w:lineRule="auto"/>
        <w:ind w:firstLine="0"/>
        <w:rPr>
          <w:color w:val="000000"/>
          <w:sz w:val="20"/>
          <w:szCs w:val="20"/>
        </w:rPr>
      </w:pPr>
      <w:r>
        <w:rPr>
          <w:color w:val="000000"/>
          <w:sz w:val="20"/>
          <w:szCs w:val="20"/>
        </w:rPr>
        <w:t xml:space="preserve">Diamond, Rebecca, Tim McQuade, and Franklin Qian. "The Effects of Rent Control Expansion on Tenants, Landlords, and Inequality: Evidence from San Francisco." </w:t>
      </w:r>
      <w:r>
        <w:rPr>
          <w:i/>
          <w:iCs/>
          <w:color w:val="000000"/>
          <w:sz w:val="20"/>
          <w:szCs w:val="20"/>
        </w:rPr>
        <w:t>American Economic Review</w:t>
      </w:r>
      <w:r>
        <w:rPr>
          <w:color w:val="000000"/>
          <w:sz w:val="20"/>
          <w:szCs w:val="20"/>
        </w:rPr>
        <w:t xml:space="preserve"> 109, no. 9 (2019): 3365–3394.</w:t>
      </w:r>
    </w:p>
    <w:p w14:paraId="0258FCA2" w14:textId="77777777" w:rsidR="00E8240A" w:rsidRDefault="00E8240A" w:rsidP="00E8240A">
      <w:pPr>
        <w:spacing w:line="240" w:lineRule="auto"/>
        <w:ind w:firstLine="0"/>
        <w:rPr>
          <w:color w:val="000000"/>
          <w:sz w:val="20"/>
          <w:szCs w:val="20"/>
        </w:rPr>
      </w:pPr>
    </w:p>
    <w:p w14:paraId="2AE095FD" w14:textId="77777777" w:rsidR="00E8240A" w:rsidRDefault="00E8240A" w:rsidP="00E8240A">
      <w:pPr>
        <w:spacing w:line="240" w:lineRule="auto"/>
        <w:ind w:firstLine="0"/>
        <w:rPr>
          <w:color w:val="000000"/>
          <w:sz w:val="20"/>
          <w:szCs w:val="20"/>
        </w:rPr>
      </w:pPr>
      <w:r>
        <w:rPr>
          <w:color w:val="000000"/>
          <w:sz w:val="20"/>
          <w:szCs w:val="20"/>
        </w:rPr>
        <w:t xml:space="preserve">Housing Is A Human Right. "The Diamond-McQuade Study on Rent Control: A Flawed Analysis of S.F. Rent Control by Wall Street for Wall Street." </w:t>
      </w:r>
      <w:r>
        <w:rPr>
          <w:i/>
          <w:iCs/>
          <w:color w:val="000000"/>
          <w:sz w:val="20"/>
          <w:szCs w:val="20"/>
        </w:rPr>
        <w:t>Housing Is A Human Right</w:t>
      </w:r>
      <w:r>
        <w:rPr>
          <w:color w:val="000000"/>
          <w:sz w:val="20"/>
          <w:szCs w:val="20"/>
        </w:rPr>
        <w:t xml:space="preserve">, November 2018. </w:t>
      </w:r>
      <w:hyperlink r:id="rId39">
        <w:r>
          <w:rPr>
            <w:rStyle w:val="Hyperlink"/>
            <w:color w:val="467886"/>
            <w:sz w:val="20"/>
            <w:szCs w:val="20"/>
          </w:rPr>
          <w:t>http://www.housingisahumanright.org/wp-content/uploads/2018/11/Diamond-McQuade-EXECUTIVE-SUMMARY.pdf</w:t>
        </w:r>
      </w:hyperlink>
      <w:r>
        <w:rPr>
          <w:color w:val="000000"/>
          <w:sz w:val="20"/>
          <w:szCs w:val="20"/>
        </w:rPr>
        <w:t>.</w:t>
      </w:r>
    </w:p>
    <w:p w14:paraId="04E6DB2A" w14:textId="77777777" w:rsidR="00E8240A" w:rsidRDefault="00E8240A" w:rsidP="00E8240A">
      <w:pPr>
        <w:spacing w:line="240" w:lineRule="auto"/>
        <w:ind w:firstLine="0"/>
        <w:rPr>
          <w:color w:val="000000"/>
          <w:sz w:val="20"/>
          <w:szCs w:val="20"/>
        </w:rPr>
      </w:pPr>
    </w:p>
    <w:p w14:paraId="277292FB" w14:textId="77777777" w:rsidR="00E8240A" w:rsidRDefault="00E8240A" w:rsidP="00E8240A">
      <w:pPr>
        <w:spacing w:line="240" w:lineRule="auto"/>
        <w:ind w:firstLine="0"/>
        <w:rPr>
          <w:color w:val="000000"/>
          <w:sz w:val="20"/>
          <w:szCs w:val="20"/>
        </w:rPr>
      </w:pPr>
      <w:r>
        <w:rPr>
          <w:color w:val="000000"/>
          <w:sz w:val="20"/>
          <w:szCs w:val="20"/>
        </w:rPr>
        <w:t xml:space="preserve">Schuetz, Jenny. "What Does Economic Evidence Tell Us About the Effects of Rent Control?" </w:t>
      </w:r>
      <w:r>
        <w:rPr>
          <w:i/>
          <w:iCs/>
          <w:color w:val="000000"/>
          <w:sz w:val="20"/>
          <w:szCs w:val="20"/>
        </w:rPr>
        <w:t>Brookings Institution</w:t>
      </w:r>
      <w:r>
        <w:rPr>
          <w:color w:val="000000"/>
          <w:sz w:val="20"/>
          <w:szCs w:val="20"/>
        </w:rPr>
        <w:t xml:space="preserve">, October 18, 2018. </w:t>
      </w:r>
      <w:hyperlink r:id="rId40">
        <w:r>
          <w:rPr>
            <w:rStyle w:val="Hyperlink"/>
            <w:color w:val="467886"/>
            <w:sz w:val="20"/>
            <w:szCs w:val="20"/>
          </w:rPr>
          <w:t>https://www.brookings.edu/articles/what-does-economic-evidence-tell-us-about-the-effects-of-rent-control/</w:t>
        </w:r>
      </w:hyperlink>
      <w:r>
        <w:rPr>
          <w:color w:val="000000"/>
          <w:sz w:val="20"/>
          <w:szCs w:val="20"/>
        </w:rPr>
        <w:t>.</w:t>
      </w:r>
    </w:p>
    <w:p w14:paraId="717D6DEA" w14:textId="77777777" w:rsidR="00E8240A" w:rsidRDefault="00E8240A" w:rsidP="00E8240A">
      <w:pPr>
        <w:spacing w:line="240" w:lineRule="auto"/>
        <w:ind w:firstLine="0"/>
        <w:rPr>
          <w:color w:val="000000"/>
          <w:sz w:val="20"/>
          <w:szCs w:val="20"/>
        </w:rPr>
      </w:pPr>
    </w:p>
    <w:p w14:paraId="73EE95D4" w14:textId="77777777" w:rsidR="00E8240A" w:rsidRDefault="00E8240A" w:rsidP="00E8240A">
      <w:pPr>
        <w:spacing w:line="240" w:lineRule="auto"/>
        <w:ind w:firstLine="0"/>
        <w:rPr>
          <w:color w:val="000000"/>
          <w:sz w:val="20"/>
          <w:szCs w:val="20"/>
        </w:rPr>
      </w:pPr>
      <w:r>
        <w:rPr>
          <w:color w:val="000000"/>
          <w:sz w:val="20"/>
          <w:szCs w:val="20"/>
        </w:rPr>
        <w:t xml:space="preserve">Warren, Elizabeth. "Greedy Corporate Landlords Contributing To Housing Crisis." </w:t>
      </w:r>
      <w:r>
        <w:rPr>
          <w:i/>
          <w:iCs/>
          <w:color w:val="000000"/>
          <w:sz w:val="20"/>
          <w:szCs w:val="20"/>
        </w:rPr>
        <w:t>Forbes Breaking News</w:t>
      </w:r>
      <w:r>
        <w:rPr>
          <w:color w:val="000000"/>
          <w:sz w:val="20"/>
          <w:szCs w:val="20"/>
        </w:rPr>
        <w:t>, February 12, 2023. Video, 5:04. https://www.youtube.com/watch?v=VgKCRvj-eEA.</w:t>
      </w:r>
    </w:p>
    <w:p w14:paraId="22F6CE8B" w14:textId="77777777" w:rsidR="00E8240A" w:rsidRDefault="00E8240A" w:rsidP="00E8240A">
      <w:pPr>
        <w:spacing w:line="240" w:lineRule="auto"/>
        <w:ind w:firstLine="0"/>
        <w:rPr>
          <w:color w:val="000000"/>
          <w:sz w:val="20"/>
          <w:szCs w:val="20"/>
        </w:rPr>
      </w:pPr>
    </w:p>
  </w:endnote>
  <w:endnote w:id="24">
    <w:p w14:paraId="715E6CF4" w14:textId="51C88224" w:rsidR="00E8240A" w:rsidRDefault="00E8240A" w:rsidP="00E8240A">
      <w:pPr>
        <w:spacing w:line="240" w:lineRule="auto"/>
        <w:ind w:firstLine="0"/>
        <w:rPr>
          <w:color w:val="000000"/>
          <w:sz w:val="20"/>
          <w:szCs w:val="20"/>
        </w:rPr>
      </w:pPr>
      <w:r w:rsidRPr="00E8240A">
        <w:rPr>
          <w:rStyle w:val="EndnotesChar"/>
        </w:rPr>
        <w:endnoteRef/>
      </w:r>
      <w:r w:rsidRPr="00E8240A">
        <w:rPr>
          <w:rStyle w:val="EndnotesChar"/>
        </w:rPr>
        <w:t xml:space="preserve"> The minimum wage debate frequently mirrors the "moral dismissal" pattern seen in rent control, where empirical</w:t>
      </w:r>
      <w:r>
        <w:rPr>
          <w:color w:val="000000"/>
          <w:sz w:val="20"/>
          <w:szCs w:val="20"/>
        </w:rPr>
        <w:t xml:space="preserve"> projections of job losses are rejected as ideological fiction. When the nonpartisan Congressional Budget Office (CBO) estimated that a $15 federal minimum wage would cost 1.4 million jobs, and NBER researchers found that California's $20 fast-food wage floor eliminated approximately 18,000 jobs, political proponents did not merely dispute the methodology but characterized the findings as illegitimate. California Governor Gavin Newsom's office explicitly dismissed the NBER study as "false or misleading" propaganda linked to the "Hoover Institution," while commentators like Owen Jones frame the link between wage floors and inflation not as an economic tradeoff, but as a "dangerous rightwing myth" designed to shield corporate greed.</w:t>
      </w:r>
    </w:p>
    <w:p w14:paraId="4E86D143" w14:textId="77777777" w:rsidR="00E8240A" w:rsidRDefault="00E8240A" w:rsidP="00E8240A">
      <w:pPr>
        <w:spacing w:line="240" w:lineRule="auto"/>
        <w:ind w:firstLine="0"/>
        <w:rPr>
          <w:b/>
          <w:bCs/>
          <w:color w:val="000000"/>
          <w:sz w:val="20"/>
          <w:szCs w:val="20"/>
        </w:rPr>
      </w:pPr>
    </w:p>
    <w:p w14:paraId="2516E4AA" w14:textId="77777777" w:rsidR="00E8240A" w:rsidRDefault="00E8240A" w:rsidP="00E8240A">
      <w:pPr>
        <w:spacing w:line="240" w:lineRule="auto"/>
        <w:ind w:firstLine="0"/>
        <w:rPr>
          <w:color w:val="000000"/>
          <w:sz w:val="20"/>
          <w:szCs w:val="20"/>
        </w:rPr>
      </w:pPr>
      <w:r>
        <w:rPr>
          <w:color w:val="000000"/>
          <w:sz w:val="20"/>
          <w:szCs w:val="20"/>
        </w:rPr>
        <w:t xml:space="preserve">Clemens, Jeffrey, and Michael R. Strain. "The Employment Effects of Minimum Wages." </w:t>
      </w:r>
      <w:r>
        <w:rPr>
          <w:i/>
          <w:iCs/>
          <w:color w:val="000000"/>
          <w:sz w:val="20"/>
          <w:szCs w:val="20"/>
        </w:rPr>
        <w:t>American Enterprise Institute</w:t>
      </w:r>
      <w:r>
        <w:rPr>
          <w:color w:val="000000"/>
          <w:sz w:val="20"/>
          <w:szCs w:val="20"/>
        </w:rPr>
        <w:t>, 2021.</w:t>
      </w:r>
    </w:p>
    <w:p w14:paraId="7A4F01C1" w14:textId="77777777" w:rsidR="00E8240A" w:rsidRDefault="00E8240A" w:rsidP="00E8240A">
      <w:pPr>
        <w:spacing w:line="240" w:lineRule="auto"/>
        <w:ind w:firstLine="0"/>
        <w:rPr>
          <w:color w:val="000000"/>
          <w:sz w:val="20"/>
          <w:szCs w:val="20"/>
        </w:rPr>
      </w:pPr>
    </w:p>
    <w:p w14:paraId="44034B90" w14:textId="77777777" w:rsidR="00E8240A" w:rsidRDefault="00E8240A" w:rsidP="00E8240A">
      <w:pPr>
        <w:spacing w:line="240" w:lineRule="auto"/>
        <w:ind w:firstLine="0"/>
        <w:rPr>
          <w:color w:val="000000"/>
          <w:sz w:val="20"/>
          <w:szCs w:val="20"/>
        </w:rPr>
      </w:pPr>
      <w:r>
        <w:rPr>
          <w:color w:val="000000"/>
          <w:sz w:val="20"/>
          <w:szCs w:val="20"/>
        </w:rPr>
        <w:t xml:space="preserve">Congressional Budget Office. </w:t>
      </w:r>
      <w:r>
        <w:rPr>
          <w:i/>
          <w:iCs/>
          <w:color w:val="000000"/>
          <w:sz w:val="20"/>
          <w:szCs w:val="20"/>
        </w:rPr>
        <w:t>The Budgetary Effects of the Raise the Wage Act of 2021</w:t>
      </w:r>
      <w:r>
        <w:rPr>
          <w:color w:val="000000"/>
          <w:sz w:val="20"/>
          <w:szCs w:val="20"/>
        </w:rPr>
        <w:t>. Washington, D.C.: Congressional Budget Office, February 2021.</w:t>
      </w:r>
    </w:p>
    <w:p w14:paraId="4D76B64B" w14:textId="77777777" w:rsidR="00E8240A" w:rsidRDefault="00E8240A" w:rsidP="00E8240A">
      <w:pPr>
        <w:spacing w:line="240" w:lineRule="auto"/>
        <w:ind w:firstLine="0"/>
        <w:rPr>
          <w:color w:val="000000"/>
          <w:sz w:val="20"/>
          <w:szCs w:val="20"/>
        </w:rPr>
      </w:pPr>
    </w:p>
    <w:p w14:paraId="5E3C330F" w14:textId="77777777" w:rsidR="00E8240A" w:rsidRDefault="00E8240A" w:rsidP="00E8240A">
      <w:pPr>
        <w:spacing w:line="240" w:lineRule="auto"/>
        <w:ind w:firstLine="0"/>
        <w:rPr>
          <w:color w:val="000000"/>
          <w:sz w:val="20"/>
          <w:szCs w:val="20"/>
        </w:rPr>
      </w:pPr>
      <w:r>
        <w:rPr>
          <w:color w:val="000000"/>
          <w:sz w:val="20"/>
          <w:szCs w:val="20"/>
        </w:rPr>
        <w:t xml:space="preserve">Henderson, Edward. "California Fast Food Wage Hike Sparks Job Loss Debate." </w:t>
      </w:r>
      <w:r>
        <w:rPr>
          <w:i/>
          <w:iCs/>
          <w:color w:val="000000"/>
          <w:sz w:val="20"/>
          <w:szCs w:val="20"/>
        </w:rPr>
        <w:t>The Sacramento Observer</w:t>
      </w:r>
      <w:r>
        <w:rPr>
          <w:color w:val="000000"/>
          <w:sz w:val="20"/>
          <w:szCs w:val="20"/>
        </w:rPr>
        <w:t xml:space="preserve">, August 14, 2025. </w:t>
      </w:r>
      <w:hyperlink r:id="rId41">
        <w:r>
          <w:rPr>
            <w:rStyle w:val="Hyperlink"/>
            <w:color w:val="467886"/>
            <w:sz w:val="20"/>
            <w:szCs w:val="20"/>
          </w:rPr>
          <w:t>https://sacobserver.com/2025/08/newsoms-office-challenges-report-on-20-fast-food-wage-increase/</w:t>
        </w:r>
      </w:hyperlink>
      <w:r>
        <w:rPr>
          <w:color w:val="000000"/>
          <w:sz w:val="20"/>
          <w:szCs w:val="20"/>
        </w:rPr>
        <w:t>.</w:t>
      </w:r>
    </w:p>
    <w:p w14:paraId="467FC228" w14:textId="77777777" w:rsidR="00E8240A" w:rsidRDefault="00E8240A" w:rsidP="00E8240A">
      <w:pPr>
        <w:spacing w:line="240" w:lineRule="auto"/>
        <w:ind w:firstLine="0"/>
        <w:rPr>
          <w:color w:val="000000"/>
          <w:sz w:val="20"/>
          <w:szCs w:val="20"/>
        </w:rPr>
      </w:pPr>
    </w:p>
    <w:p w14:paraId="2E484E1A" w14:textId="77777777" w:rsidR="00E8240A" w:rsidRDefault="00E8240A" w:rsidP="00E8240A">
      <w:pPr>
        <w:spacing w:line="240" w:lineRule="auto"/>
        <w:ind w:firstLine="0"/>
        <w:rPr>
          <w:color w:val="000000"/>
          <w:sz w:val="20"/>
          <w:szCs w:val="20"/>
        </w:rPr>
      </w:pPr>
      <w:r>
        <w:rPr>
          <w:color w:val="000000"/>
          <w:sz w:val="20"/>
          <w:szCs w:val="20"/>
        </w:rPr>
        <w:t xml:space="preserve">Jones, Owen. "Wage Rises Are Driving Inflation? Don't Swallow This Dangerous Rightwing Myth." </w:t>
      </w:r>
      <w:r>
        <w:rPr>
          <w:i/>
          <w:iCs/>
          <w:color w:val="000000"/>
          <w:sz w:val="20"/>
          <w:szCs w:val="20"/>
        </w:rPr>
        <w:t>The Guardian</w:t>
      </w:r>
      <w:r>
        <w:rPr>
          <w:color w:val="000000"/>
          <w:sz w:val="20"/>
          <w:szCs w:val="20"/>
        </w:rPr>
        <w:t xml:space="preserve">, June 28, 2023. </w:t>
      </w:r>
      <w:hyperlink r:id="rId42">
        <w:r>
          <w:rPr>
            <w:rStyle w:val="Hyperlink"/>
            <w:color w:val="467886"/>
            <w:sz w:val="20"/>
            <w:szCs w:val="20"/>
          </w:rPr>
          <w:t>https://www.theguardian.com/commentisfree/2023/jun/28/wage-rises-inflation-rightwing-myth-greed-business</w:t>
        </w:r>
      </w:hyperlink>
      <w:r>
        <w:rPr>
          <w:color w:val="000000"/>
          <w:sz w:val="20"/>
          <w:szCs w:val="20"/>
        </w:rPr>
        <w:t>.</w:t>
      </w:r>
    </w:p>
    <w:p w14:paraId="26E8FF8F" w14:textId="77777777" w:rsidR="00E8240A" w:rsidRDefault="00E8240A" w:rsidP="00E8240A">
      <w:pPr>
        <w:spacing w:line="240" w:lineRule="auto"/>
        <w:ind w:firstLine="0"/>
        <w:rPr>
          <w:color w:val="000000"/>
          <w:sz w:val="20"/>
          <w:szCs w:val="20"/>
        </w:rPr>
      </w:pPr>
    </w:p>
    <w:p w14:paraId="53A0C8B2" w14:textId="77777777" w:rsidR="00E8240A" w:rsidRDefault="00E8240A" w:rsidP="00E8240A">
      <w:pPr>
        <w:spacing w:line="240" w:lineRule="auto"/>
        <w:ind w:firstLine="0"/>
        <w:rPr>
          <w:color w:val="000000"/>
          <w:sz w:val="20"/>
          <w:szCs w:val="20"/>
        </w:rPr>
      </w:pPr>
      <w:r>
        <w:rPr>
          <w:color w:val="000000"/>
          <w:sz w:val="20"/>
          <w:szCs w:val="20"/>
        </w:rPr>
        <w:t xml:space="preserve">Tuccille, J.D. "California's Fast-Food Minimum Wage Hike Is Killing Jobs." </w:t>
      </w:r>
      <w:r>
        <w:rPr>
          <w:i/>
          <w:iCs/>
          <w:color w:val="000000"/>
          <w:sz w:val="20"/>
          <w:szCs w:val="20"/>
        </w:rPr>
        <w:t>Reason</w:t>
      </w:r>
      <w:r>
        <w:rPr>
          <w:color w:val="000000"/>
          <w:sz w:val="20"/>
          <w:szCs w:val="20"/>
        </w:rPr>
        <w:t xml:space="preserve">, November 10, 2025. </w:t>
      </w:r>
      <w:hyperlink r:id="rId43">
        <w:r>
          <w:rPr>
            <w:rStyle w:val="Hyperlink"/>
            <w:color w:val="467886"/>
            <w:sz w:val="20"/>
            <w:szCs w:val="20"/>
          </w:rPr>
          <w:t>https://reason.com/2025/11/10/californias-fast-food-minimum-wage-hike-is-killing-jobs/</w:t>
        </w:r>
      </w:hyperlink>
      <w:r>
        <w:rPr>
          <w:color w:val="000000"/>
          <w:sz w:val="20"/>
          <w:szCs w:val="20"/>
        </w:rPr>
        <w:t>.</w:t>
      </w:r>
    </w:p>
    <w:p w14:paraId="5A4033E6" w14:textId="77777777" w:rsidR="00E8240A" w:rsidRDefault="00E8240A" w:rsidP="00E8240A">
      <w:pPr>
        <w:spacing w:line="240" w:lineRule="auto"/>
        <w:ind w:firstLine="0"/>
        <w:rPr>
          <w:color w:val="000000"/>
          <w:sz w:val="20"/>
          <w:szCs w:val="20"/>
        </w:rPr>
      </w:pPr>
    </w:p>
    <w:p w14:paraId="6C13D339" w14:textId="77777777" w:rsidR="00E8240A" w:rsidRDefault="00E8240A" w:rsidP="00E8240A">
      <w:pPr>
        <w:spacing w:line="240" w:lineRule="auto"/>
        <w:ind w:firstLine="0"/>
        <w:rPr>
          <w:color w:val="000000"/>
          <w:sz w:val="20"/>
          <w:szCs w:val="20"/>
        </w:rPr>
      </w:pPr>
      <w:r>
        <w:rPr>
          <w:color w:val="000000"/>
          <w:sz w:val="20"/>
          <w:szCs w:val="20"/>
        </w:rPr>
        <w:t xml:space="preserve">The Hill. "Investor: Corporate GREED, Corruption Have Made An $18 Min Wage NECESSARY For California Workers." YouTube video, 9:14. February 12, 2022. </w:t>
      </w:r>
      <w:hyperlink r:id="rId44">
        <w:r>
          <w:rPr>
            <w:rStyle w:val="Hyperlink"/>
            <w:color w:val="467886"/>
            <w:sz w:val="20"/>
            <w:szCs w:val="20"/>
          </w:rPr>
          <w:t>https://www.youtube.com/watch?v=00mKvBbwhhY</w:t>
        </w:r>
      </w:hyperlink>
      <w:r>
        <w:rPr>
          <w:color w:val="000000"/>
          <w:sz w:val="20"/>
          <w:szCs w:val="20"/>
        </w:rPr>
        <w:t>.</w:t>
      </w:r>
    </w:p>
    <w:p w14:paraId="4F9B1549" w14:textId="77777777" w:rsidR="00E8240A" w:rsidRDefault="00E8240A" w:rsidP="00E8240A">
      <w:pPr>
        <w:spacing w:line="240" w:lineRule="auto"/>
        <w:ind w:firstLine="0"/>
        <w:rPr>
          <w:color w:val="000000"/>
          <w:sz w:val="20"/>
          <w:szCs w:val="20"/>
        </w:rPr>
      </w:pPr>
    </w:p>
  </w:endnote>
  <w:endnote w:id="25">
    <w:p w14:paraId="5291624A" w14:textId="77777777" w:rsidR="00E25CED" w:rsidRDefault="00E25CED">
      <w:pPr>
        <w:spacing w:line="240" w:lineRule="auto"/>
        <w:ind w:firstLine="0"/>
        <w:rPr>
          <w:color w:val="000000"/>
          <w:sz w:val="20"/>
          <w:szCs w:val="20"/>
        </w:rPr>
      </w:pPr>
      <w:r w:rsidRPr="00E8240A">
        <w:rPr>
          <w:rStyle w:val="EndnotesChar"/>
        </w:rPr>
        <w:endnoteRef/>
      </w:r>
      <w:r w:rsidRPr="00E8240A">
        <w:rPr>
          <w:rStyle w:val="EndnotesChar"/>
        </w:rPr>
        <w:t xml:space="preserve"> The evidence base here is unusually conclusive. A landmark federal evaluation commissioned by the Department</w:t>
      </w:r>
      <w:r>
        <w:rPr>
          <w:color w:val="000000"/>
          <w:sz w:val="20"/>
          <w:szCs w:val="20"/>
        </w:rPr>
        <w:t xml:space="preserve"> of Health and Human Services (the most rigorous study to date, tracking over 2,500 students across four programs for up to six years) found that abstinence-only instruction had no statistically significant effect on rates of sexual activity. About half of students in both the program and control groups had initiated sex by the follow-up assessment, at similar ages and with similar numbers of partners. A separate population-level analysis using National Survey of Family Growth data found that while abstinence-only education did not reduce the likelihood of sexual initiation, it was associated with reduced contraceptive use among those who did become active, producing higher pregnancy risk, not lower. A 2011 state-level analysis found the pattern held at scale: after controlling for socioeconomic variables, states with stronger emphasis on abstinence-only instruction had higher teen pregnancy and birth rates, not lower. Congress spent over $2 billion on these programs between 1982 and 2017, a period during which the evidence consistently pointed in one direction.</w:t>
      </w:r>
    </w:p>
    <w:p w14:paraId="2E74A373" w14:textId="77777777" w:rsidR="00E25CED" w:rsidRDefault="00E25CED">
      <w:pPr>
        <w:spacing w:line="240" w:lineRule="auto"/>
        <w:ind w:firstLine="0"/>
        <w:rPr>
          <w:color w:val="000000"/>
          <w:sz w:val="20"/>
          <w:szCs w:val="20"/>
        </w:rPr>
      </w:pPr>
    </w:p>
    <w:p w14:paraId="4BAF4233" w14:textId="77777777" w:rsidR="00E25CED" w:rsidRDefault="00E25CED">
      <w:pPr>
        <w:spacing w:line="240" w:lineRule="auto"/>
        <w:ind w:firstLine="0"/>
        <w:rPr>
          <w:color w:val="000000"/>
          <w:sz w:val="20"/>
          <w:szCs w:val="20"/>
        </w:rPr>
      </w:pPr>
      <w:r>
        <w:rPr>
          <w:color w:val="000000"/>
          <w:sz w:val="20"/>
          <w:szCs w:val="20"/>
        </w:rPr>
        <w:t xml:space="preserve">Trenholm, Christopher, et al. </w:t>
      </w:r>
      <w:r>
        <w:rPr>
          <w:i/>
          <w:iCs/>
          <w:color w:val="000000"/>
          <w:sz w:val="20"/>
          <w:szCs w:val="20"/>
        </w:rPr>
        <w:t>Impacts of Four Title V, Section 510 Abstinence Education Programs: Final Report.</w:t>
      </w:r>
      <w:r>
        <w:rPr>
          <w:color w:val="000000"/>
          <w:sz w:val="20"/>
          <w:szCs w:val="20"/>
        </w:rPr>
        <w:t xml:space="preserve"> Mathematica Policy Research, April 2007. Prepared for U.S. Department of Health and Human Services.</w:t>
      </w:r>
    </w:p>
    <w:p w14:paraId="1D8B8D0D" w14:textId="77777777" w:rsidR="00E25CED" w:rsidRDefault="00E25CED">
      <w:pPr>
        <w:spacing w:line="240" w:lineRule="auto"/>
        <w:ind w:firstLine="0"/>
        <w:rPr>
          <w:color w:val="000000"/>
          <w:sz w:val="20"/>
          <w:szCs w:val="20"/>
        </w:rPr>
      </w:pPr>
    </w:p>
    <w:p w14:paraId="0DAEDC21" w14:textId="7233748C" w:rsidR="00E25CED" w:rsidRDefault="00E25CED">
      <w:pPr>
        <w:spacing w:line="240" w:lineRule="auto"/>
        <w:ind w:firstLine="0"/>
        <w:rPr>
          <w:color w:val="000000"/>
          <w:sz w:val="20"/>
          <w:szCs w:val="20"/>
        </w:rPr>
      </w:pPr>
      <w:r>
        <w:rPr>
          <w:color w:val="000000"/>
          <w:sz w:val="20"/>
          <w:szCs w:val="20"/>
        </w:rPr>
        <w:t xml:space="preserve">Kohler, Pamela K., Lisa E. Manhart, and William E. Lafferty. </w:t>
      </w:r>
      <w:r w:rsidR="00463E2E">
        <w:rPr>
          <w:color w:val="000000"/>
          <w:sz w:val="20"/>
          <w:szCs w:val="20"/>
        </w:rPr>
        <w:t>"</w:t>
      </w:r>
      <w:r>
        <w:rPr>
          <w:color w:val="000000"/>
          <w:sz w:val="20"/>
          <w:szCs w:val="20"/>
        </w:rPr>
        <w:t>Abstinence-Only and Comprehensive Sex Education and the Initiation of Sexual Activity and Teen Pregnancy.</w:t>
      </w:r>
      <w:r w:rsidR="00463E2E">
        <w:rPr>
          <w:color w:val="000000"/>
          <w:sz w:val="20"/>
          <w:szCs w:val="20"/>
        </w:rPr>
        <w:t>"</w:t>
      </w:r>
      <w:r>
        <w:rPr>
          <w:color w:val="000000"/>
          <w:sz w:val="20"/>
          <w:szCs w:val="20"/>
        </w:rPr>
        <w:t xml:space="preserve"> </w:t>
      </w:r>
      <w:r>
        <w:rPr>
          <w:i/>
          <w:iCs/>
          <w:color w:val="000000"/>
          <w:sz w:val="20"/>
          <w:szCs w:val="20"/>
        </w:rPr>
        <w:t>Journal of Adolescent Health</w:t>
      </w:r>
      <w:r>
        <w:rPr>
          <w:color w:val="000000"/>
          <w:sz w:val="20"/>
          <w:szCs w:val="20"/>
        </w:rPr>
        <w:t xml:space="preserve"> 42, no. 4 (2008): 344–351.</w:t>
      </w:r>
    </w:p>
    <w:p w14:paraId="083F9E81" w14:textId="77777777" w:rsidR="00E25CED" w:rsidRDefault="00E25CED">
      <w:pPr>
        <w:spacing w:line="240" w:lineRule="auto"/>
        <w:ind w:firstLine="0"/>
        <w:rPr>
          <w:color w:val="000000"/>
          <w:sz w:val="20"/>
          <w:szCs w:val="20"/>
        </w:rPr>
      </w:pPr>
    </w:p>
    <w:p w14:paraId="0BB07D67" w14:textId="3596906B" w:rsidR="00E25CED" w:rsidRDefault="00E25CED">
      <w:pPr>
        <w:spacing w:line="240" w:lineRule="auto"/>
        <w:ind w:firstLine="0"/>
        <w:rPr>
          <w:color w:val="000000"/>
          <w:sz w:val="20"/>
          <w:szCs w:val="20"/>
        </w:rPr>
      </w:pPr>
      <w:r>
        <w:rPr>
          <w:color w:val="000000"/>
          <w:sz w:val="20"/>
          <w:szCs w:val="20"/>
        </w:rPr>
        <w:t xml:space="preserve">Stanger-Hall, Kathrin F., and David W. Hall. </w:t>
      </w:r>
      <w:r w:rsidR="00463E2E">
        <w:rPr>
          <w:color w:val="000000"/>
          <w:sz w:val="20"/>
          <w:szCs w:val="20"/>
        </w:rPr>
        <w:t>"</w:t>
      </w:r>
      <w:r>
        <w:rPr>
          <w:color w:val="000000"/>
          <w:sz w:val="20"/>
          <w:szCs w:val="20"/>
        </w:rPr>
        <w:t>Abstinence-Only Education and Teen Pregnancy Rates: Why We Need Comprehensive Sex Education in the U.S.</w:t>
      </w:r>
      <w:r w:rsidR="00463E2E">
        <w:rPr>
          <w:color w:val="000000"/>
          <w:sz w:val="20"/>
          <w:szCs w:val="20"/>
        </w:rPr>
        <w:t>"</w:t>
      </w:r>
      <w:r>
        <w:rPr>
          <w:color w:val="000000"/>
          <w:sz w:val="20"/>
          <w:szCs w:val="20"/>
        </w:rPr>
        <w:t xml:space="preserve"> </w:t>
      </w:r>
      <w:r>
        <w:rPr>
          <w:i/>
          <w:iCs/>
          <w:color w:val="000000"/>
          <w:sz w:val="20"/>
          <w:szCs w:val="20"/>
        </w:rPr>
        <w:t>PLOS ONE</w:t>
      </w:r>
      <w:r>
        <w:rPr>
          <w:color w:val="000000"/>
          <w:sz w:val="20"/>
          <w:szCs w:val="20"/>
        </w:rPr>
        <w:t xml:space="preserve"> 6, no. 10 (2011): e24658.</w:t>
      </w:r>
    </w:p>
    <w:p w14:paraId="0CC79749" w14:textId="77777777" w:rsidR="00E25CED" w:rsidRDefault="00E25CED">
      <w:pPr>
        <w:spacing w:line="240" w:lineRule="auto"/>
        <w:ind w:firstLine="0"/>
        <w:rPr>
          <w:color w:val="000000"/>
          <w:sz w:val="20"/>
          <w:szCs w:val="20"/>
        </w:rPr>
      </w:pPr>
    </w:p>
    <w:p w14:paraId="60038E34" w14:textId="68F2EAB6" w:rsidR="00E25CED" w:rsidRDefault="00E25CED">
      <w:pPr>
        <w:spacing w:line="240" w:lineRule="auto"/>
        <w:ind w:firstLine="0"/>
        <w:rPr>
          <w:color w:val="000000"/>
          <w:sz w:val="20"/>
          <w:szCs w:val="20"/>
        </w:rPr>
      </w:pPr>
      <w:r>
        <w:rPr>
          <w:color w:val="000000"/>
          <w:sz w:val="20"/>
          <w:szCs w:val="20"/>
        </w:rPr>
        <w:t xml:space="preserve">Santelli, John S., et al. </w:t>
      </w:r>
      <w:r w:rsidR="00463E2E">
        <w:rPr>
          <w:color w:val="000000"/>
          <w:sz w:val="20"/>
          <w:szCs w:val="20"/>
        </w:rPr>
        <w:t>"</w:t>
      </w:r>
      <w:r>
        <w:rPr>
          <w:color w:val="000000"/>
          <w:sz w:val="20"/>
          <w:szCs w:val="20"/>
        </w:rPr>
        <w:t>Abstinence-Only-Until-Marriage: An Updated Review of U.S. Policies and Programs and Their Impact.</w:t>
      </w:r>
      <w:r w:rsidR="00463E2E">
        <w:rPr>
          <w:color w:val="000000"/>
          <w:sz w:val="20"/>
          <w:szCs w:val="20"/>
        </w:rPr>
        <w:t>"</w:t>
      </w:r>
      <w:r>
        <w:rPr>
          <w:color w:val="000000"/>
          <w:sz w:val="20"/>
          <w:szCs w:val="20"/>
        </w:rPr>
        <w:t xml:space="preserve"> </w:t>
      </w:r>
      <w:r>
        <w:rPr>
          <w:i/>
          <w:iCs/>
          <w:color w:val="000000"/>
          <w:sz w:val="20"/>
          <w:szCs w:val="20"/>
        </w:rPr>
        <w:t>Journal of Adolescent Health</w:t>
      </w:r>
      <w:r>
        <w:rPr>
          <w:color w:val="000000"/>
          <w:sz w:val="20"/>
          <w:szCs w:val="20"/>
        </w:rPr>
        <w:t xml:space="preserve"> 61, no. 3 (2017): 273–280.</w:t>
      </w:r>
    </w:p>
    <w:p w14:paraId="0373540F" w14:textId="77777777" w:rsidR="00E25CED" w:rsidRDefault="00E25CED">
      <w:pPr>
        <w:spacing w:line="240" w:lineRule="auto"/>
        <w:ind w:firstLine="0"/>
        <w:rPr>
          <w:color w:val="000000"/>
          <w:sz w:val="20"/>
          <w:szCs w:val="20"/>
        </w:rPr>
      </w:pPr>
    </w:p>
    <w:p w14:paraId="7A6C7DE4" w14:textId="432AAB09" w:rsidR="00E25CED" w:rsidRDefault="00463E2E">
      <w:pPr>
        <w:spacing w:line="240" w:lineRule="auto"/>
        <w:ind w:firstLine="0"/>
        <w:rPr>
          <w:color w:val="000000"/>
          <w:sz w:val="20"/>
          <w:szCs w:val="20"/>
        </w:rPr>
      </w:pPr>
      <w:r>
        <w:rPr>
          <w:color w:val="000000"/>
          <w:sz w:val="20"/>
          <w:szCs w:val="20"/>
        </w:rPr>
        <w:t>"</w:t>
      </w:r>
      <w:r w:rsidR="00E25CED">
        <w:rPr>
          <w:color w:val="000000"/>
          <w:sz w:val="20"/>
          <w:szCs w:val="20"/>
        </w:rPr>
        <w:t>Abstinence-Only Education Is Ineffective and Unethical, Report Argues.</w:t>
      </w:r>
      <w:r>
        <w:rPr>
          <w:color w:val="000000"/>
          <w:sz w:val="20"/>
          <w:szCs w:val="20"/>
        </w:rPr>
        <w:t>"</w:t>
      </w:r>
      <w:r w:rsidR="00E25CED">
        <w:rPr>
          <w:color w:val="000000"/>
          <w:sz w:val="20"/>
          <w:szCs w:val="20"/>
        </w:rPr>
        <w:t xml:space="preserve"> NPR, August 23, 2017.</w:t>
      </w:r>
    </w:p>
    <w:p w14:paraId="2F2687BE" w14:textId="77777777" w:rsidR="00E25CED" w:rsidRPr="003A6424" w:rsidRDefault="00E25CED" w:rsidP="003A6424">
      <w:pPr>
        <w:pStyle w:val="Endnotes"/>
      </w:pPr>
    </w:p>
  </w:endnote>
  <w:endnote w:id="26">
    <w:p w14:paraId="532070A0" w14:textId="77777777" w:rsidR="003A6424" w:rsidRPr="003A6424" w:rsidRDefault="003A6424" w:rsidP="003A6424">
      <w:pPr>
        <w:pStyle w:val="Endnotes"/>
      </w:pPr>
      <w:r w:rsidRPr="003A6424">
        <w:rPr>
          <w:rStyle w:val="EndnoteReference"/>
          <w:vertAlign w:val="baseline"/>
        </w:rPr>
        <w:endnoteRef/>
      </w:r>
      <w:r w:rsidRPr="003A6424">
        <w:t xml:space="preserve"> Casualty and displacement figures vary considerably across sources: the Haitian government's official toll exceeded 300,000, the UN Development Programme reported over 200,000 deaths and 1.5 million displaced, and a 2011 USAID-commissioned study estimated deaths between 46,000 and 85,000. The "over 200,000" figure used in the text reflects the most widely cited international estimate.</w:t>
      </w:r>
    </w:p>
    <w:p w14:paraId="5492A095" w14:textId="77777777" w:rsidR="003A6424" w:rsidRPr="003A6424" w:rsidRDefault="003A6424" w:rsidP="003A6424">
      <w:pPr>
        <w:pStyle w:val="Endnotes"/>
      </w:pPr>
    </w:p>
    <w:p w14:paraId="1E8D816B" w14:textId="77777777" w:rsidR="003A6424" w:rsidRPr="003A6424" w:rsidRDefault="003A6424" w:rsidP="003A6424">
      <w:pPr>
        <w:pStyle w:val="Endnotes"/>
      </w:pPr>
      <w:r w:rsidRPr="003A6424">
        <w:t xml:space="preserve">U.S. Geological Survey. "M 7.0 — Haiti Region." January 12, 2010. </w:t>
      </w:r>
      <w:hyperlink r:id="rId45" w:history="1">
        <w:r w:rsidRPr="003A6424">
          <w:rPr>
            <w:rStyle w:val="Hyperlink"/>
            <w:color w:val="auto"/>
            <w:u w:val="none"/>
          </w:rPr>
          <w:t>https://earthquake.usgs.gov/earthquakes/eventpage/usp000h60h</w:t>
        </w:r>
      </w:hyperlink>
      <w:r w:rsidRPr="003A6424">
        <w:t>.</w:t>
      </w:r>
    </w:p>
    <w:p w14:paraId="37936D02" w14:textId="77777777" w:rsidR="003A6424" w:rsidRPr="003A6424" w:rsidRDefault="003A6424" w:rsidP="003A6424">
      <w:pPr>
        <w:pStyle w:val="Endnotes"/>
      </w:pPr>
    </w:p>
    <w:p w14:paraId="35AAB0CD" w14:textId="18275277" w:rsidR="003A6424" w:rsidRPr="003A6424" w:rsidRDefault="003A6424" w:rsidP="003A6424">
      <w:pPr>
        <w:pStyle w:val="Endnotes"/>
      </w:pPr>
      <w:r w:rsidRPr="003A6424">
        <w:t>United Nations Development Programme. Haiti: One Year Later. New York: UNDP, January 2011.</w:t>
      </w:r>
    </w:p>
    <w:p w14:paraId="704D7486" w14:textId="77777777" w:rsidR="003A6424" w:rsidRPr="003A6424" w:rsidRDefault="003A6424" w:rsidP="003A6424">
      <w:pPr>
        <w:pStyle w:val="Endnotes"/>
      </w:pPr>
      <w:r w:rsidRPr="003A6424">
        <w:t>Schwartz, Timothy T., Yves-François Pierre, and Eric Calpas. Building Assessments and Rubble Removal in Quake-Affected Neighborhoods in Haiti. USAID, May 2011.</w:t>
      </w:r>
    </w:p>
    <w:p w14:paraId="693CAFED" w14:textId="667C2087" w:rsidR="003A6424" w:rsidRPr="003A6424" w:rsidRDefault="003A6424" w:rsidP="003A6424">
      <w:pPr>
        <w:pStyle w:val="Endnotes"/>
      </w:pPr>
    </w:p>
  </w:endnote>
  <w:endnote w:id="27">
    <w:p w14:paraId="2A7EBC49" w14:textId="77777777" w:rsidR="003A6424" w:rsidRDefault="00094D76" w:rsidP="003A6424">
      <w:pPr>
        <w:pStyle w:val="Endnotes"/>
      </w:pPr>
      <w:r w:rsidRPr="00615D41">
        <w:endnoteRef/>
      </w:r>
      <w:r w:rsidRPr="00615D41">
        <w:t xml:space="preserve"> </w:t>
      </w:r>
      <w:r w:rsidR="003A6424" w:rsidRPr="003A6424">
        <w:t>The American Red Cross publicly reported Haiti-specific donations of $487.6 million, rounded in most reporting to nearly $500 million.</w:t>
      </w:r>
    </w:p>
    <w:p w14:paraId="62631A8F" w14:textId="77777777" w:rsidR="003A6424" w:rsidRPr="003A6424" w:rsidRDefault="003A6424" w:rsidP="003A6424">
      <w:pPr>
        <w:pStyle w:val="Endnotes"/>
      </w:pPr>
    </w:p>
    <w:p w14:paraId="5B09F863" w14:textId="77777777" w:rsidR="003A6424" w:rsidRPr="003A6424" w:rsidRDefault="003A6424" w:rsidP="003A6424">
      <w:pPr>
        <w:pStyle w:val="Endnotes"/>
      </w:pPr>
      <w:r w:rsidRPr="003A6424">
        <w:t xml:space="preserve">Elliott, Justin, and Laura Sullivan. "How the Red Cross Raised Half a Billion Dollars for Haiti and Built 6 Homes." </w:t>
      </w:r>
      <w:r w:rsidRPr="003A6424">
        <w:rPr>
          <w:i/>
          <w:iCs/>
        </w:rPr>
        <w:t>ProPublica,</w:t>
      </w:r>
      <w:r w:rsidRPr="003A6424">
        <w:t xml:space="preserve"> June 3, 2015. </w:t>
      </w:r>
      <w:hyperlink r:id="rId46" w:history="1">
        <w:r w:rsidRPr="003A6424">
          <w:rPr>
            <w:rStyle w:val="Hyperlink"/>
          </w:rPr>
          <w:t>https://www.propublica.org/article/how-the-red-cross-raised-half-a-billion-dollars-for-haiti-and-built-6-homes</w:t>
        </w:r>
      </w:hyperlink>
      <w:r w:rsidRPr="003A6424">
        <w:t>.</w:t>
      </w:r>
    </w:p>
    <w:p w14:paraId="2B0F079C" w14:textId="3DD5773E" w:rsidR="00094D76" w:rsidRDefault="00094D76" w:rsidP="00615D41">
      <w:pPr>
        <w:pStyle w:val="Endnotes"/>
      </w:pPr>
    </w:p>
  </w:endnote>
  <w:endnote w:id="28">
    <w:p w14:paraId="34F6A123" w14:textId="77777777" w:rsidR="00615D41" w:rsidRPr="00615D41" w:rsidRDefault="00615D41" w:rsidP="00615D41">
      <w:pPr>
        <w:pStyle w:val="Endnotes"/>
      </w:pPr>
      <w:r w:rsidRPr="00615D41">
        <w:endnoteRef/>
      </w:r>
      <w:r w:rsidRPr="00615D41">
        <w:t xml:space="preserve"> The ProPublica/NPR joint investigation, published in June 2015, is the primary source for the finding that the American Red Cross built six permanent homes in Haiti with roughly half a billion dollars in donations. The LAMIKA initiative in the Campeche neighborhood of Port-au-Prince was originally budgeted at $24 million to build 700 permanent homes; not one was ever completed. The investigation documented that the bulk of Red Cross spending went to overhead, transfers among internal divisions, and contracts with partner organizations whose work the Red Cross could not fully account for.</w:t>
      </w:r>
    </w:p>
    <w:p w14:paraId="6960AE3B" w14:textId="77777777" w:rsidR="00615D41" w:rsidRDefault="00615D41" w:rsidP="00615D41">
      <w:pPr>
        <w:pStyle w:val="Endnotes"/>
      </w:pPr>
    </w:p>
    <w:p w14:paraId="74909DCB" w14:textId="5F5C0CB7" w:rsidR="00615D41" w:rsidRPr="00615D41" w:rsidRDefault="00615D41" w:rsidP="00615D41">
      <w:pPr>
        <w:pStyle w:val="Endnotes"/>
      </w:pPr>
      <w:r w:rsidRPr="00615D41">
        <w:t xml:space="preserve">Elliott, Justin, and Laura Sullivan. "How the Red Cross Raised Half a Billion Dollars for Haiti and Built 6 Homes." </w:t>
      </w:r>
      <w:r w:rsidRPr="00615D41">
        <w:rPr>
          <w:i/>
          <w:iCs/>
        </w:rPr>
        <w:t>ProPublica,</w:t>
      </w:r>
      <w:r w:rsidRPr="00615D41">
        <w:t xml:space="preserve"> June 3, 2015. </w:t>
      </w:r>
      <w:hyperlink r:id="rId47" w:history="1">
        <w:r w:rsidRPr="00615D41">
          <w:rPr>
            <w:rStyle w:val="Hyperlink"/>
          </w:rPr>
          <w:t>https://www.propublica.org/article/how-the-red-cross-raised-half-a-billion-dollars-for-haiti-and-built-6-homes</w:t>
        </w:r>
      </w:hyperlink>
      <w:r w:rsidRPr="00615D41">
        <w:t>.</w:t>
      </w:r>
    </w:p>
    <w:p w14:paraId="1D744DE0" w14:textId="77777777" w:rsidR="00615D41" w:rsidRDefault="00615D41" w:rsidP="00615D41">
      <w:pPr>
        <w:pStyle w:val="Endnotes"/>
      </w:pPr>
    </w:p>
    <w:p w14:paraId="6B027788" w14:textId="3D0900E6" w:rsidR="00615D41" w:rsidRPr="00615D41" w:rsidRDefault="00615D41" w:rsidP="00615D41">
      <w:pPr>
        <w:pStyle w:val="Endnotes"/>
      </w:pPr>
      <w:r w:rsidRPr="00615D41">
        <w:t xml:space="preserve">Sullivan, Laura. "In Search of the Red Cross' $500 Million in Haiti Relief." </w:t>
      </w:r>
      <w:r w:rsidRPr="00615D41">
        <w:rPr>
          <w:i/>
          <w:iCs/>
        </w:rPr>
        <w:t>All Things Considered,</w:t>
      </w:r>
      <w:r w:rsidRPr="00615D41">
        <w:t xml:space="preserve"> NPR, June 3, 2015. </w:t>
      </w:r>
      <w:hyperlink r:id="rId48" w:history="1">
        <w:r w:rsidRPr="00615D41">
          <w:rPr>
            <w:rStyle w:val="Hyperlink"/>
          </w:rPr>
          <w:t>https://www.npr.org/2015/06/03/411524156/in-search-of-the-red-cross-500-million-in-haiti-relief</w:t>
        </w:r>
      </w:hyperlink>
      <w:r w:rsidRPr="00615D41">
        <w:t>.</w:t>
      </w:r>
    </w:p>
    <w:p w14:paraId="70857B3B" w14:textId="58B08B86" w:rsidR="00615D41" w:rsidRDefault="00615D41" w:rsidP="00615D41">
      <w:pPr>
        <w:pStyle w:val="Endnotes"/>
      </w:pPr>
    </w:p>
  </w:endnote>
  <w:endnote w:id="29">
    <w:p w14:paraId="0348939F" w14:textId="77777777" w:rsidR="00615D41" w:rsidRDefault="00615D41" w:rsidP="00615D41">
      <w:pPr>
        <w:pStyle w:val="Endnotes"/>
      </w:pPr>
      <w:r w:rsidRPr="00615D41">
        <w:endnoteRef/>
      </w:r>
      <w:r w:rsidRPr="00615D41">
        <w:t xml:space="preserve"> Neither the ProPublica/NPR investigation nor the subsequent Senate Finance Committee inquiry led by Senator Charles Grassley found evidence of fraud or embezzlement in the Red Cross's handling of Haiti donations. The Grassley report identified serious deficiencies in transparency, project tracking, and statements made to Congress, and a follow-up ProPublica piece documented those findings, but the failure the investigations described was organizational capacity, not theft. This distinction matters to the argument: the Red Cross was not a corrupt institution acting in bad faith; it was a competent fundraising organization attempting work it was not structured to perform.</w:t>
      </w:r>
    </w:p>
    <w:p w14:paraId="2F0A4522" w14:textId="77777777" w:rsidR="00615D41" w:rsidRPr="00615D41" w:rsidRDefault="00615D41" w:rsidP="00615D41">
      <w:pPr>
        <w:pStyle w:val="Endnotes"/>
      </w:pPr>
    </w:p>
    <w:p w14:paraId="1253F6B5" w14:textId="77777777" w:rsidR="00615D41" w:rsidRPr="00615D41" w:rsidRDefault="00615D41" w:rsidP="00615D41">
      <w:pPr>
        <w:pStyle w:val="Endnotes"/>
      </w:pPr>
      <w:r w:rsidRPr="00615D41">
        <w:t xml:space="preserve">Office of Senator Charles E. Grassley. </w:t>
      </w:r>
      <w:r w:rsidRPr="00615D41">
        <w:rPr>
          <w:i/>
          <w:iCs/>
        </w:rPr>
        <w:t>American Red Cross Oversight Report.</w:t>
      </w:r>
      <w:r w:rsidRPr="00615D41">
        <w:t xml:space="preserve"> Washington, DC: June 2016. </w:t>
      </w:r>
      <w:hyperlink r:id="rId49" w:history="1">
        <w:r w:rsidRPr="00615D41">
          <w:rPr>
            <w:rStyle w:val="Hyperlink"/>
          </w:rPr>
          <w:t>https://www.grassley.senate.gov/imo/media/doc/2016-06-15%20CEG%20to%20Red%20Cross%20(Oversight%20Report).pdf</w:t>
        </w:r>
      </w:hyperlink>
      <w:r w:rsidRPr="00615D41">
        <w:t>.</w:t>
      </w:r>
    </w:p>
    <w:p w14:paraId="18866BFC" w14:textId="77777777" w:rsidR="00615D41" w:rsidRDefault="00615D41" w:rsidP="00615D41">
      <w:pPr>
        <w:pStyle w:val="Endnotes"/>
      </w:pPr>
    </w:p>
    <w:p w14:paraId="3A2C3D39" w14:textId="380AFC86" w:rsidR="00615D41" w:rsidRPr="00615D41" w:rsidRDefault="00615D41" w:rsidP="00615D41">
      <w:pPr>
        <w:pStyle w:val="Endnotes"/>
      </w:pPr>
      <w:r w:rsidRPr="00615D41">
        <w:t xml:space="preserve">Elliott, Justin, and Laura Sullivan. "Senator: Red Cross Misled Congress, Refused to 'Level With the People.'" </w:t>
      </w:r>
      <w:r w:rsidRPr="00615D41">
        <w:rPr>
          <w:i/>
          <w:iCs/>
        </w:rPr>
        <w:t>ProPublica,</w:t>
      </w:r>
      <w:r w:rsidRPr="00615D41">
        <w:t xml:space="preserve"> June 16, 2016. </w:t>
      </w:r>
      <w:hyperlink r:id="rId50" w:history="1">
        <w:r w:rsidRPr="00615D41">
          <w:rPr>
            <w:rStyle w:val="Hyperlink"/>
          </w:rPr>
          <w:t>https://www.propublica.org/article/senator-red-cross-misled-congress-refused-to-level-with-people-haiti-money</w:t>
        </w:r>
      </w:hyperlink>
      <w:r w:rsidRPr="00615D41">
        <w:t>.</w:t>
      </w:r>
    </w:p>
    <w:p w14:paraId="7D01B43A" w14:textId="4E35786A" w:rsidR="00615D41" w:rsidRDefault="00615D41" w:rsidP="00615D41">
      <w:pPr>
        <w:pStyle w:val="Endnotes"/>
      </w:pPr>
    </w:p>
  </w:endnote>
  <w:endnote w:id="30">
    <w:p w14:paraId="74325DDC" w14:textId="5BBBD727" w:rsidR="00E25CED" w:rsidRDefault="00E25CED">
      <w:pPr>
        <w:spacing w:line="240" w:lineRule="auto"/>
        <w:ind w:firstLine="0"/>
        <w:rPr>
          <w:color w:val="000000"/>
          <w:sz w:val="20"/>
          <w:szCs w:val="20"/>
        </w:rPr>
      </w:pPr>
      <w:r w:rsidRPr="00615D41">
        <w:rPr>
          <w:rStyle w:val="EndnotesChar"/>
        </w:rPr>
        <w:endnoteRef/>
      </w:r>
      <w:r w:rsidRPr="00615D41">
        <w:rPr>
          <w:rStyle w:val="EndnotesChar"/>
        </w:rPr>
        <w:t xml:space="preserve"> Research consistently finds that mission statements and proclaimed corporate values show little to no correlation</w:t>
      </w:r>
      <w:r>
        <w:rPr>
          <w:color w:val="000000"/>
          <w:sz w:val="20"/>
          <w:szCs w:val="20"/>
        </w:rPr>
        <w:t xml:space="preserve"> with organizational performance. A meta-analysis of twenty years of research found only small, inconsistent effects, while an NBER study of S&amp;P 500 firms concluded that </w:t>
      </w:r>
      <w:r w:rsidR="00463E2E">
        <w:rPr>
          <w:color w:val="000000"/>
          <w:sz w:val="20"/>
          <w:szCs w:val="20"/>
        </w:rPr>
        <w:t>"</w:t>
      </w:r>
      <w:r>
        <w:rPr>
          <w:color w:val="000000"/>
          <w:sz w:val="20"/>
          <w:szCs w:val="20"/>
        </w:rPr>
        <w:t>proclaimed values appear irrelevant</w:t>
      </w:r>
      <w:r w:rsidR="00463E2E">
        <w:rPr>
          <w:color w:val="000000"/>
          <w:sz w:val="20"/>
          <w:szCs w:val="20"/>
        </w:rPr>
        <w:t>"</w:t>
      </w:r>
      <w:r>
        <w:rPr>
          <w:color w:val="000000"/>
          <w:sz w:val="20"/>
          <w:szCs w:val="20"/>
        </w:rPr>
        <w:t xml:space="preserve"> to financial outcomes. In contrast, goal-setting research spanning four decades demonstrates that specific, measurable expectations produce medium-to-large performance improvements (effect sizes of 0.42–0.80). A Harvard Business School study reconciles these findings: purpose alone yields null results, but purpose combined with management clarity—where leaders make expectations explicit—predicts 7% annualized abnormal stock returns.</w:t>
      </w:r>
    </w:p>
    <w:p w14:paraId="4B47B8F5" w14:textId="77777777" w:rsidR="00E25CED" w:rsidRDefault="00E25CED">
      <w:pPr>
        <w:spacing w:line="240" w:lineRule="auto"/>
        <w:ind w:firstLine="0"/>
        <w:rPr>
          <w:color w:val="000000"/>
          <w:sz w:val="20"/>
          <w:szCs w:val="20"/>
        </w:rPr>
      </w:pPr>
    </w:p>
    <w:p w14:paraId="198F688C" w14:textId="58A2278C" w:rsidR="00E25CED" w:rsidRDefault="00E25CED">
      <w:pPr>
        <w:spacing w:line="240" w:lineRule="auto"/>
        <w:ind w:firstLine="0"/>
        <w:rPr>
          <w:color w:val="000000"/>
          <w:sz w:val="20"/>
          <w:szCs w:val="20"/>
        </w:rPr>
      </w:pPr>
      <w:r>
        <w:rPr>
          <w:color w:val="000000"/>
          <w:sz w:val="20"/>
          <w:szCs w:val="20"/>
        </w:rPr>
        <w:t xml:space="preserve">Desmidt, Sebastian, Anita Prinzie, and Adelien Decramer. </w:t>
      </w:r>
      <w:r w:rsidR="00463E2E">
        <w:rPr>
          <w:color w:val="000000"/>
          <w:sz w:val="20"/>
          <w:szCs w:val="20"/>
        </w:rPr>
        <w:t>"</w:t>
      </w:r>
      <w:r>
        <w:rPr>
          <w:color w:val="000000"/>
          <w:sz w:val="20"/>
          <w:szCs w:val="20"/>
        </w:rPr>
        <w:t>Looking for the Value of Mission Statements: A Meta-Analysis of 20 Years of Research.</w:t>
      </w:r>
      <w:r w:rsidR="00463E2E">
        <w:rPr>
          <w:color w:val="000000"/>
          <w:sz w:val="20"/>
          <w:szCs w:val="20"/>
        </w:rPr>
        <w:t>"</w:t>
      </w:r>
      <w:r>
        <w:rPr>
          <w:color w:val="000000"/>
          <w:sz w:val="20"/>
          <w:szCs w:val="20"/>
        </w:rPr>
        <w:t xml:space="preserve"> </w:t>
      </w:r>
      <w:r>
        <w:rPr>
          <w:i/>
          <w:iCs/>
          <w:color w:val="000000"/>
          <w:sz w:val="20"/>
          <w:szCs w:val="20"/>
        </w:rPr>
        <w:t>Management Decision</w:t>
      </w:r>
      <w:r>
        <w:rPr>
          <w:color w:val="000000"/>
          <w:sz w:val="20"/>
          <w:szCs w:val="20"/>
        </w:rPr>
        <w:t xml:space="preserve"> 49, no. 3 (2011): 468–483.</w:t>
      </w:r>
    </w:p>
    <w:p w14:paraId="2DAA78A9" w14:textId="77777777" w:rsidR="00E25CED" w:rsidRDefault="00E25CED">
      <w:pPr>
        <w:spacing w:line="240" w:lineRule="auto"/>
        <w:ind w:firstLine="0"/>
        <w:rPr>
          <w:color w:val="000000"/>
          <w:sz w:val="20"/>
          <w:szCs w:val="20"/>
        </w:rPr>
      </w:pPr>
    </w:p>
    <w:p w14:paraId="7FE3AEE7" w14:textId="6469B7A9" w:rsidR="00E25CED" w:rsidRDefault="00E25CED">
      <w:pPr>
        <w:spacing w:line="240" w:lineRule="auto"/>
        <w:ind w:firstLine="0"/>
        <w:rPr>
          <w:color w:val="000000"/>
          <w:sz w:val="20"/>
          <w:szCs w:val="20"/>
        </w:rPr>
      </w:pPr>
      <w:r>
        <w:rPr>
          <w:color w:val="000000"/>
          <w:sz w:val="20"/>
          <w:szCs w:val="20"/>
        </w:rPr>
        <w:t xml:space="preserve">Gartenberg, Claudine, Andrea Prat, and George Serafeim. </w:t>
      </w:r>
      <w:r w:rsidR="00463E2E">
        <w:rPr>
          <w:color w:val="000000"/>
          <w:sz w:val="20"/>
          <w:szCs w:val="20"/>
        </w:rPr>
        <w:t>"</w:t>
      </w:r>
      <w:r>
        <w:rPr>
          <w:color w:val="000000"/>
          <w:sz w:val="20"/>
          <w:szCs w:val="20"/>
        </w:rPr>
        <w:t>Corporate Purpose and Financial Performance.</w:t>
      </w:r>
      <w:r w:rsidR="00463E2E">
        <w:rPr>
          <w:color w:val="000000"/>
          <w:sz w:val="20"/>
          <w:szCs w:val="20"/>
        </w:rPr>
        <w:t>"</w:t>
      </w:r>
      <w:r>
        <w:rPr>
          <w:color w:val="000000"/>
          <w:sz w:val="20"/>
          <w:szCs w:val="20"/>
        </w:rPr>
        <w:t xml:space="preserve"> Harvard Business School Working Paper No. 17-023, September 2016.</w:t>
      </w:r>
    </w:p>
    <w:p w14:paraId="5CB9C702" w14:textId="77777777" w:rsidR="00E25CED" w:rsidRDefault="00E25CED">
      <w:pPr>
        <w:spacing w:line="240" w:lineRule="auto"/>
        <w:ind w:firstLine="0"/>
        <w:rPr>
          <w:color w:val="000000"/>
          <w:sz w:val="20"/>
          <w:szCs w:val="20"/>
        </w:rPr>
      </w:pPr>
    </w:p>
    <w:p w14:paraId="5E147190" w14:textId="1294EB3E" w:rsidR="00E25CED" w:rsidRDefault="00E25CED">
      <w:pPr>
        <w:spacing w:line="240" w:lineRule="auto"/>
        <w:ind w:firstLine="0"/>
        <w:rPr>
          <w:color w:val="000000"/>
          <w:sz w:val="20"/>
          <w:szCs w:val="20"/>
        </w:rPr>
      </w:pPr>
      <w:r>
        <w:rPr>
          <w:color w:val="000000"/>
          <w:sz w:val="20"/>
          <w:szCs w:val="20"/>
        </w:rPr>
        <w:t xml:space="preserve">Guiso, Luigi, Paola Sapienza, and Luigi Zingales. </w:t>
      </w:r>
      <w:r w:rsidR="00463E2E">
        <w:rPr>
          <w:color w:val="000000"/>
          <w:sz w:val="20"/>
          <w:szCs w:val="20"/>
        </w:rPr>
        <w:t>"</w:t>
      </w:r>
      <w:r>
        <w:rPr>
          <w:color w:val="000000"/>
          <w:sz w:val="20"/>
          <w:szCs w:val="20"/>
        </w:rPr>
        <w:t>The Value of Corporate Culture.</w:t>
      </w:r>
      <w:r w:rsidR="00463E2E">
        <w:rPr>
          <w:color w:val="000000"/>
          <w:sz w:val="20"/>
          <w:szCs w:val="20"/>
        </w:rPr>
        <w:t>"</w:t>
      </w:r>
      <w:r>
        <w:rPr>
          <w:color w:val="000000"/>
          <w:sz w:val="20"/>
          <w:szCs w:val="20"/>
        </w:rPr>
        <w:t xml:space="preserve"> NBER Working Paper No. 19557, National Bureau of Economic Research, October 2013.</w:t>
      </w:r>
    </w:p>
    <w:p w14:paraId="51559959" w14:textId="77777777" w:rsidR="00E25CED" w:rsidRDefault="00E25CED">
      <w:pPr>
        <w:spacing w:line="240" w:lineRule="auto"/>
        <w:ind w:firstLine="0"/>
        <w:rPr>
          <w:color w:val="000000"/>
          <w:sz w:val="20"/>
          <w:szCs w:val="20"/>
        </w:rPr>
      </w:pPr>
    </w:p>
    <w:p w14:paraId="5BE8C4B8" w14:textId="14998A1F" w:rsidR="00E25CED" w:rsidRDefault="00E25CED">
      <w:pPr>
        <w:spacing w:line="240" w:lineRule="auto"/>
        <w:ind w:firstLine="0"/>
        <w:rPr>
          <w:color w:val="000000"/>
          <w:sz w:val="20"/>
          <w:szCs w:val="20"/>
        </w:rPr>
      </w:pPr>
      <w:r>
        <w:rPr>
          <w:color w:val="000000"/>
          <w:sz w:val="20"/>
          <w:szCs w:val="20"/>
        </w:rPr>
        <w:t xml:space="preserve">Locke, Edwin A., and Gary P. Latham. </w:t>
      </w:r>
      <w:r w:rsidR="00463E2E">
        <w:rPr>
          <w:color w:val="000000"/>
          <w:sz w:val="20"/>
          <w:szCs w:val="20"/>
        </w:rPr>
        <w:t>"</w:t>
      </w:r>
      <w:r>
        <w:rPr>
          <w:color w:val="000000"/>
          <w:sz w:val="20"/>
          <w:szCs w:val="20"/>
        </w:rPr>
        <w:t>Building a Practically Useful Theory of Goal Setting and Task Motivation: A 35-Year Odyssey.</w:t>
      </w:r>
      <w:r w:rsidR="00463E2E">
        <w:rPr>
          <w:color w:val="000000"/>
          <w:sz w:val="20"/>
          <w:szCs w:val="20"/>
        </w:rPr>
        <w:t>"</w:t>
      </w:r>
      <w:r>
        <w:rPr>
          <w:color w:val="000000"/>
          <w:sz w:val="20"/>
          <w:szCs w:val="20"/>
        </w:rPr>
        <w:t xml:space="preserve"> </w:t>
      </w:r>
      <w:r>
        <w:rPr>
          <w:i/>
          <w:iCs/>
          <w:color w:val="000000"/>
          <w:sz w:val="20"/>
          <w:szCs w:val="20"/>
        </w:rPr>
        <w:t>American Psychologist</w:t>
      </w:r>
      <w:r>
        <w:rPr>
          <w:color w:val="000000"/>
          <w:sz w:val="20"/>
          <w:szCs w:val="20"/>
        </w:rPr>
        <w:t xml:space="preserve"> 57, no. 9 (2002): 705–717.</w:t>
      </w:r>
    </w:p>
    <w:p w14:paraId="0BCFBB70" w14:textId="77777777" w:rsidR="00E25CED" w:rsidRDefault="00E25CED">
      <w:pPr>
        <w:spacing w:line="240" w:lineRule="auto"/>
        <w:ind w:firstLine="0"/>
        <w:rPr>
          <w:color w:val="000000"/>
          <w:sz w:val="20"/>
          <w:szCs w:val="20"/>
        </w:rPr>
      </w:pPr>
    </w:p>
  </w:endnote>
  <w:endnote w:id="31">
    <w:p w14:paraId="3B565D14" w14:textId="1B9F8041" w:rsidR="00E25CED" w:rsidRDefault="00E25CED">
      <w:pPr>
        <w:spacing w:line="240" w:lineRule="auto"/>
        <w:ind w:firstLine="0"/>
        <w:rPr>
          <w:color w:val="000000"/>
          <w:sz w:val="20"/>
          <w:szCs w:val="20"/>
        </w:rPr>
      </w:pPr>
      <w:r w:rsidRPr="004D0108">
        <w:rPr>
          <w:rStyle w:val="EndnotesChar"/>
        </w:rPr>
        <w:endnoteRef/>
      </w:r>
      <w:r w:rsidRPr="004D0108">
        <w:rPr>
          <w:rStyle w:val="EndnotesChar"/>
        </w:rPr>
        <w:t xml:space="preserve"> Adolescence is now understood as a critical period for two overlapping developmental processes. The prefrontal</w:t>
      </w:r>
      <w:r>
        <w:rPr>
          <w:color w:val="000000"/>
          <w:sz w:val="20"/>
          <w:szCs w:val="20"/>
        </w:rPr>
        <w:t xml:space="preserve"> cortex—responsible for self-regulation, long-term reasoning, and impulse control—continues maturing well into the mid-twenties, meaning adolescents experience environmental signals with adult-level emotional intensity but lack the cognitive architecture to process them analytically. Simultaneously, research on </w:t>
      </w:r>
      <w:r w:rsidR="00463E2E">
        <w:rPr>
          <w:color w:val="000000"/>
          <w:sz w:val="20"/>
          <w:szCs w:val="20"/>
        </w:rPr>
        <w:t>"</w:t>
      </w:r>
      <w:r>
        <w:rPr>
          <w:color w:val="000000"/>
          <w:sz w:val="20"/>
          <w:szCs w:val="20"/>
        </w:rPr>
        <w:t>legal socialization</w:t>
      </w:r>
      <w:r w:rsidR="00463E2E">
        <w:rPr>
          <w:color w:val="000000"/>
          <w:sz w:val="20"/>
          <w:szCs w:val="20"/>
        </w:rPr>
        <w:t>"</w:t>
      </w:r>
      <w:r>
        <w:rPr>
          <w:color w:val="000000"/>
          <w:sz w:val="20"/>
          <w:szCs w:val="20"/>
        </w:rPr>
        <w:t xml:space="preserve"> has established that attitudes toward rules, authority, and institutional legitimacy form primarily during childhood and adolescence and are largely set by age </w:t>
      </w:r>
      <w:r w:rsidR="0015326C">
        <w:rPr>
          <w:color w:val="000000"/>
          <w:sz w:val="20"/>
          <w:szCs w:val="20"/>
        </w:rPr>
        <w:t>18</w:t>
      </w:r>
      <w:r>
        <w:rPr>
          <w:color w:val="000000"/>
          <w:sz w:val="20"/>
          <w:szCs w:val="20"/>
        </w:rPr>
        <w:t>. Studies find that adolescents are acutely sensitive to whether authority is exercised consistently and fairly; when enforcement is absent or inconsistent, the result is not just situational misbehavior but durable institutional cynicism that carries into adulthood. A 2020 study in mathematics classrooms found that institutional trust—not just trust in individual teachers—determined whether discipline improved or worsened student engagement, and that students with low institutional trust actually became less engaged after being disciplined.</w:t>
      </w:r>
    </w:p>
    <w:p w14:paraId="7B3D943D" w14:textId="77777777" w:rsidR="00E25CED" w:rsidRDefault="00E25CED">
      <w:pPr>
        <w:spacing w:line="240" w:lineRule="auto"/>
        <w:ind w:firstLine="0"/>
        <w:rPr>
          <w:color w:val="000000"/>
          <w:sz w:val="20"/>
          <w:szCs w:val="20"/>
        </w:rPr>
      </w:pPr>
    </w:p>
    <w:p w14:paraId="046CEF69" w14:textId="5B752270" w:rsidR="00E25CED" w:rsidRDefault="00E25CED">
      <w:pPr>
        <w:spacing w:line="240" w:lineRule="auto"/>
        <w:ind w:firstLine="0"/>
        <w:rPr>
          <w:color w:val="000000"/>
          <w:sz w:val="20"/>
          <w:szCs w:val="20"/>
        </w:rPr>
      </w:pPr>
      <w:r>
        <w:rPr>
          <w:color w:val="000000"/>
          <w:sz w:val="20"/>
          <w:szCs w:val="20"/>
        </w:rPr>
        <w:t xml:space="preserve">Steinberg, Laurence. </w:t>
      </w:r>
      <w:r w:rsidR="00463E2E">
        <w:rPr>
          <w:color w:val="000000"/>
          <w:sz w:val="20"/>
          <w:szCs w:val="20"/>
        </w:rPr>
        <w:t>"</w:t>
      </w:r>
      <w:r>
        <w:rPr>
          <w:color w:val="000000"/>
          <w:sz w:val="20"/>
          <w:szCs w:val="20"/>
        </w:rPr>
        <w:t>Risk Taking in Adolescence: What Changes, and Why?</w:t>
      </w:r>
      <w:r w:rsidR="00463E2E">
        <w:rPr>
          <w:color w:val="000000"/>
          <w:sz w:val="20"/>
          <w:szCs w:val="20"/>
        </w:rPr>
        <w:t>"</w:t>
      </w:r>
      <w:r>
        <w:rPr>
          <w:color w:val="000000"/>
          <w:sz w:val="20"/>
          <w:szCs w:val="20"/>
        </w:rPr>
        <w:t> Current Directions in Psychological Science 16, no. 2 (2007): 55–59.</w:t>
      </w:r>
    </w:p>
    <w:p w14:paraId="62293D60" w14:textId="77777777" w:rsidR="00E25CED" w:rsidRDefault="00E25CED">
      <w:pPr>
        <w:spacing w:line="240" w:lineRule="auto"/>
        <w:ind w:firstLine="0"/>
        <w:rPr>
          <w:color w:val="000000"/>
          <w:sz w:val="20"/>
          <w:szCs w:val="20"/>
        </w:rPr>
      </w:pPr>
    </w:p>
    <w:p w14:paraId="6324687C" w14:textId="012542AD" w:rsidR="00E25CED" w:rsidRDefault="00E25CED">
      <w:pPr>
        <w:spacing w:line="240" w:lineRule="auto"/>
        <w:ind w:firstLine="0"/>
        <w:rPr>
          <w:color w:val="000000"/>
          <w:sz w:val="20"/>
          <w:szCs w:val="20"/>
        </w:rPr>
      </w:pPr>
      <w:r>
        <w:rPr>
          <w:color w:val="000000"/>
          <w:sz w:val="20"/>
          <w:szCs w:val="20"/>
        </w:rPr>
        <w:t xml:space="preserve">Steinberg, Laurence. </w:t>
      </w:r>
      <w:r w:rsidR="00463E2E">
        <w:rPr>
          <w:color w:val="000000"/>
          <w:sz w:val="20"/>
          <w:szCs w:val="20"/>
        </w:rPr>
        <w:t>"</w:t>
      </w:r>
      <w:r>
        <w:rPr>
          <w:color w:val="000000"/>
          <w:sz w:val="20"/>
          <w:szCs w:val="20"/>
        </w:rPr>
        <w:t>Cognitive and Affective Development in Adolescence.</w:t>
      </w:r>
      <w:r w:rsidR="00463E2E">
        <w:rPr>
          <w:color w:val="000000"/>
          <w:sz w:val="20"/>
          <w:szCs w:val="20"/>
        </w:rPr>
        <w:t>"</w:t>
      </w:r>
      <w:r>
        <w:rPr>
          <w:color w:val="000000"/>
          <w:sz w:val="20"/>
          <w:szCs w:val="20"/>
        </w:rPr>
        <w:t> Trends in Cognitive Sciences 9, no. 2 (2005): 69–74.</w:t>
      </w:r>
    </w:p>
    <w:p w14:paraId="06C94A5F" w14:textId="77777777" w:rsidR="00E25CED" w:rsidRDefault="00E25CED">
      <w:pPr>
        <w:spacing w:line="240" w:lineRule="auto"/>
        <w:ind w:firstLine="0"/>
        <w:rPr>
          <w:color w:val="000000"/>
          <w:sz w:val="20"/>
          <w:szCs w:val="20"/>
        </w:rPr>
      </w:pPr>
    </w:p>
    <w:p w14:paraId="7336D282" w14:textId="77777777" w:rsidR="00E25CED" w:rsidRDefault="00E25CED">
      <w:pPr>
        <w:spacing w:line="240" w:lineRule="auto"/>
        <w:ind w:firstLine="0"/>
        <w:rPr>
          <w:color w:val="000000"/>
          <w:sz w:val="20"/>
          <w:szCs w:val="20"/>
        </w:rPr>
      </w:pPr>
      <w:r>
        <w:rPr>
          <w:color w:val="000000"/>
          <w:sz w:val="20"/>
          <w:szCs w:val="20"/>
        </w:rPr>
        <w:t>Tyler, Tom R., and Rick Trinkner. Why Children Follow Rules: Legal Socialization and the Development of Legitimacy. Oxford: Oxford University Press, 2017.</w:t>
      </w:r>
    </w:p>
    <w:p w14:paraId="1936C7AE" w14:textId="77777777" w:rsidR="00E25CED" w:rsidRDefault="00E25CED">
      <w:pPr>
        <w:spacing w:line="240" w:lineRule="auto"/>
        <w:ind w:firstLine="0"/>
        <w:rPr>
          <w:color w:val="000000"/>
          <w:sz w:val="20"/>
          <w:szCs w:val="20"/>
        </w:rPr>
      </w:pPr>
    </w:p>
    <w:p w14:paraId="65971AD3" w14:textId="5B5A82A0" w:rsidR="00E25CED" w:rsidRDefault="00E25CED">
      <w:pPr>
        <w:spacing w:line="240" w:lineRule="auto"/>
        <w:ind w:firstLine="0"/>
        <w:rPr>
          <w:color w:val="000000"/>
          <w:sz w:val="20"/>
          <w:szCs w:val="20"/>
        </w:rPr>
      </w:pPr>
      <w:r>
        <w:rPr>
          <w:color w:val="000000"/>
          <w:sz w:val="20"/>
          <w:szCs w:val="20"/>
        </w:rPr>
        <w:t xml:space="preserve">Fagan, Jeffrey, and Tom R. Tyler. </w:t>
      </w:r>
      <w:r w:rsidR="00463E2E">
        <w:rPr>
          <w:color w:val="000000"/>
          <w:sz w:val="20"/>
          <w:szCs w:val="20"/>
        </w:rPr>
        <w:t>"</w:t>
      </w:r>
      <w:r>
        <w:rPr>
          <w:color w:val="000000"/>
          <w:sz w:val="20"/>
          <w:szCs w:val="20"/>
        </w:rPr>
        <w:t>Legal Socialization of Children and Adolescents.</w:t>
      </w:r>
      <w:r w:rsidR="00463E2E">
        <w:rPr>
          <w:color w:val="000000"/>
          <w:sz w:val="20"/>
          <w:szCs w:val="20"/>
        </w:rPr>
        <w:t>"</w:t>
      </w:r>
      <w:r>
        <w:rPr>
          <w:color w:val="000000"/>
          <w:sz w:val="20"/>
          <w:szCs w:val="20"/>
        </w:rPr>
        <w:t> Social Justice Research 18, no. 3 (2005): 217–241.</w:t>
      </w:r>
    </w:p>
    <w:p w14:paraId="70ED0ED4" w14:textId="77777777" w:rsidR="00E25CED" w:rsidRDefault="00E25CED">
      <w:pPr>
        <w:spacing w:line="240" w:lineRule="auto"/>
        <w:ind w:firstLine="0"/>
        <w:rPr>
          <w:color w:val="000000"/>
          <w:sz w:val="20"/>
          <w:szCs w:val="20"/>
        </w:rPr>
      </w:pPr>
    </w:p>
    <w:p w14:paraId="515ED6B9" w14:textId="78EFFE4C" w:rsidR="00E25CED" w:rsidRDefault="00E25CED">
      <w:pPr>
        <w:spacing w:line="240" w:lineRule="auto"/>
        <w:ind w:firstLine="0"/>
        <w:rPr>
          <w:color w:val="000000"/>
          <w:sz w:val="20"/>
          <w:szCs w:val="20"/>
        </w:rPr>
      </w:pPr>
      <w:r>
        <w:rPr>
          <w:color w:val="000000"/>
          <w:sz w:val="20"/>
          <w:szCs w:val="20"/>
        </w:rPr>
        <w:t xml:space="preserve">Amemiya, Jamie, Adam D. Fine, and Ming-Te Wang. </w:t>
      </w:r>
      <w:r w:rsidR="00463E2E">
        <w:rPr>
          <w:color w:val="000000"/>
          <w:sz w:val="20"/>
          <w:szCs w:val="20"/>
        </w:rPr>
        <w:t>"</w:t>
      </w:r>
      <w:r>
        <w:rPr>
          <w:color w:val="000000"/>
          <w:sz w:val="20"/>
          <w:szCs w:val="20"/>
        </w:rPr>
        <w:t>Trust and Discipline: Adolescents' Institutional and Teacher Trust Predict Classroom Behavioral Engagement Following Teacher Discipline.</w:t>
      </w:r>
      <w:r w:rsidR="00463E2E">
        <w:rPr>
          <w:color w:val="000000"/>
          <w:sz w:val="20"/>
          <w:szCs w:val="20"/>
        </w:rPr>
        <w:t>"</w:t>
      </w:r>
      <w:r>
        <w:rPr>
          <w:color w:val="000000"/>
          <w:sz w:val="20"/>
          <w:szCs w:val="20"/>
        </w:rPr>
        <w:t> Child Development 91, no. 3 (2020): 897–904.</w:t>
      </w:r>
    </w:p>
    <w:p w14:paraId="3E604CDA" w14:textId="77777777" w:rsidR="00E25CED" w:rsidRDefault="00E25CED">
      <w:pPr>
        <w:spacing w:line="240" w:lineRule="auto"/>
        <w:ind w:firstLine="0"/>
        <w:rPr>
          <w:color w:val="000000"/>
          <w:sz w:val="20"/>
          <w:szCs w:val="20"/>
        </w:rPr>
      </w:pPr>
    </w:p>
    <w:p w14:paraId="0F711247" w14:textId="35C86CA8" w:rsidR="00E25CED" w:rsidRDefault="00E25CED">
      <w:pPr>
        <w:spacing w:line="240" w:lineRule="auto"/>
        <w:ind w:firstLine="0"/>
        <w:rPr>
          <w:color w:val="000000"/>
          <w:sz w:val="20"/>
          <w:szCs w:val="20"/>
        </w:rPr>
      </w:pPr>
      <w:r>
        <w:rPr>
          <w:color w:val="000000"/>
          <w:sz w:val="20"/>
          <w:szCs w:val="20"/>
        </w:rPr>
        <w:t xml:space="preserve">Steinberg, Laurence. </w:t>
      </w:r>
      <w:r w:rsidR="00463E2E">
        <w:rPr>
          <w:color w:val="000000"/>
          <w:sz w:val="20"/>
          <w:szCs w:val="20"/>
        </w:rPr>
        <w:t>"</w:t>
      </w:r>
      <w:r>
        <w:rPr>
          <w:color w:val="000000"/>
          <w:sz w:val="20"/>
          <w:szCs w:val="20"/>
        </w:rPr>
        <w:t>Should the Science of Adolescent Brain Development Inform Public Policy?</w:t>
      </w:r>
      <w:r w:rsidR="00463E2E">
        <w:rPr>
          <w:color w:val="000000"/>
          <w:sz w:val="20"/>
          <w:szCs w:val="20"/>
        </w:rPr>
        <w:t>"</w:t>
      </w:r>
      <w:r>
        <w:rPr>
          <w:color w:val="000000"/>
          <w:sz w:val="20"/>
          <w:szCs w:val="20"/>
        </w:rPr>
        <w:t> Issues in Science and Technology 28, no. 2 (2012).</w:t>
      </w:r>
    </w:p>
    <w:p w14:paraId="7FD6E16A" w14:textId="77777777" w:rsidR="00E25CED" w:rsidRDefault="00E25CED">
      <w:pPr>
        <w:spacing w:line="240" w:lineRule="auto"/>
        <w:ind w:firstLine="0"/>
        <w:rPr>
          <w:color w:val="000000"/>
          <w:sz w:val="20"/>
          <w:szCs w:val="20"/>
        </w:rPr>
      </w:pPr>
    </w:p>
  </w:endnote>
  <w:endnote w:id="32">
    <w:p w14:paraId="7192A57A" w14:textId="7675E744" w:rsidR="00E25CED" w:rsidRDefault="00E25CED">
      <w:pPr>
        <w:spacing w:line="240" w:lineRule="auto"/>
        <w:ind w:firstLine="0"/>
        <w:rPr>
          <w:color w:val="000000"/>
          <w:sz w:val="20"/>
          <w:szCs w:val="20"/>
        </w:rPr>
      </w:pPr>
      <w:r w:rsidRPr="00E415EC">
        <w:rPr>
          <w:rStyle w:val="EndnotesChar"/>
        </w:rPr>
        <w:endnoteRef/>
      </w:r>
      <w:r w:rsidRPr="00E415EC">
        <w:rPr>
          <w:rStyle w:val="EndnotesChar"/>
        </w:rPr>
        <w:t xml:space="preserve"> The Moynihan episode remains one of the most consequential collisions between social science and politics in</w:t>
      </w:r>
      <w:r>
        <w:rPr>
          <w:color w:val="000000"/>
          <w:sz w:val="20"/>
          <w:szCs w:val="20"/>
        </w:rPr>
        <w:t xml:space="preserve"> twentieth-century America. The report was an internal policy document written to build support within the Johnson administration for expanded federal employment </w:t>
      </w:r>
      <w:r w:rsidR="001B5D04">
        <w:rPr>
          <w:color w:val="000000"/>
          <w:sz w:val="20"/>
          <w:szCs w:val="20"/>
        </w:rPr>
        <w:t>programs but</w:t>
      </w:r>
      <w:r>
        <w:rPr>
          <w:color w:val="000000"/>
          <w:sz w:val="20"/>
          <w:szCs w:val="20"/>
        </w:rPr>
        <w:t xml:space="preserve"> once leaked to the press it took on a life its author never intended. The phrase </w:t>
      </w:r>
      <w:r w:rsidR="00463E2E">
        <w:rPr>
          <w:color w:val="000000"/>
          <w:sz w:val="20"/>
          <w:szCs w:val="20"/>
        </w:rPr>
        <w:t>"</w:t>
      </w:r>
      <w:r>
        <w:rPr>
          <w:color w:val="000000"/>
          <w:sz w:val="20"/>
          <w:szCs w:val="20"/>
        </w:rPr>
        <w:t>blaming the victim</w:t>
      </w:r>
      <w:r w:rsidR="00463E2E">
        <w:rPr>
          <w:color w:val="000000"/>
          <w:sz w:val="20"/>
          <w:szCs w:val="20"/>
        </w:rPr>
        <w:t>"</w:t>
      </w:r>
      <w:r>
        <w:rPr>
          <w:color w:val="000000"/>
          <w:sz w:val="20"/>
          <w:szCs w:val="20"/>
        </w:rPr>
        <w:t xml:space="preserve"> entered the American lexicon specifically as a response to Moynihan's findings, and the fallout reshaped how policymakers, journalists, and academics discussed race and poverty for decades afterward. The report itself is less than fifty pages and remains remarkably readable for a government document.</w:t>
      </w:r>
    </w:p>
    <w:p w14:paraId="21E330D5" w14:textId="77777777" w:rsidR="00E25CED" w:rsidRDefault="00E25CED">
      <w:pPr>
        <w:spacing w:line="240" w:lineRule="auto"/>
        <w:ind w:firstLine="0"/>
        <w:rPr>
          <w:color w:val="000000"/>
          <w:sz w:val="20"/>
          <w:szCs w:val="20"/>
        </w:rPr>
      </w:pPr>
    </w:p>
    <w:p w14:paraId="23D52A6E" w14:textId="77777777" w:rsidR="00E25CED" w:rsidRDefault="00E25CED">
      <w:pPr>
        <w:spacing w:line="240" w:lineRule="auto"/>
        <w:ind w:firstLine="0"/>
        <w:rPr>
          <w:color w:val="000000"/>
          <w:sz w:val="20"/>
          <w:szCs w:val="20"/>
        </w:rPr>
      </w:pPr>
      <w:r>
        <w:rPr>
          <w:color w:val="000000"/>
          <w:sz w:val="20"/>
          <w:szCs w:val="20"/>
        </w:rPr>
        <w:t>Geary, Daniel. Beyond Civil Rights: The Moynihan Report and Its Legacy. Philadelphia: University of Pennsylvania Press, 2015.</w:t>
      </w:r>
    </w:p>
    <w:p w14:paraId="43C989A3" w14:textId="77777777" w:rsidR="00E25CED" w:rsidRDefault="00E25CED">
      <w:pPr>
        <w:spacing w:line="240" w:lineRule="auto"/>
        <w:ind w:firstLine="0"/>
        <w:rPr>
          <w:color w:val="000000"/>
          <w:sz w:val="20"/>
          <w:szCs w:val="20"/>
        </w:rPr>
      </w:pPr>
    </w:p>
    <w:p w14:paraId="25B21D97" w14:textId="77777777" w:rsidR="00E25CED" w:rsidRDefault="00E25CED">
      <w:pPr>
        <w:spacing w:line="240" w:lineRule="auto"/>
        <w:ind w:firstLine="0"/>
        <w:rPr>
          <w:color w:val="000000"/>
          <w:sz w:val="20"/>
          <w:szCs w:val="20"/>
        </w:rPr>
      </w:pPr>
      <w:r>
        <w:rPr>
          <w:color w:val="000000"/>
          <w:sz w:val="20"/>
          <w:szCs w:val="20"/>
        </w:rPr>
        <w:t>Rainwater, Lee, and William L. Yancey. The Moynihan Report and the Politics of Controversy. Cambridge, MA: MIT Press, 1967.</w:t>
      </w:r>
    </w:p>
    <w:p w14:paraId="3D25E87F" w14:textId="77777777" w:rsidR="00E25CED" w:rsidRDefault="00E25CED">
      <w:pPr>
        <w:spacing w:line="240" w:lineRule="auto"/>
        <w:ind w:firstLine="0"/>
        <w:rPr>
          <w:color w:val="000000"/>
          <w:sz w:val="20"/>
          <w:szCs w:val="20"/>
        </w:rPr>
      </w:pPr>
    </w:p>
    <w:p w14:paraId="72552447" w14:textId="2E18D96C" w:rsidR="00E25CED" w:rsidRDefault="00E25CED">
      <w:pPr>
        <w:spacing w:line="240" w:lineRule="auto"/>
        <w:ind w:firstLine="0"/>
        <w:rPr>
          <w:color w:val="000000"/>
          <w:sz w:val="20"/>
          <w:szCs w:val="20"/>
        </w:rPr>
      </w:pPr>
      <w:r>
        <w:rPr>
          <w:color w:val="000000"/>
          <w:sz w:val="20"/>
          <w:szCs w:val="20"/>
        </w:rPr>
        <w:t xml:space="preserve">Coates, Ta-Nehisi. </w:t>
      </w:r>
      <w:r w:rsidR="00463E2E">
        <w:rPr>
          <w:color w:val="000000"/>
          <w:sz w:val="20"/>
          <w:szCs w:val="20"/>
        </w:rPr>
        <w:t>"</w:t>
      </w:r>
      <w:r>
        <w:rPr>
          <w:color w:val="000000"/>
          <w:sz w:val="20"/>
          <w:szCs w:val="20"/>
        </w:rPr>
        <w:t>The Black Family in the Age of Mass Incarceration.</w:t>
      </w:r>
      <w:r w:rsidR="00463E2E">
        <w:rPr>
          <w:color w:val="000000"/>
          <w:sz w:val="20"/>
          <w:szCs w:val="20"/>
        </w:rPr>
        <w:t>"</w:t>
      </w:r>
      <w:r>
        <w:rPr>
          <w:color w:val="000000"/>
          <w:sz w:val="20"/>
          <w:szCs w:val="20"/>
        </w:rPr>
        <w:t xml:space="preserve"> The Atlantic, October 2015.</w:t>
      </w:r>
    </w:p>
    <w:p w14:paraId="475DB752" w14:textId="77777777" w:rsidR="00E25CED" w:rsidRDefault="00E25CED">
      <w:pPr>
        <w:spacing w:line="240" w:lineRule="auto"/>
        <w:ind w:firstLine="0"/>
        <w:rPr>
          <w:color w:val="000000"/>
          <w:sz w:val="20"/>
          <w:szCs w:val="20"/>
        </w:rPr>
      </w:pPr>
      <w:r>
        <w:rPr>
          <w:color w:val="000000"/>
          <w:sz w:val="20"/>
          <w:szCs w:val="20"/>
        </w:rPr>
        <w:t>Patterson, James T. Freedom Is Not Enough: The Moynihan Report and America's Struggle over Black Family Life from LBJ to Obama. New York: Basic Books, 2010.</w:t>
      </w:r>
    </w:p>
    <w:p w14:paraId="714EA49F" w14:textId="77777777" w:rsidR="00E25CED" w:rsidRDefault="00E25CED">
      <w:pPr>
        <w:spacing w:line="240" w:lineRule="auto"/>
        <w:ind w:firstLine="0"/>
        <w:rPr>
          <w:color w:val="000000"/>
          <w:sz w:val="20"/>
          <w:szCs w:val="20"/>
        </w:rPr>
      </w:pPr>
    </w:p>
    <w:p w14:paraId="710E4DD0" w14:textId="332B01C7" w:rsidR="00E25CED" w:rsidRDefault="00463E2E">
      <w:pPr>
        <w:spacing w:line="240" w:lineRule="auto"/>
        <w:ind w:firstLine="0"/>
        <w:rPr>
          <w:color w:val="000000"/>
          <w:sz w:val="20"/>
          <w:szCs w:val="20"/>
        </w:rPr>
      </w:pPr>
      <w:r>
        <w:rPr>
          <w:color w:val="000000"/>
          <w:sz w:val="20"/>
          <w:szCs w:val="20"/>
        </w:rPr>
        <w:t>"</w:t>
      </w:r>
      <w:r w:rsidR="00E25CED">
        <w:rPr>
          <w:color w:val="000000"/>
          <w:sz w:val="20"/>
          <w:szCs w:val="20"/>
        </w:rPr>
        <w:t>Explaining the Moynihan Report.</w:t>
      </w:r>
      <w:r>
        <w:rPr>
          <w:color w:val="000000"/>
          <w:sz w:val="20"/>
          <w:szCs w:val="20"/>
        </w:rPr>
        <w:t>"</w:t>
      </w:r>
      <w:r w:rsidR="00E25CED">
        <w:rPr>
          <w:color w:val="000000"/>
          <w:sz w:val="20"/>
          <w:szCs w:val="20"/>
        </w:rPr>
        <w:t xml:space="preserve"> PBS American Masters, season 38, 2024.</w:t>
      </w:r>
    </w:p>
    <w:p w14:paraId="4CCC0DB0" w14:textId="77777777" w:rsidR="00E25CED" w:rsidRDefault="00E25CED">
      <w:pPr>
        <w:spacing w:line="240" w:lineRule="auto"/>
        <w:ind w:firstLine="0"/>
        <w:rPr>
          <w:color w:val="000000"/>
          <w:sz w:val="20"/>
          <w:szCs w:val="20"/>
        </w:rPr>
      </w:pPr>
    </w:p>
  </w:endnote>
  <w:endnote w:id="33">
    <w:p w14:paraId="595BCF33" w14:textId="77777777" w:rsidR="00C04EB4" w:rsidRDefault="00C04EB4" w:rsidP="00C04EB4">
      <w:pPr>
        <w:spacing w:line="240" w:lineRule="auto"/>
        <w:ind w:firstLine="0"/>
        <w:rPr>
          <w:sz w:val="20"/>
          <w:szCs w:val="20"/>
        </w:rPr>
      </w:pPr>
      <w:r w:rsidRPr="00E415EC">
        <w:rPr>
          <w:rStyle w:val="EndnotesChar"/>
        </w:rPr>
        <w:endnoteRef/>
      </w:r>
      <w:r w:rsidRPr="00E415EC">
        <w:rPr>
          <w:rStyle w:val="EndnotesChar"/>
        </w:rPr>
        <w:t xml:space="preserve"> </w:t>
      </w:r>
      <w:r w:rsidRPr="00C04EB4">
        <w:rPr>
          <w:sz w:val="20"/>
          <w:szCs w:val="20"/>
        </w:rPr>
        <w:t xml:space="preserve">The claim that the Moynihan controversy chilled social-science research on family structure and poverty is made, in the scholarly record, by the figures best positioned to know. Douglas Massey and Robert Sampson, introducing the fiftieth-anniversary </w:t>
      </w:r>
      <w:r w:rsidRPr="00C04EB4">
        <w:rPr>
          <w:i/>
          <w:iCs/>
          <w:sz w:val="20"/>
          <w:szCs w:val="20"/>
        </w:rPr>
        <w:t>Annals</w:t>
      </w:r>
      <w:r w:rsidRPr="00C04EB4">
        <w:rPr>
          <w:sz w:val="20"/>
          <w:szCs w:val="20"/>
        </w:rPr>
        <w:t xml:space="preserve"> volume revisiting the report, describe a roughly two-decade silence during which sociologists steered away from work touching race, culture, and poverty. William Julius Wilson, whose 1987 </w:t>
      </w:r>
      <w:r w:rsidRPr="00C04EB4">
        <w:rPr>
          <w:i/>
          <w:iCs/>
          <w:sz w:val="20"/>
          <w:szCs w:val="20"/>
        </w:rPr>
        <w:t>The Truly Disadvantaged</w:t>
      </w:r>
      <w:r w:rsidRPr="00C04EB4">
        <w:rPr>
          <w:sz w:val="20"/>
          <w:szCs w:val="20"/>
        </w:rPr>
        <w:t xml:space="preserve"> is generally credited with breaking the silence, wrote that liberal researchers fearing charges of racism or victim-blaming avoided unflattering characterizations of urban Black communities until the mid-1980s. Sara McLanahan and Christopher Jencks, on the report's fiftieth anniversary, describe the same window: scholars who might have investigated the effects of father absence largely chose not to. The most prominent dissent comes from sociologist Philip N. Cohen, who argues that the chilling-effect narrative overstates what happened, that research on Black families continued through the 1970s but reoriented toward structural framings rather than disappearing. The position taken here follows Wilson, Massey and Sampson, and McLanahan and Jencks, while acknowledging Cohen's critique.</w:t>
      </w:r>
    </w:p>
    <w:p w14:paraId="1D763BF0" w14:textId="77777777" w:rsidR="00C04EB4" w:rsidRPr="00C04EB4" w:rsidRDefault="00C04EB4" w:rsidP="00C04EB4">
      <w:pPr>
        <w:spacing w:line="240" w:lineRule="auto"/>
        <w:ind w:firstLine="0"/>
        <w:rPr>
          <w:sz w:val="20"/>
          <w:szCs w:val="20"/>
        </w:rPr>
      </w:pPr>
    </w:p>
    <w:p w14:paraId="3228AE5F" w14:textId="77777777" w:rsidR="00C04EB4" w:rsidRPr="00C04EB4" w:rsidRDefault="00C04EB4" w:rsidP="00C04EB4">
      <w:pPr>
        <w:spacing w:line="240" w:lineRule="auto"/>
        <w:ind w:firstLine="0"/>
        <w:rPr>
          <w:sz w:val="20"/>
          <w:szCs w:val="20"/>
        </w:rPr>
      </w:pPr>
      <w:r w:rsidRPr="00C04EB4">
        <w:rPr>
          <w:sz w:val="20"/>
          <w:szCs w:val="20"/>
        </w:rPr>
        <w:t xml:space="preserve">Massey, Douglas S., and Robert J. Sampson. "Moynihan Redux: Legacies and Lessons." </w:t>
      </w:r>
      <w:r w:rsidRPr="00C04EB4">
        <w:rPr>
          <w:i/>
          <w:iCs/>
          <w:sz w:val="20"/>
          <w:szCs w:val="20"/>
        </w:rPr>
        <w:t>The Annals of the American Academy of Political and Social Science</w:t>
      </w:r>
      <w:r w:rsidRPr="00C04EB4">
        <w:rPr>
          <w:sz w:val="20"/>
          <w:szCs w:val="20"/>
        </w:rPr>
        <w:t xml:space="preserve"> 621, no. 1 (January 2009): 6–27. </w:t>
      </w:r>
      <w:hyperlink r:id="rId51" w:history="1">
        <w:r w:rsidRPr="00C04EB4">
          <w:rPr>
            <w:rStyle w:val="Hyperlink"/>
            <w:sz w:val="20"/>
            <w:szCs w:val="20"/>
          </w:rPr>
          <w:t>https://journals.sagepub.com/doi/10.1177/0002716208325122</w:t>
        </w:r>
      </w:hyperlink>
      <w:r w:rsidRPr="00C04EB4">
        <w:rPr>
          <w:sz w:val="20"/>
          <w:szCs w:val="20"/>
        </w:rPr>
        <w:t>.</w:t>
      </w:r>
    </w:p>
    <w:p w14:paraId="27564AB4" w14:textId="77777777" w:rsidR="00C04EB4" w:rsidRDefault="00C04EB4" w:rsidP="00C04EB4">
      <w:pPr>
        <w:spacing w:line="240" w:lineRule="auto"/>
        <w:ind w:firstLine="0"/>
        <w:rPr>
          <w:sz w:val="20"/>
          <w:szCs w:val="20"/>
        </w:rPr>
      </w:pPr>
    </w:p>
    <w:p w14:paraId="5DB639FE" w14:textId="5BE62640" w:rsidR="00C04EB4" w:rsidRPr="00C04EB4" w:rsidRDefault="00C04EB4" w:rsidP="00C04EB4">
      <w:pPr>
        <w:spacing w:line="240" w:lineRule="auto"/>
        <w:ind w:firstLine="0"/>
        <w:rPr>
          <w:sz w:val="20"/>
          <w:szCs w:val="20"/>
        </w:rPr>
      </w:pPr>
      <w:r w:rsidRPr="00C04EB4">
        <w:rPr>
          <w:sz w:val="20"/>
          <w:szCs w:val="20"/>
        </w:rPr>
        <w:t xml:space="preserve">Wilson, William Julius. </w:t>
      </w:r>
      <w:r w:rsidRPr="00C04EB4">
        <w:rPr>
          <w:i/>
          <w:iCs/>
          <w:sz w:val="20"/>
          <w:szCs w:val="20"/>
        </w:rPr>
        <w:t>The Truly Disadvantaged: The Inner City, the Underclass, and Public Policy</w:t>
      </w:r>
      <w:r w:rsidRPr="00C04EB4">
        <w:rPr>
          <w:sz w:val="20"/>
          <w:szCs w:val="20"/>
        </w:rPr>
        <w:t>. Chicago: University of Chicago Press, 1987. See especially chapter 1.</w:t>
      </w:r>
    </w:p>
    <w:p w14:paraId="2EEB2DFD" w14:textId="77777777" w:rsidR="00C04EB4" w:rsidRDefault="00C04EB4" w:rsidP="00C04EB4">
      <w:pPr>
        <w:spacing w:line="240" w:lineRule="auto"/>
        <w:ind w:firstLine="0"/>
        <w:rPr>
          <w:sz w:val="20"/>
          <w:szCs w:val="20"/>
        </w:rPr>
      </w:pPr>
    </w:p>
    <w:p w14:paraId="32DBAA0E" w14:textId="347CB2FC" w:rsidR="00C04EB4" w:rsidRPr="00C04EB4" w:rsidRDefault="00C04EB4" w:rsidP="00C04EB4">
      <w:pPr>
        <w:spacing w:line="240" w:lineRule="auto"/>
        <w:ind w:firstLine="0"/>
        <w:rPr>
          <w:sz w:val="20"/>
          <w:szCs w:val="20"/>
        </w:rPr>
      </w:pPr>
      <w:r w:rsidRPr="00C04EB4">
        <w:rPr>
          <w:sz w:val="20"/>
          <w:szCs w:val="20"/>
        </w:rPr>
        <w:t xml:space="preserve">McLanahan, Sara, and Christopher Jencks. "Was Moynihan Right? What Happens to the Children of Unmarried Mothers." </w:t>
      </w:r>
      <w:r w:rsidRPr="00C04EB4">
        <w:rPr>
          <w:i/>
          <w:iCs/>
          <w:sz w:val="20"/>
          <w:szCs w:val="20"/>
        </w:rPr>
        <w:t>Education Next</w:t>
      </w:r>
      <w:r w:rsidRPr="00C04EB4">
        <w:rPr>
          <w:sz w:val="20"/>
          <w:szCs w:val="20"/>
        </w:rPr>
        <w:t xml:space="preserve"> 15, no. 2 (Spring 2015): 14–20. </w:t>
      </w:r>
      <w:hyperlink r:id="rId52" w:history="1">
        <w:r w:rsidRPr="00C04EB4">
          <w:rPr>
            <w:rStyle w:val="Hyperlink"/>
            <w:sz w:val="20"/>
            <w:szCs w:val="20"/>
          </w:rPr>
          <w:t>https://www.educationnext.org/was-moynihan-right/</w:t>
        </w:r>
      </w:hyperlink>
      <w:r w:rsidRPr="00C04EB4">
        <w:rPr>
          <w:sz w:val="20"/>
          <w:szCs w:val="20"/>
        </w:rPr>
        <w:t>.</w:t>
      </w:r>
    </w:p>
    <w:p w14:paraId="0AE277AC" w14:textId="77777777" w:rsidR="00C04EB4" w:rsidRDefault="00C04EB4" w:rsidP="00C04EB4">
      <w:pPr>
        <w:spacing w:line="240" w:lineRule="auto"/>
        <w:ind w:firstLine="0"/>
        <w:rPr>
          <w:sz w:val="20"/>
          <w:szCs w:val="20"/>
        </w:rPr>
      </w:pPr>
    </w:p>
    <w:p w14:paraId="30179A54" w14:textId="0F4FFE7B" w:rsidR="00C04EB4" w:rsidRPr="00C04EB4" w:rsidRDefault="00C04EB4" w:rsidP="00C04EB4">
      <w:pPr>
        <w:spacing w:line="240" w:lineRule="auto"/>
        <w:ind w:firstLine="0"/>
        <w:rPr>
          <w:sz w:val="20"/>
          <w:szCs w:val="20"/>
        </w:rPr>
      </w:pPr>
      <w:r w:rsidRPr="00C04EB4">
        <w:rPr>
          <w:sz w:val="20"/>
          <w:szCs w:val="20"/>
        </w:rPr>
        <w:t xml:space="preserve">Cohen, Philip N. "Is the Moynihan-Backlash Chilling Effect a Myth?" </w:t>
      </w:r>
      <w:r w:rsidRPr="00C04EB4">
        <w:rPr>
          <w:i/>
          <w:iCs/>
          <w:sz w:val="20"/>
          <w:szCs w:val="20"/>
        </w:rPr>
        <w:t>Family Inequality</w:t>
      </w:r>
      <w:r w:rsidRPr="00C04EB4">
        <w:rPr>
          <w:sz w:val="20"/>
          <w:szCs w:val="20"/>
        </w:rPr>
        <w:t xml:space="preserve"> (blog), March 16, 2015. </w:t>
      </w:r>
      <w:hyperlink r:id="rId53" w:history="1">
        <w:r w:rsidRPr="00C04EB4">
          <w:rPr>
            <w:rStyle w:val="Hyperlink"/>
            <w:sz w:val="20"/>
            <w:szCs w:val="20"/>
          </w:rPr>
          <w:t>https://familyinequality.wordpress.com/2015/03/16/moynihan-backlashs-myth/</w:t>
        </w:r>
      </w:hyperlink>
      <w:r w:rsidRPr="00C04EB4">
        <w:rPr>
          <w:sz w:val="20"/>
          <w:szCs w:val="20"/>
        </w:rPr>
        <w:t>.</w:t>
      </w:r>
    </w:p>
    <w:p w14:paraId="7852D36E" w14:textId="148847AF" w:rsidR="00C04EB4" w:rsidRDefault="00C04EB4" w:rsidP="00C04EB4">
      <w:pPr>
        <w:spacing w:line="240" w:lineRule="auto"/>
        <w:ind w:firstLine="0"/>
        <w:rPr>
          <w:color w:val="000000"/>
          <w:sz w:val="20"/>
          <w:szCs w:val="20"/>
        </w:rPr>
      </w:pPr>
    </w:p>
  </w:endnote>
  <w:endnote w:id="34">
    <w:p w14:paraId="42DAB072" w14:textId="77777777" w:rsidR="007029B6" w:rsidRDefault="007029B6" w:rsidP="007029B6">
      <w:pPr>
        <w:spacing w:line="240" w:lineRule="auto"/>
        <w:ind w:firstLine="0"/>
        <w:rPr>
          <w:color w:val="000000"/>
          <w:sz w:val="20"/>
          <w:szCs w:val="20"/>
        </w:rPr>
      </w:pPr>
      <w:r w:rsidRPr="00E415EC">
        <w:rPr>
          <w:rStyle w:val="EndnotesChar"/>
        </w:rPr>
        <w:endnoteRef/>
      </w:r>
      <w:r w:rsidRPr="00E415EC">
        <w:rPr>
          <w:rStyle w:val="EndnotesChar"/>
        </w:rPr>
        <w:t xml:space="preserve"> Wilson's </w:t>
      </w:r>
      <w:r w:rsidRPr="00E415EC">
        <w:rPr>
          <w:rStyle w:val="EndnotesChar"/>
          <w:i/>
          <w:iCs/>
        </w:rPr>
        <w:t>The Truly Disadvantaged</w:t>
      </w:r>
      <w:r w:rsidRPr="00E415EC">
        <w:rPr>
          <w:rStyle w:val="EndnotesChar"/>
        </w:rPr>
        <w:t xml:space="preserve"> won the C. Wright Mills Award and was named one of the best books of the</w:t>
      </w:r>
      <w:r w:rsidRPr="0053207D">
        <w:rPr>
          <w:color w:val="000000"/>
          <w:sz w:val="20"/>
          <w:szCs w:val="20"/>
        </w:rPr>
        <w:t xml:space="preserve"> year by the </w:t>
      </w:r>
      <w:r w:rsidRPr="0053207D">
        <w:rPr>
          <w:i/>
          <w:iCs/>
          <w:color w:val="000000"/>
          <w:sz w:val="20"/>
          <w:szCs w:val="20"/>
        </w:rPr>
        <w:t>New York Times Book Review</w:t>
      </w:r>
      <w:r w:rsidRPr="0053207D">
        <w:rPr>
          <w:color w:val="000000"/>
          <w:sz w:val="20"/>
          <w:szCs w:val="20"/>
        </w:rPr>
        <w:t xml:space="preserve">. His credibility derived partly from his 1978 book </w:t>
      </w:r>
      <w:r w:rsidRPr="0053207D">
        <w:rPr>
          <w:i/>
          <w:iCs/>
          <w:color w:val="000000"/>
          <w:sz w:val="20"/>
          <w:szCs w:val="20"/>
        </w:rPr>
        <w:t>The Declining Significance of Race</w:t>
      </w:r>
      <w:r w:rsidRPr="0053207D">
        <w:rPr>
          <w:color w:val="000000"/>
          <w:sz w:val="20"/>
          <w:szCs w:val="20"/>
        </w:rPr>
        <w:t>, which had drawn sharp criticism from Black intellectuals, making it difficult to dismiss him as a conservative appropriating poverty data</w:t>
      </w:r>
      <w:r>
        <w:rPr>
          <w:color w:val="000000"/>
          <w:sz w:val="20"/>
          <w:szCs w:val="20"/>
        </w:rPr>
        <w:t>.</w:t>
      </w:r>
    </w:p>
    <w:p w14:paraId="5AAFE64C" w14:textId="77777777" w:rsidR="007029B6" w:rsidRDefault="007029B6" w:rsidP="007029B6">
      <w:pPr>
        <w:spacing w:line="240" w:lineRule="auto"/>
        <w:ind w:firstLine="0"/>
        <w:rPr>
          <w:color w:val="000000"/>
          <w:sz w:val="20"/>
          <w:szCs w:val="20"/>
        </w:rPr>
      </w:pPr>
    </w:p>
    <w:p w14:paraId="2922C621" w14:textId="77777777" w:rsidR="007029B6" w:rsidRDefault="007029B6" w:rsidP="007029B6">
      <w:pPr>
        <w:spacing w:line="240" w:lineRule="auto"/>
        <w:ind w:firstLine="0"/>
        <w:rPr>
          <w:color w:val="000000"/>
          <w:sz w:val="20"/>
          <w:szCs w:val="20"/>
        </w:rPr>
      </w:pPr>
      <w:r>
        <w:rPr>
          <w:color w:val="000000"/>
          <w:sz w:val="20"/>
          <w:szCs w:val="20"/>
        </w:rPr>
        <w:t>Wilson, William Julius. The Truly Disadvantaged: The Inner City, the Underclass, and Public Policy. Chicago: University of Chicago Press, 1987.</w:t>
      </w:r>
    </w:p>
    <w:p w14:paraId="3617B5A2" w14:textId="77777777" w:rsidR="007029B6" w:rsidRDefault="007029B6" w:rsidP="007029B6">
      <w:pPr>
        <w:spacing w:line="240" w:lineRule="auto"/>
        <w:ind w:firstLine="0"/>
        <w:rPr>
          <w:color w:val="000000"/>
          <w:sz w:val="20"/>
          <w:szCs w:val="20"/>
        </w:rPr>
      </w:pPr>
    </w:p>
    <w:p w14:paraId="469FD2EE" w14:textId="77777777" w:rsidR="007029B6" w:rsidRDefault="007029B6" w:rsidP="007029B6">
      <w:pPr>
        <w:spacing w:line="240" w:lineRule="auto"/>
        <w:ind w:firstLine="0"/>
        <w:rPr>
          <w:color w:val="000000"/>
          <w:sz w:val="20"/>
          <w:szCs w:val="20"/>
        </w:rPr>
      </w:pPr>
      <w:r>
        <w:rPr>
          <w:color w:val="000000"/>
          <w:sz w:val="20"/>
          <w:szCs w:val="20"/>
        </w:rPr>
        <w:t>Sudhir Venkatesh. "William Julius Wilson's More Than Just Race." Slate, March 16, 2009.</w:t>
      </w:r>
    </w:p>
    <w:p w14:paraId="7C6BCE72" w14:textId="77777777" w:rsidR="007029B6" w:rsidRDefault="007029B6" w:rsidP="007029B6">
      <w:pPr>
        <w:spacing w:line="240" w:lineRule="auto"/>
        <w:rPr>
          <w:color w:val="000000"/>
          <w:sz w:val="20"/>
          <w:szCs w:val="20"/>
        </w:rPr>
      </w:pPr>
    </w:p>
  </w:endnote>
  <w:endnote w:id="35">
    <w:p w14:paraId="4F8B4BB5" w14:textId="77777777" w:rsidR="007029B6" w:rsidRPr="0053207D" w:rsidRDefault="007029B6" w:rsidP="007029B6">
      <w:pPr>
        <w:spacing w:line="240" w:lineRule="auto"/>
        <w:ind w:firstLine="0"/>
        <w:rPr>
          <w:color w:val="000000"/>
          <w:sz w:val="20"/>
          <w:szCs w:val="20"/>
        </w:rPr>
      </w:pPr>
      <w:r w:rsidRPr="00E415EC">
        <w:rPr>
          <w:rStyle w:val="EndnotesChar"/>
        </w:rPr>
        <w:endnoteRef/>
      </w:r>
      <w:r w:rsidRPr="00E415EC">
        <w:rPr>
          <w:rStyle w:val="EndnotesChar"/>
        </w:rPr>
        <w:t xml:space="preserve"> When Moynihan published his report in 1965, approximately 25 percent of Black infants were born to unmarried</w:t>
      </w:r>
      <w:r w:rsidRPr="0053207D">
        <w:rPr>
          <w:color w:val="000000"/>
          <w:sz w:val="20"/>
          <w:szCs w:val="20"/>
        </w:rPr>
        <w:t xml:space="preserve"> mothers; by 1990 the figure had reached 64 percent. White out-of-wedlock birthrates rose from about 3 percent to 18 percent over the same period.</w:t>
      </w:r>
    </w:p>
    <w:p w14:paraId="2DE44DF3" w14:textId="77777777" w:rsidR="007029B6" w:rsidRDefault="007029B6" w:rsidP="007029B6">
      <w:pPr>
        <w:spacing w:line="240" w:lineRule="auto"/>
        <w:ind w:firstLine="0"/>
        <w:rPr>
          <w:color w:val="000000"/>
          <w:sz w:val="20"/>
          <w:szCs w:val="20"/>
        </w:rPr>
      </w:pPr>
    </w:p>
    <w:p w14:paraId="2A8F2C09" w14:textId="77777777" w:rsidR="007029B6" w:rsidRDefault="007029B6" w:rsidP="007029B6">
      <w:pPr>
        <w:spacing w:line="240" w:lineRule="auto"/>
        <w:ind w:firstLine="0"/>
        <w:rPr>
          <w:color w:val="000000"/>
          <w:sz w:val="20"/>
          <w:szCs w:val="20"/>
        </w:rPr>
      </w:pPr>
      <w:r>
        <w:rPr>
          <w:color w:val="000000"/>
          <w:sz w:val="20"/>
          <w:szCs w:val="20"/>
        </w:rPr>
        <w:t>Akerlof, George A., and Janet L. Yellen. "An Analysis of Out-of-Wedlock Births in the United States." Brookings Papers on Economic Activity, no. 1 (1996): 277–317.</w:t>
      </w:r>
    </w:p>
    <w:p w14:paraId="5199170E" w14:textId="77777777" w:rsidR="007029B6" w:rsidRDefault="007029B6" w:rsidP="007029B6">
      <w:pPr>
        <w:spacing w:line="240" w:lineRule="auto"/>
        <w:ind w:firstLine="0"/>
        <w:rPr>
          <w:color w:val="000000"/>
          <w:sz w:val="20"/>
          <w:szCs w:val="20"/>
        </w:rPr>
      </w:pPr>
    </w:p>
    <w:p w14:paraId="7916605B" w14:textId="77777777" w:rsidR="007029B6" w:rsidRDefault="007029B6" w:rsidP="007029B6">
      <w:pPr>
        <w:spacing w:line="240" w:lineRule="auto"/>
        <w:ind w:firstLine="0"/>
        <w:rPr>
          <w:color w:val="000000"/>
          <w:sz w:val="20"/>
          <w:szCs w:val="20"/>
        </w:rPr>
      </w:pPr>
      <w:r>
        <w:rPr>
          <w:color w:val="000000"/>
          <w:sz w:val="20"/>
          <w:szCs w:val="20"/>
        </w:rPr>
        <w:t>Acs, Gregory. The Moynihan Report Revisited. Washington, DC: Urban Institute, 2013.</w:t>
      </w:r>
    </w:p>
    <w:p w14:paraId="0E967067" w14:textId="77777777" w:rsidR="007029B6" w:rsidRDefault="007029B6" w:rsidP="00E415EC">
      <w:pPr>
        <w:pStyle w:val="Endnotes"/>
      </w:pPr>
    </w:p>
  </w:endnote>
  <w:endnote w:id="36">
    <w:p w14:paraId="04605C18" w14:textId="77777777" w:rsidR="00E415EC" w:rsidRDefault="007029B6" w:rsidP="00E415EC">
      <w:pPr>
        <w:pStyle w:val="Endnotes"/>
      </w:pPr>
      <w:r w:rsidRPr="00E415EC">
        <w:endnoteRef/>
      </w:r>
      <w:r w:rsidRPr="00E415EC">
        <w:t xml:space="preserve"> </w:t>
      </w:r>
      <w:r w:rsidR="00E415EC" w:rsidRPr="00E415EC">
        <w:t xml:space="preserve">Systematic evidence supports the claim that the profession continues to steer around questions touching on family structure, race, and culture. A 2024 survey of U.S. psychology professors documented widespread self-censorship on these topics, with faculty reporting they avoid research, teaching, and public statements on racial differences in outcomes and family structure for fear of professional consequences. Two recent cases illustrate what those consequences can look like. In 2020, Lawrence Mead's essay "Poverty and Culture," which argued that cultural factors helped explain persistent poverty among Black and Hispanic Americans, was retracted by </w:t>
      </w:r>
      <w:r w:rsidR="00E415EC" w:rsidRPr="00E415EC">
        <w:rPr>
          <w:i/>
          <w:iCs/>
        </w:rPr>
        <w:t>Society</w:t>
      </w:r>
      <w:r w:rsidR="00E415EC" w:rsidRPr="00E415EC">
        <w:t xml:space="preserve"> after petition campaigns gathered several hundred signatures demanding its removal. In 2017, Amy Wax co-authored a </w:t>
      </w:r>
      <w:r w:rsidR="00E415EC" w:rsidRPr="00E415EC">
        <w:rPr>
          <w:i/>
          <w:iCs/>
        </w:rPr>
        <w:t>Philadelphia Inquirer</w:t>
      </w:r>
      <w:r w:rsidR="00E415EC" w:rsidRPr="00E415EC">
        <w:t xml:space="preserve"> op-ed praising "bourgeois culture" in terms that directly echoed Moynihan's argument about family structure and upward mobility; the piece was among the factors cited when the University of Pennsylvania imposed sanctions on her in 2024, including a one-year suspension at half pay and loss of her named chair. The Wax case is complicated by other statements she has made on unrelated topics, but the 2017 op-ed itself is a clear instance of a tenured scholar making a Moynihan-style argument and facing formal institutional sanction.</w:t>
      </w:r>
    </w:p>
    <w:p w14:paraId="1826E878" w14:textId="77777777" w:rsidR="00E415EC" w:rsidRPr="00E415EC" w:rsidRDefault="00E415EC" w:rsidP="00E415EC">
      <w:pPr>
        <w:pStyle w:val="Endnotes"/>
      </w:pPr>
    </w:p>
    <w:p w14:paraId="7FB9C860" w14:textId="77777777" w:rsidR="00E415EC" w:rsidRPr="00E415EC" w:rsidRDefault="00E415EC" w:rsidP="00E415EC">
      <w:pPr>
        <w:pStyle w:val="Endnotes"/>
      </w:pPr>
      <w:r w:rsidRPr="00E415EC">
        <w:t xml:space="preserve">Clark, Cory J., et al. "Taboos and Self-Censorship Among U.S. Psychology Professors." </w:t>
      </w:r>
      <w:r w:rsidRPr="00E415EC">
        <w:rPr>
          <w:i/>
          <w:iCs/>
        </w:rPr>
        <w:t>Perspectives on Psychological Science</w:t>
      </w:r>
      <w:r w:rsidRPr="00E415EC">
        <w:t xml:space="preserve">. Published online May 16, 2024. </w:t>
      </w:r>
      <w:hyperlink r:id="rId54" w:history="1">
        <w:r w:rsidRPr="00E415EC">
          <w:rPr>
            <w:rStyle w:val="Hyperlink"/>
          </w:rPr>
          <w:t>https://doi.org/10.1177/17456916241252085</w:t>
        </w:r>
      </w:hyperlink>
      <w:r w:rsidRPr="00E415EC">
        <w:t>.</w:t>
      </w:r>
    </w:p>
    <w:p w14:paraId="4EA6954F" w14:textId="77777777" w:rsidR="00E415EC" w:rsidRDefault="00E415EC" w:rsidP="00E415EC">
      <w:pPr>
        <w:pStyle w:val="Endnotes"/>
      </w:pPr>
    </w:p>
    <w:p w14:paraId="15490BE8" w14:textId="27B10F59" w:rsidR="00E415EC" w:rsidRPr="00E415EC" w:rsidRDefault="00E415EC" w:rsidP="00E415EC">
      <w:pPr>
        <w:pStyle w:val="Endnotes"/>
      </w:pPr>
      <w:r w:rsidRPr="00E415EC">
        <w:t xml:space="preserve">Mead, Lawrence M. "Poverty and Culture." </w:t>
      </w:r>
      <w:r w:rsidRPr="00E415EC">
        <w:rPr>
          <w:i/>
          <w:iCs/>
        </w:rPr>
        <w:t>Society</w:t>
      </w:r>
      <w:r w:rsidRPr="00E415EC">
        <w:t xml:space="preserve"> 57 (2020): 434–442. Retracted.</w:t>
      </w:r>
    </w:p>
    <w:p w14:paraId="0613A0A7" w14:textId="77777777" w:rsidR="00E415EC" w:rsidRDefault="00E415EC" w:rsidP="00E415EC">
      <w:pPr>
        <w:pStyle w:val="Endnotes"/>
      </w:pPr>
    </w:p>
    <w:p w14:paraId="2E5A6EAB" w14:textId="67BAD894" w:rsidR="00E415EC" w:rsidRPr="00E415EC" w:rsidRDefault="00E415EC" w:rsidP="00E415EC">
      <w:pPr>
        <w:pStyle w:val="Endnotes"/>
      </w:pPr>
      <w:r w:rsidRPr="00E415EC">
        <w:t xml:space="preserve">Flaherty, Colleen. "Leading Voice on Welfare Reform Accused of Racism." </w:t>
      </w:r>
      <w:r w:rsidRPr="00E415EC">
        <w:rPr>
          <w:i/>
          <w:iCs/>
        </w:rPr>
        <w:t>Inside Higher Ed</w:t>
      </w:r>
      <w:r w:rsidRPr="00E415EC">
        <w:t xml:space="preserve">, July 28, 2020. </w:t>
      </w:r>
      <w:hyperlink r:id="rId55" w:history="1">
        <w:r w:rsidRPr="00E415EC">
          <w:rPr>
            <w:rStyle w:val="Hyperlink"/>
          </w:rPr>
          <w:t>https://www.insidehighered.com/news/2020/07/28/leading-voice-welfare-reform-accused-racism</w:t>
        </w:r>
      </w:hyperlink>
      <w:r w:rsidRPr="00E415EC">
        <w:t>.</w:t>
      </w:r>
    </w:p>
    <w:p w14:paraId="334A965B" w14:textId="77777777" w:rsidR="00E415EC" w:rsidRDefault="00E415EC" w:rsidP="00E415EC">
      <w:pPr>
        <w:pStyle w:val="Endnotes"/>
      </w:pPr>
    </w:p>
    <w:p w14:paraId="5E54501D" w14:textId="3A06D5F3" w:rsidR="00E415EC" w:rsidRPr="00E415EC" w:rsidRDefault="00E415EC" w:rsidP="00E415EC">
      <w:pPr>
        <w:pStyle w:val="Endnotes"/>
      </w:pPr>
      <w:r w:rsidRPr="00E415EC">
        <w:t xml:space="preserve">Wax, Amy, and Larry Alexander. "Paying the Price for Breakdown of the Country's Bourgeois Culture." </w:t>
      </w:r>
      <w:r w:rsidRPr="00E415EC">
        <w:rPr>
          <w:i/>
          <w:iCs/>
        </w:rPr>
        <w:t>Philadelphia Inquirer</w:t>
      </w:r>
      <w:r w:rsidRPr="00E415EC">
        <w:t>, August 9, 2017.</w:t>
      </w:r>
    </w:p>
    <w:p w14:paraId="2289DAF8" w14:textId="77777777" w:rsidR="00E415EC" w:rsidRDefault="00E415EC" w:rsidP="00E415EC">
      <w:pPr>
        <w:pStyle w:val="Endnotes"/>
      </w:pPr>
    </w:p>
    <w:p w14:paraId="63925900" w14:textId="4F76FB0C" w:rsidR="00E415EC" w:rsidRPr="00E415EC" w:rsidRDefault="00E415EC" w:rsidP="00E415EC">
      <w:pPr>
        <w:pStyle w:val="Endnotes"/>
      </w:pPr>
      <w:r w:rsidRPr="00E415EC">
        <w:t xml:space="preserve">Flaherty, Colleen. "Penn's Amy Wax Punished for Statements but Won't Lose Job." </w:t>
      </w:r>
      <w:r w:rsidRPr="00E415EC">
        <w:rPr>
          <w:i/>
          <w:iCs/>
        </w:rPr>
        <w:t>Inside Higher Ed</w:t>
      </w:r>
      <w:r w:rsidRPr="00E415EC">
        <w:t xml:space="preserve">, September 24, 2024. </w:t>
      </w:r>
      <w:hyperlink r:id="rId56" w:history="1">
        <w:r w:rsidRPr="00E415EC">
          <w:rPr>
            <w:rStyle w:val="Hyperlink"/>
          </w:rPr>
          <w:t>https://www.insidehighered.com/news/faculty-issues/academic-freedom/2024/09/24/penns-amy-wax-punished-statements-wont-lose-job</w:t>
        </w:r>
      </w:hyperlink>
      <w:r w:rsidRPr="00E415EC">
        <w:t>.</w:t>
      </w:r>
    </w:p>
    <w:p w14:paraId="00778EFA" w14:textId="006D477F" w:rsidR="007029B6" w:rsidRDefault="007029B6" w:rsidP="00AB0AE8">
      <w:pPr>
        <w:pStyle w:val="Endnotes"/>
      </w:pPr>
    </w:p>
  </w:endnote>
  <w:endnote w:id="37">
    <w:p w14:paraId="4CE64E98" w14:textId="4201D26B" w:rsidR="00AB0AE8" w:rsidRDefault="00AB0AE8" w:rsidP="00AB0AE8">
      <w:pPr>
        <w:pStyle w:val="Endnotes"/>
      </w:pPr>
      <w:r w:rsidRPr="00A050BB">
        <w:endnoteRef/>
      </w:r>
      <w:r w:rsidRPr="00A050BB">
        <w:t xml:space="preserve"> The Coleman Report was commissioned under the Civil Rights Act of 1964 and surveyed roughly 600,000</w:t>
      </w:r>
      <w:r w:rsidRPr="00AB0AE8">
        <w:t xml:space="preserve"> students in 4,000 schools. Its central finding was that once family background and peer composition were controlled for, measurable school inputs like per-pupil spending, teacher credentials, and facility quality explained little additional variance in student achievement. Contemporaneous reanalyses by independent research teams confirmed it. The economics of education literature has continued to replicate the finding for decades, though the strength of the replication has itself been contested within the field. </w:t>
      </w:r>
    </w:p>
    <w:p w14:paraId="0DE17D00" w14:textId="77777777" w:rsidR="00A050BB" w:rsidRPr="00AB0AE8" w:rsidRDefault="00A050BB" w:rsidP="00AB0AE8">
      <w:pPr>
        <w:pStyle w:val="Endnotes"/>
      </w:pPr>
    </w:p>
    <w:p w14:paraId="3A61FBEE" w14:textId="77777777" w:rsidR="00AB0AE8" w:rsidRPr="00AB0AE8" w:rsidRDefault="00AB0AE8" w:rsidP="00AB0AE8">
      <w:pPr>
        <w:pStyle w:val="Endnotes"/>
      </w:pPr>
      <w:r w:rsidRPr="00AB0AE8">
        <w:t xml:space="preserve">Coleman, James S., et al. </w:t>
      </w:r>
      <w:r w:rsidRPr="00AB0AE8">
        <w:rPr>
          <w:i/>
          <w:iCs/>
        </w:rPr>
        <w:t>Equality of Educational Opportunity.</w:t>
      </w:r>
      <w:r w:rsidRPr="00AB0AE8">
        <w:t xml:space="preserve"> Washington, DC: U.S. Department of Health, Education, and Welfare, Office of Education, 1966.</w:t>
      </w:r>
    </w:p>
    <w:p w14:paraId="740121B9" w14:textId="77777777" w:rsidR="00A050BB" w:rsidRDefault="00A050BB" w:rsidP="00AB0AE8">
      <w:pPr>
        <w:pStyle w:val="Endnotes"/>
      </w:pPr>
    </w:p>
    <w:p w14:paraId="5C0AA3B7" w14:textId="1E851EF3" w:rsidR="00AB0AE8" w:rsidRPr="00AB0AE8" w:rsidRDefault="00AB0AE8" w:rsidP="00AB0AE8">
      <w:pPr>
        <w:pStyle w:val="Endnotes"/>
      </w:pPr>
      <w:r w:rsidRPr="00AB0AE8">
        <w:t xml:space="preserve">Jencks, Christopher, et al. </w:t>
      </w:r>
      <w:r w:rsidRPr="00AB0AE8">
        <w:rPr>
          <w:i/>
          <w:iCs/>
        </w:rPr>
        <w:t>Inequality: A Reassessment of the Effect of Family and Schooling in America.</w:t>
      </w:r>
      <w:r w:rsidRPr="00AB0AE8">
        <w:t xml:space="preserve"> New York: Basic Books, 1972.</w:t>
      </w:r>
    </w:p>
    <w:p w14:paraId="0A6A70D4" w14:textId="77777777" w:rsidR="00A050BB" w:rsidRDefault="00A050BB" w:rsidP="00AB0AE8">
      <w:pPr>
        <w:pStyle w:val="Endnotes"/>
      </w:pPr>
    </w:p>
    <w:p w14:paraId="1F377D8C" w14:textId="6A77A10D" w:rsidR="00AB0AE8" w:rsidRPr="00AB0AE8" w:rsidRDefault="00AB0AE8" w:rsidP="00AB0AE8">
      <w:pPr>
        <w:pStyle w:val="Endnotes"/>
      </w:pPr>
      <w:r w:rsidRPr="00AB0AE8">
        <w:t xml:space="preserve">Hanushek, Eric A. "Assessing the Effects of School Resources on Student Performance: An Update." </w:t>
      </w:r>
      <w:r w:rsidRPr="00AB0AE8">
        <w:rPr>
          <w:i/>
          <w:iCs/>
        </w:rPr>
        <w:t>Educational Evaluation and Policy Analysis</w:t>
      </w:r>
      <w:r w:rsidRPr="00AB0AE8">
        <w:t xml:space="preserve"> 19, no. 2 (Summer 1997): 141–64.</w:t>
      </w:r>
    </w:p>
    <w:p w14:paraId="66285DA4" w14:textId="77777777" w:rsidR="00A050BB" w:rsidRDefault="00A050BB" w:rsidP="00AB0AE8">
      <w:pPr>
        <w:pStyle w:val="Endnotes"/>
      </w:pPr>
    </w:p>
    <w:p w14:paraId="2ED82413" w14:textId="30772738" w:rsidR="00AB0AE8" w:rsidRPr="00AB0AE8" w:rsidRDefault="00AB0AE8" w:rsidP="00AB0AE8">
      <w:pPr>
        <w:pStyle w:val="Endnotes"/>
      </w:pPr>
      <w:r w:rsidRPr="00AB0AE8">
        <w:t xml:space="preserve">Hedges, Larry V., Richard D. Laine, and Rob Greenwald. "Does Money Matter? A Meta-Analysis of Studies of the Effects of Differential School Inputs on Student Achievement." </w:t>
      </w:r>
      <w:r w:rsidRPr="00AB0AE8">
        <w:rPr>
          <w:i/>
          <w:iCs/>
        </w:rPr>
        <w:t>Educational Researcher</w:t>
      </w:r>
      <w:r w:rsidRPr="00AB0AE8">
        <w:t xml:space="preserve"> 23, no. 3 (April 1994): 5–14.</w:t>
      </w:r>
    </w:p>
    <w:p w14:paraId="6FEC229D" w14:textId="77777777" w:rsidR="00A050BB" w:rsidRDefault="00A050BB" w:rsidP="00AB0AE8">
      <w:pPr>
        <w:pStyle w:val="Endnotes"/>
      </w:pPr>
    </w:p>
    <w:p w14:paraId="34ECB9EE" w14:textId="359D55AA" w:rsidR="00AB0AE8" w:rsidRPr="00AB0AE8" w:rsidRDefault="00AB0AE8" w:rsidP="00AB0AE8">
      <w:pPr>
        <w:pStyle w:val="Endnotes"/>
      </w:pPr>
      <w:r w:rsidRPr="00AB0AE8">
        <w:t xml:space="preserve">Morgan, Stephen L. "James Coleman, the 'Equality of Opportunity' Study, and School Choice." </w:t>
      </w:r>
      <w:r w:rsidRPr="00AB0AE8">
        <w:rPr>
          <w:i/>
          <w:iCs/>
        </w:rPr>
        <w:t>Education Next</w:t>
      </w:r>
      <w:r w:rsidRPr="00AB0AE8">
        <w:t xml:space="preserve"> 16, no. 2 (Spring 2016). </w:t>
      </w:r>
      <w:hyperlink r:id="rId57" w:history="1">
        <w:r w:rsidRPr="00AB0AE8">
          <w:rPr>
            <w:rStyle w:val="Hyperlink"/>
          </w:rPr>
          <w:t>https://www.educationnext.org/james-coleman-the-equality-of-opportunity-study-and-school-choice/</w:t>
        </w:r>
      </w:hyperlink>
      <w:r w:rsidRPr="00AB0AE8">
        <w:t>.</w:t>
      </w:r>
    </w:p>
    <w:p w14:paraId="15FC6F6A" w14:textId="78A5AECF" w:rsidR="00AB0AE8" w:rsidRDefault="00AB0AE8" w:rsidP="001F3FED">
      <w:pPr>
        <w:pStyle w:val="Endnotes"/>
      </w:pPr>
    </w:p>
  </w:endnote>
  <w:endnote w:id="38">
    <w:p w14:paraId="4CCD7023" w14:textId="0CF05A4F" w:rsidR="001F3FED" w:rsidRDefault="001F3FED" w:rsidP="001F3FED">
      <w:pPr>
        <w:pStyle w:val="Endnotes"/>
      </w:pPr>
      <w:r w:rsidRPr="001F3FED">
        <w:endnoteRef/>
      </w:r>
      <w:r w:rsidRPr="001F3FED">
        <w:t xml:space="preserve"> The Coleman Report's reception followed a trajectory closely parallel to the Moynihan Report's. The Office of Education, recognizing that the findings would disappoint advocates who had expected the report to justify increased school funding, released the 737-page document on Saturday, July 2, 1966, the start of Fourth of July weekend, accompanied by what co-author James McPartland later described as a tepid summary intended to</w:t>
      </w:r>
      <w:r>
        <w:t xml:space="preserve"> </w:t>
      </w:r>
      <w:r w:rsidRPr="001F3FED">
        <w:t>minimize press attention. The findings were nonetheless widely reduced to the claim that schools do not matter, a mischaracterization that persisted for decades. Schools of education resisted the report's implications throughout the late 1960s and 1970s, and Coleman himself absorbed escalating professional costs as he continued to publish findings the field found unwelcome. After his 1975 follow-up documented that court-ordered busing was accelerating white flight and producing the resegregation it was intended to prevent, the response from within his own discipline turned personal. At the 1976 annual meeting of the American Sociological Association, posters bearing swastikas and Coleman's name were displayed in the main auditorium, and the association's president, Alfred McClung Lee, led a failed attempt to have him expelled from the organization. Coleman was elected ASA president himself in 1990, by which point the empirical findings of both his 1966 and 1975 studies had been substantially confirmed by subsequent research.</w:t>
      </w:r>
    </w:p>
    <w:p w14:paraId="3FC6372E" w14:textId="77777777" w:rsidR="001F3FED" w:rsidRPr="001F3FED" w:rsidRDefault="001F3FED" w:rsidP="001F3FED">
      <w:pPr>
        <w:pStyle w:val="Endnotes"/>
      </w:pPr>
    </w:p>
    <w:p w14:paraId="0053D539" w14:textId="77777777" w:rsidR="001F3FED" w:rsidRPr="001F3FED" w:rsidRDefault="001F3FED" w:rsidP="001F3FED">
      <w:pPr>
        <w:pStyle w:val="Endnotes"/>
      </w:pPr>
      <w:r w:rsidRPr="001F3FED">
        <w:t xml:space="preserve">Alexander, Karl, and Stephen L. Morgan. "The Coleman Report at Fifty: Its Legacy and Implications for Future Research on Equality of Opportunity." </w:t>
      </w:r>
      <w:r w:rsidRPr="001F3FED">
        <w:rPr>
          <w:i/>
          <w:iCs/>
        </w:rPr>
        <w:t>RSF: The Russell Sage Foundation Journal of the Social Sciences</w:t>
      </w:r>
      <w:r w:rsidRPr="001F3FED">
        <w:t xml:space="preserve"> 2, no. 5 (September 2016): 1–16. </w:t>
      </w:r>
      <w:hyperlink r:id="rId58" w:history="1">
        <w:r w:rsidRPr="001F3FED">
          <w:rPr>
            <w:rStyle w:val="Hyperlink"/>
          </w:rPr>
          <w:t>https://www.rsfjournal.org/content/2/5/1</w:t>
        </w:r>
      </w:hyperlink>
      <w:r w:rsidRPr="001F3FED">
        <w:t>.</w:t>
      </w:r>
    </w:p>
    <w:p w14:paraId="4F850180" w14:textId="77777777" w:rsidR="001F3FED" w:rsidRDefault="001F3FED" w:rsidP="001F3FED">
      <w:pPr>
        <w:pStyle w:val="Endnotes"/>
      </w:pPr>
    </w:p>
    <w:p w14:paraId="2B278B67" w14:textId="323FAAB7" w:rsidR="001F3FED" w:rsidRPr="001F3FED" w:rsidRDefault="001F3FED" w:rsidP="001F3FED">
      <w:pPr>
        <w:pStyle w:val="Endnotes"/>
      </w:pPr>
      <w:r w:rsidRPr="001F3FED">
        <w:t xml:space="preserve">Kilgore, Sally B. "The Life and Times of James S. Coleman." </w:t>
      </w:r>
      <w:r w:rsidRPr="001F3FED">
        <w:rPr>
          <w:i/>
          <w:iCs/>
        </w:rPr>
        <w:t>Education Next</w:t>
      </w:r>
      <w:r w:rsidRPr="001F3FED">
        <w:t xml:space="preserve"> 16, no. 2 (Spring 2016). </w:t>
      </w:r>
      <w:hyperlink r:id="rId59" w:history="1">
        <w:r w:rsidRPr="001F3FED">
          <w:rPr>
            <w:rStyle w:val="Hyperlink"/>
          </w:rPr>
          <w:t>https://www.educationnext.org/life-times-james-s-coleman-school-policy-research/</w:t>
        </w:r>
      </w:hyperlink>
      <w:r w:rsidRPr="001F3FED">
        <w:t>.</w:t>
      </w:r>
    </w:p>
    <w:p w14:paraId="1892FB36" w14:textId="77777777" w:rsidR="001F3FED" w:rsidRDefault="001F3FED" w:rsidP="001F3FED">
      <w:pPr>
        <w:pStyle w:val="Endnotes"/>
      </w:pPr>
    </w:p>
    <w:p w14:paraId="271BC1E4" w14:textId="3C976F3B" w:rsidR="001F3FED" w:rsidRPr="001F3FED" w:rsidRDefault="001F3FED" w:rsidP="001F3FED">
      <w:pPr>
        <w:pStyle w:val="Endnotes"/>
      </w:pPr>
      <w:r w:rsidRPr="001F3FED">
        <w:t xml:space="preserve">Gordon, Leah N. "The Coleman Report and Its Critics: The Contested Meanings of Educational Equality in the 1960s and 1970s." Process: A Blog for American History, Organization of American Historians, March 22, 2017. </w:t>
      </w:r>
      <w:hyperlink r:id="rId60" w:history="1">
        <w:r w:rsidRPr="001F3FED">
          <w:rPr>
            <w:rStyle w:val="Hyperlink"/>
          </w:rPr>
          <w:t>https://www.oah.org/2017/03/22/gordon-coleman-report/</w:t>
        </w:r>
      </w:hyperlink>
      <w:r w:rsidRPr="001F3FED">
        <w:t>.</w:t>
      </w:r>
    </w:p>
    <w:p w14:paraId="1A5C8911" w14:textId="77777777" w:rsidR="001F3FED" w:rsidRDefault="001F3FED" w:rsidP="001F3FED">
      <w:pPr>
        <w:pStyle w:val="Endnotes"/>
      </w:pPr>
    </w:p>
    <w:p w14:paraId="6EEA1706" w14:textId="59BBF2C0" w:rsidR="001F3FED" w:rsidRPr="001F3FED" w:rsidRDefault="001F3FED" w:rsidP="001F3FED">
      <w:pPr>
        <w:pStyle w:val="Endnotes"/>
      </w:pPr>
      <w:r w:rsidRPr="001F3FED">
        <w:t xml:space="preserve">Finn, Chester E., Jr. "Trashing the Coleman Report." </w:t>
      </w:r>
      <w:r w:rsidRPr="001F3FED">
        <w:rPr>
          <w:i/>
          <w:iCs/>
        </w:rPr>
        <w:t>Education Week</w:t>
      </w:r>
      <w:r w:rsidRPr="001F3FED">
        <w:t xml:space="preserve">, September 1981. </w:t>
      </w:r>
      <w:hyperlink r:id="rId61" w:history="1">
        <w:r w:rsidRPr="001F3FED">
          <w:rPr>
            <w:rStyle w:val="Hyperlink"/>
          </w:rPr>
          <w:t>https://www.edweek.org/education/opinion-trashing-the-coleman-report/1981/09</w:t>
        </w:r>
      </w:hyperlink>
      <w:r w:rsidRPr="001F3FED">
        <w:t>.</w:t>
      </w:r>
    </w:p>
    <w:p w14:paraId="70CD2A32" w14:textId="77777777" w:rsidR="001F3FED" w:rsidRDefault="001F3FED" w:rsidP="001F3FED">
      <w:pPr>
        <w:pStyle w:val="Endnotes"/>
      </w:pPr>
    </w:p>
    <w:p w14:paraId="25824129" w14:textId="6B03186E" w:rsidR="001F3FED" w:rsidRPr="001F3FED" w:rsidRDefault="001F3FED" w:rsidP="001F3FED">
      <w:pPr>
        <w:pStyle w:val="Endnotes"/>
      </w:pPr>
      <w:r w:rsidRPr="001F3FED">
        <w:t xml:space="preserve">Ravitch, Diane. </w:t>
      </w:r>
      <w:r w:rsidRPr="001F3FED">
        <w:rPr>
          <w:i/>
          <w:iCs/>
        </w:rPr>
        <w:t>The Troubled Crusade: American Education, 1945–1980</w:t>
      </w:r>
      <w:r w:rsidRPr="001F3FED">
        <w:t>. New York: Basic Books, 1983.</w:t>
      </w:r>
    </w:p>
    <w:p w14:paraId="1CB6F58F" w14:textId="110A7EAA" w:rsidR="001F3FED" w:rsidRDefault="001F3FED">
      <w:pPr>
        <w:pStyle w:val="EndnoteText"/>
      </w:pPr>
    </w:p>
  </w:endnote>
  <w:endnote w:id="39">
    <w:p w14:paraId="338DC301" w14:textId="77777777" w:rsidR="00840CA0" w:rsidRDefault="00840CA0" w:rsidP="00840CA0">
      <w:pPr>
        <w:pStyle w:val="Endnotes"/>
      </w:pPr>
      <w:r w:rsidRPr="00840CA0">
        <w:endnoteRef/>
      </w:r>
      <w:r w:rsidRPr="00840CA0">
        <w:t xml:space="preserve"> Political short-termism in policy judgment is well-documented in the political science and public administration literature. </w:t>
      </w:r>
    </w:p>
    <w:p w14:paraId="78FC66A2" w14:textId="77777777" w:rsidR="00840CA0" w:rsidRDefault="00840CA0" w:rsidP="00840CA0">
      <w:pPr>
        <w:pStyle w:val="Endnotes"/>
      </w:pPr>
    </w:p>
    <w:p w14:paraId="6FB38C81" w14:textId="607EBBED" w:rsidR="00840CA0" w:rsidRPr="00840CA0" w:rsidRDefault="00840CA0" w:rsidP="00840CA0">
      <w:pPr>
        <w:pStyle w:val="Endnotes"/>
      </w:pPr>
      <w:r w:rsidRPr="00840CA0">
        <w:t xml:space="preserve">Masakazu Ogami, "The Conditionality of Political Short-Termism: A Review of Empirical and Experimental Studies," </w:t>
      </w:r>
      <w:r w:rsidRPr="00840CA0">
        <w:rPr>
          <w:i/>
          <w:iCs/>
        </w:rPr>
        <w:t>Politics and Governance</w:t>
      </w:r>
      <w:r w:rsidRPr="00840CA0">
        <w:t xml:space="preserve"> 12 (2024): article 7764, </w:t>
      </w:r>
      <w:hyperlink r:id="rId62" w:history="1">
        <w:r w:rsidRPr="00840CA0">
          <w:rPr>
            <w:rStyle w:val="Hyperlink"/>
          </w:rPr>
          <w:t>https://doi.org/10.17645/pag.7764</w:t>
        </w:r>
      </w:hyperlink>
      <w:r w:rsidRPr="00840CA0">
        <w:t>.</w:t>
      </w:r>
    </w:p>
    <w:p w14:paraId="1CC462A1" w14:textId="562236AF" w:rsidR="00840CA0" w:rsidRDefault="00840CA0" w:rsidP="00840CA0">
      <w:pPr>
        <w:pStyle w:val="Endnotes"/>
      </w:pPr>
    </w:p>
  </w:endnote>
  <w:endnote w:id="40">
    <w:p w14:paraId="2B027D9B" w14:textId="2A855971" w:rsidR="00E25CED" w:rsidRDefault="00E25CED">
      <w:pPr>
        <w:spacing w:line="240" w:lineRule="auto"/>
        <w:ind w:firstLine="0"/>
        <w:rPr>
          <w:color w:val="000000"/>
          <w:sz w:val="20"/>
          <w:szCs w:val="20"/>
        </w:rPr>
      </w:pPr>
      <w:r w:rsidRPr="00D878CC">
        <w:rPr>
          <w:rStyle w:val="EndnotesChar"/>
        </w:rPr>
        <w:endnoteRef/>
      </w:r>
      <w:r w:rsidRPr="00D878CC">
        <w:rPr>
          <w:rStyle w:val="EndnotesChar"/>
        </w:rPr>
        <w:t xml:space="preserve"> </w:t>
      </w:r>
      <w:r w:rsidR="007C2527" w:rsidRPr="00D878CC">
        <w:rPr>
          <w:rStyle w:val="EndnotesChar"/>
        </w:rPr>
        <w:t>Diamond, McQuade, and Qian found that rent control in San Francisco reduced rental housing supply by 15</w:t>
      </w:r>
      <w:r w:rsidR="007C2527" w:rsidRPr="007C2527">
        <w:rPr>
          <w:color w:val="000000"/>
          <w:sz w:val="20"/>
          <w:szCs w:val="20"/>
        </w:rPr>
        <w:t xml:space="preserve"> percent as landlords converted units to condos or redeveloped, driving up market-rate rents in the process</w:t>
      </w:r>
      <w:r>
        <w:rPr>
          <w:color w:val="000000"/>
          <w:sz w:val="20"/>
          <w:szCs w:val="20"/>
        </w:rPr>
        <w:t>.</w:t>
      </w:r>
    </w:p>
    <w:p w14:paraId="19995E94" w14:textId="77777777" w:rsidR="00E25CED" w:rsidRDefault="00E25CED">
      <w:pPr>
        <w:spacing w:line="240" w:lineRule="auto"/>
        <w:ind w:firstLine="0"/>
        <w:rPr>
          <w:color w:val="000000"/>
          <w:sz w:val="20"/>
          <w:szCs w:val="20"/>
        </w:rPr>
      </w:pPr>
    </w:p>
    <w:p w14:paraId="2BCE213E" w14:textId="56727D2E" w:rsidR="00E25CED" w:rsidRDefault="00E25CED">
      <w:pPr>
        <w:spacing w:line="240" w:lineRule="auto"/>
        <w:ind w:firstLine="0"/>
        <w:rPr>
          <w:color w:val="000000"/>
          <w:sz w:val="20"/>
          <w:szCs w:val="20"/>
        </w:rPr>
      </w:pPr>
      <w:r>
        <w:rPr>
          <w:color w:val="000000"/>
          <w:sz w:val="20"/>
          <w:szCs w:val="20"/>
        </w:rPr>
        <w:t xml:space="preserve">Diamond, Rebecca, Tim McQuade, and Franklin Qian. </w:t>
      </w:r>
      <w:r w:rsidR="00463E2E">
        <w:rPr>
          <w:color w:val="000000"/>
          <w:sz w:val="20"/>
          <w:szCs w:val="20"/>
        </w:rPr>
        <w:t>"</w:t>
      </w:r>
      <w:r>
        <w:rPr>
          <w:color w:val="000000"/>
          <w:sz w:val="20"/>
          <w:szCs w:val="20"/>
        </w:rPr>
        <w:t>The Effects of Rent Control Expansion on Tenants, Landlords, and Inequality: Evidence from San Francisco.</w:t>
      </w:r>
      <w:r w:rsidR="00463E2E">
        <w:rPr>
          <w:color w:val="000000"/>
          <w:sz w:val="20"/>
          <w:szCs w:val="20"/>
        </w:rPr>
        <w:t>"</w:t>
      </w:r>
      <w:r>
        <w:rPr>
          <w:color w:val="000000"/>
          <w:sz w:val="20"/>
          <w:szCs w:val="20"/>
        </w:rPr>
        <w:t xml:space="preserve"> American Economic Review 109, no. 9 (2019): 3365-94.</w:t>
      </w:r>
    </w:p>
    <w:p w14:paraId="1DDE1A52" w14:textId="77777777" w:rsidR="00E25CED" w:rsidRDefault="00E25CED">
      <w:pPr>
        <w:spacing w:line="240" w:lineRule="auto"/>
        <w:ind w:firstLine="0"/>
        <w:rPr>
          <w:color w:val="000000"/>
          <w:sz w:val="20"/>
          <w:szCs w:val="20"/>
        </w:rPr>
      </w:pPr>
    </w:p>
    <w:p w14:paraId="6CA48A9C" w14:textId="08EB7B2F" w:rsidR="00E25CED" w:rsidRDefault="00E25CED">
      <w:pPr>
        <w:spacing w:line="240" w:lineRule="auto"/>
        <w:ind w:firstLine="0"/>
        <w:rPr>
          <w:color w:val="000000"/>
          <w:sz w:val="20"/>
          <w:szCs w:val="20"/>
        </w:rPr>
      </w:pPr>
      <w:r>
        <w:rPr>
          <w:color w:val="000000"/>
          <w:sz w:val="20"/>
          <w:szCs w:val="20"/>
        </w:rPr>
        <w:t xml:space="preserve">Glaeser, Edward L., and Erzo F.P. Luttmer. </w:t>
      </w:r>
      <w:r w:rsidR="00463E2E">
        <w:rPr>
          <w:color w:val="000000"/>
          <w:sz w:val="20"/>
          <w:szCs w:val="20"/>
        </w:rPr>
        <w:t>"</w:t>
      </w:r>
      <w:r>
        <w:rPr>
          <w:color w:val="000000"/>
          <w:sz w:val="20"/>
          <w:szCs w:val="20"/>
        </w:rPr>
        <w:t>The Misallocation of Housing Under Rent Control.</w:t>
      </w:r>
      <w:r w:rsidR="00463E2E">
        <w:rPr>
          <w:color w:val="000000"/>
          <w:sz w:val="20"/>
          <w:szCs w:val="20"/>
        </w:rPr>
        <w:t>"</w:t>
      </w:r>
      <w:r>
        <w:rPr>
          <w:color w:val="000000"/>
          <w:sz w:val="20"/>
          <w:szCs w:val="20"/>
        </w:rPr>
        <w:t xml:space="preserve"> American Economic Review 93, no. 4 (2003): 1027-1046.</w:t>
      </w:r>
    </w:p>
    <w:p w14:paraId="7F66862B" w14:textId="77777777" w:rsidR="00E25CED" w:rsidRDefault="00E25CED">
      <w:pPr>
        <w:spacing w:line="240" w:lineRule="auto"/>
        <w:ind w:firstLine="0"/>
        <w:rPr>
          <w:color w:val="000000"/>
          <w:sz w:val="20"/>
          <w:szCs w:val="20"/>
        </w:rPr>
      </w:pPr>
    </w:p>
    <w:p w14:paraId="1B36176F" w14:textId="7DAAC91C" w:rsidR="00E25CED" w:rsidRDefault="00E25CED">
      <w:pPr>
        <w:spacing w:line="240" w:lineRule="auto"/>
        <w:ind w:firstLine="0"/>
        <w:rPr>
          <w:color w:val="000000"/>
          <w:sz w:val="20"/>
          <w:szCs w:val="20"/>
        </w:rPr>
      </w:pPr>
      <w:r>
        <w:rPr>
          <w:color w:val="000000"/>
          <w:sz w:val="20"/>
          <w:szCs w:val="20"/>
        </w:rPr>
        <w:t xml:space="preserve">Kholodilin, Konstantin A. </w:t>
      </w:r>
      <w:r w:rsidR="00463E2E">
        <w:rPr>
          <w:color w:val="000000"/>
          <w:sz w:val="20"/>
          <w:szCs w:val="20"/>
        </w:rPr>
        <w:t>"</w:t>
      </w:r>
      <w:r>
        <w:rPr>
          <w:color w:val="000000"/>
          <w:sz w:val="20"/>
          <w:szCs w:val="20"/>
        </w:rPr>
        <w:t>Rent Control Effects through the Lens of Empirical Research: An 80-Year Review.</w:t>
      </w:r>
      <w:r w:rsidR="00463E2E">
        <w:rPr>
          <w:color w:val="000000"/>
          <w:sz w:val="20"/>
          <w:szCs w:val="20"/>
        </w:rPr>
        <w:t>"</w:t>
      </w:r>
      <w:r>
        <w:rPr>
          <w:color w:val="000000"/>
          <w:sz w:val="20"/>
          <w:szCs w:val="20"/>
        </w:rPr>
        <w:t xml:space="preserve"> Journal of Housing Economics 64 (2024): 101995.</w:t>
      </w:r>
    </w:p>
    <w:p w14:paraId="5C23F131" w14:textId="77777777" w:rsidR="00E25CED" w:rsidRDefault="00E25CED">
      <w:pPr>
        <w:spacing w:line="240" w:lineRule="auto"/>
        <w:ind w:firstLine="0"/>
        <w:rPr>
          <w:color w:val="000000"/>
          <w:sz w:val="20"/>
          <w:szCs w:val="20"/>
        </w:rPr>
      </w:pPr>
    </w:p>
  </w:endnote>
  <w:endnote w:id="41">
    <w:p w14:paraId="69E8C575" w14:textId="31E33FF4" w:rsidR="00E25CED" w:rsidRDefault="00E25CED">
      <w:pPr>
        <w:spacing w:line="240" w:lineRule="auto"/>
        <w:ind w:firstLine="0"/>
        <w:rPr>
          <w:color w:val="000000"/>
          <w:sz w:val="20"/>
          <w:szCs w:val="20"/>
        </w:rPr>
      </w:pPr>
      <w:r w:rsidRPr="00D878CC">
        <w:rPr>
          <w:rStyle w:val="EndnotesChar"/>
        </w:rPr>
        <w:endnoteRef/>
      </w:r>
      <w:r w:rsidRPr="00D878CC">
        <w:rPr>
          <w:rStyle w:val="EndnotesChar"/>
        </w:rPr>
        <w:t xml:space="preserve"> </w:t>
      </w:r>
      <w:r w:rsidR="007C2527" w:rsidRPr="00D878CC">
        <w:rPr>
          <w:rStyle w:val="EndnotesChar"/>
        </w:rPr>
        <w:t>The CBO estimated that a $15 federal minimum wage would cost 1.4 million jobs. The University of</w:t>
      </w:r>
      <w:r w:rsidR="007C2527" w:rsidRPr="007C2527">
        <w:rPr>
          <w:color w:val="000000"/>
          <w:sz w:val="20"/>
          <w:szCs w:val="20"/>
        </w:rPr>
        <w:t xml:space="preserve"> Washington's evaluation of the Seattle wage increase found reduced total hours for low-income workers, consistent with standard labor-cost projections</w:t>
      </w:r>
      <w:r>
        <w:rPr>
          <w:color w:val="000000"/>
          <w:sz w:val="20"/>
          <w:szCs w:val="20"/>
        </w:rPr>
        <w:t>.</w:t>
      </w:r>
    </w:p>
    <w:p w14:paraId="21EBFF7C" w14:textId="77777777" w:rsidR="00E25CED" w:rsidRDefault="00E25CED">
      <w:pPr>
        <w:spacing w:line="240" w:lineRule="auto"/>
        <w:ind w:firstLine="0"/>
        <w:rPr>
          <w:color w:val="000000"/>
          <w:sz w:val="20"/>
          <w:szCs w:val="20"/>
        </w:rPr>
      </w:pPr>
    </w:p>
    <w:p w14:paraId="75B4F3B0" w14:textId="77777777" w:rsidR="00E25CED" w:rsidRDefault="00E25CED">
      <w:pPr>
        <w:spacing w:line="240" w:lineRule="auto"/>
        <w:ind w:firstLine="0"/>
        <w:rPr>
          <w:color w:val="000000"/>
          <w:sz w:val="20"/>
          <w:szCs w:val="20"/>
        </w:rPr>
      </w:pPr>
      <w:r>
        <w:rPr>
          <w:color w:val="000000"/>
          <w:sz w:val="20"/>
          <w:szCs w:val="20"/>
        </w:rPr>
        <w:t>Neumark, David, and William L. Wascher. Minimum Wages. MIT Press, 2008.</w:t>
      </w:r>
    </w:p>
    <w:p w14:paraId="39F59741" w14:textId="77777777" w:rsidR="00E25CED" w:rsidRDefault="00E25CED">
      <w:pPr>
        <w:spacing w:line="240" w:lineRule="auto"/>
        <w:ind w:firstLine="0"/>
        <w:rPr>
          <w:color w:val="000000"/>
          <w:sz w:val="20"/>
          <w:szCs w:val="20"/>
        </w:rPr>
      </w:pPr>
    </w:p>
    <w:p w14:paraId="1DB87D3F" w14:textId="3B074FF2" w:rsidR="00E25CED" w:rsidRDefault="00E25CED">
      <w:pPr>
        <w:spacing w:line="240" w:lineRule="auto"/>
        <w:ind w:firstLine="0"/>
        <w:rPr>
          <w:color w:val="000000"/>
          <w:sz w:val="20"/>
          <w:szCs w:val="20"/>
        </w:rPr>
      </w:pPr>
      <w:r>
        <w:rPr>
          <w:color w:val="000000"/>
          <w:sz w:val="20"/>
          <w:szCs w:val="20"/>
        </w:rPr>
        <w:t xml:space="preserve">Jardim, Ekaterina, et al. </w:t>
      </w:r>
      <w:r w:rsidR="00463E2E">
        <w:rPr>
          <w:color w:val="000000"/>
          <w:sz w:val="20"/>
          <w:szCs w:val="20"/>
        </w:rPr>
        <w:t>"</w:t>
      </w:r>
      <w:r>
        <w:rPr>
          <w:color w:val="000000"/>
          <w:sz w:val="20"/>
          <w:szCs w:val="20"/>
        </w:rPr>
        <w:t>Minimum Wage Increases, Wages, and Low-Wage Employment: Evidence from Seattle.</w:t>
      </w:r>
      <w:r w:rsidR="00463E2E">
        <w:rPr>
          <w:color w:val="000000"/>
          <w:sz w:val="20"/>
          <w:szCs w:val="20"/>
        </w:rPr>
        <w:t>"</w:t>
      </w:r>
      <w:r>
        <w:rPr>
          <w:color w:val="000000"/>
          <w:sz w:val="20"/>
          <w:szCs w:val="20"/>
        </w:rPr>
        <w:t xml:space="preserve"> National Bureau of Economic Research Working Paper 23532 (2017).</w:t>
      </w:r>
    </w:p>
    <w:p w14:paraId="3C34A1D9" w14:textId="77777777" w:rsidR="00E25CED" w:rsidRDefault="00E25CED">
      <w:pPr>
        <w:spacing w:line="240" w:lineRule="auto"/>
        <w:ind w:firstLine="0"/>
        <w:rPr>
          <w:color w:val="000000"/>
          <w:sz w:val="20"/>
          <w:szCs w:val="20"/>
        </w:rPr>
      </w:pPr>
    </w:p>
  </w:endnote>
  <w:endnote w:id="42">
    <w:p w14:paraId="59850F35" w14:textId="2575A4EC" w:rsidR="006039AF" w:rsidRPr="006039AF" w:rsidRDefault="00E25CED" w:rsidP="006039AF">
      <w:pPr>
        <w:spacing w:line="240" w:lineRule="auto"/>
        <w:ind w:firstLine="0"/>
        <w:rPr>
          <w:color w:val="000000"/>
          <w:sz w:val="20"/>
          <w:szCs w:val="20"/>
        </w:rPr>
      </w:pPr>
      <w:r w:rsidRPr="006039AF">
        <w:rPr>
          <w:rStyle w:val="EndnotesChar"/>
        </w:rPr>
        <w:endnoteRef/>
      </w:r>
      <w:r w:rsidRPr="006039AF">
        <w:rPr>
          <w:rStyle w:val="EndnotesChar"/>
        </w:rPr>
        <w:t xml:space="preserve"> </w:t>
      </w:r>
      <w:r w:rsidR="006039AF" w:rsidRPr="006039AF">
        <w:rPr>
          <w:rStyle w:val="EndnotesChar"/>
        </w:rPr>
        <w:t>Racial disparities in out-of-school suspension rates are among the most durably documented patterns in American</w:t>
      </w:r>
      <w:r w:rsidR="006039AF" w:rsidRPr="006039AF">
        <w:rPr>
          <w:color w:val="000000"/>
          <w:sz w:val="20"/>
          <w:szCs w:val="20"/>
        </w:rPr>
        <w:t xml:space="preserve"> K–12 education. The gap predates zero-tolerance policies and persists across the period zero-tolerance was in effect, across administrative reforms that followed, and across the full range of school types, urbanicity, and regional contexts examined in the literature. What the scholarship debates is not whether the disparity exists but what accounts for it.</w:t>
      </w:r>
    </w:p>
    <w:p w14:paraId="60A54210" w14:textId="77777777" w:rsidR="006039AF" w:rsidRPr="006039AF" w:rsidRDefault="006039AF" w:rsidP="006039AF">
      <w:pPr>
        <w:spacing w:line="240" w:lineRule="auto"/>
        <w:ind w:firstLine="0"/>
        <w:rPr>
          <w:color w:val="000000"/>
          <w:sz w:val="20"/>
          <w:szCs w:val="20"/>
        </w:rPr>
      </w:pPr>
    </w:p>
    <w:p w14:paraId="3EE44989" w14:textId="77777777" w:rsidR="006039AF" w:rsidRPr="006039AF" w:rsidRDefault="006039AF" w:rsidP="006039AF">
      <w:pPr>
        <w:spacing w:line="240" w:lineRule="auto"/>
        <w:ind w:firstLine="0"/>
        <w:rPr>
          <w:color w:val="000000"/>
          <w:sz w:val="20"/>
          <w:szCs w:val="20"/>
        </w:rPr>
      </w:pPr>
      <w:r w:rsidRPr="006039AF">
        <w:rPr>
          <w:color w:val="000000"/>
          <w:sz w:val="20"/>
          <w:szCs w:val="20"/>
        </w:rPr>
        <w:t>U.S. Department of Education, Office for Civil Rights. Civil Rights Data Collection, 2013–14 and 2017–18.</w:t>
      </w:r>
    </w:p>
    <w:p w14:paraId="56E5F1EC" w14:textId="77777777" w:rsidR="006039AF" w:rsidRPr="006039AF" w:rsidRDefault="006039AF" w:rsidP="006039AF">
      <w:pPr>
        <w:spacing w:line="240" w:lineRule="auto"/>
        <w:ind w:firstLine="0"/>
        <w:rPr>
          <w:color w:val="000000"/>
          <w:sz w:val="20"/>
          <w:szCs w:val="20"/>
        </w:rPr>
      </w:pPr>
    </w:p>
    <w:p w14:paraId="4E7ECCD1" w14:textId="77777777" w:rsidR="006039AF" w:rsidRPr="006039AF" w:rsidRDefault="006039AF" w:rsidP="006039AF">
      <w:pPr>
        <w:spacing w:line="240" w:lineRule="auto"/>
        <w:ind w:firstLine="0"/>
        <w:rPr>
          <w:color w:val="000000"/>
          <w:sz w:val="20"/>
          <w:szCs w:val="20"/>
        </w:rPr>
      </w:pPr>
      <w:r w:rsidRPr="006039AF">
        <w:rPr>
          <w:color w:val="000000"/>
          <w:sz w:val="20"/>
          <w:szCs w:val="20"/>
        </w:rPr>
        <w:t>Gopalan, Maithreyi, and Ashlyn Aiko Nelson. "Understanding the Racial Discipline Gap in Schools." AERA Open 5, no. 2 (2019).</w:t>
      </w:r>
    </w:p>
    <w:p w14:paraId="71843ED8" w14:textId="77777777" w:rsidR="006039AF" w:rsidRPr="006039AF" w:rsidRDefault="006039AF" w:rsidP="006039AF">
      <w:pPr>
        <w:spacing w:line="240" w:lineRule="auto"/>
        <w:ind w:firstLine="0"/>
        <w:rPr>
          <w:color w:val="000000"/>
          <w:sz w:val="20"/>
          <w:szCs w:val="20"/>
        </w:rPr>
      </w:pPr>
    </w:p>
    <w:p w14:paraId="796BEB43" w14:textId="77777777" w:rsidR="006039AF" w:rsidRPr="006039AF" w:rsidRDefault="006039AF" w:rsidP="006039AF">
      <w:pPr>
        <w:spacing w:line="240" w:lineRule="auto"/>
        <w:ind w:firstLine="0"/>
        <w:rPr>
          <w:color w:val="000000"/>
          <w:sz w:val="20"/>
          <w:szCs w:val="20"/>
        </w:rPr>
      </w:pPr>
      <w:r w:rsidRPr="006039AF">
        <w:rPr>
          <w:color w:val="000000"/>
          <w:sz w:val="20"/>
          <w:szCs w:val="20"/>
        </w:rPr>
        <w:t>Leung-Gagné, Melanie, Jennifer McCombs, Caitlin Scott, and Daniel J. Losen. Pushed Out: Trends and Disparities in Out-of-School Suspension. Learning Policy Institute, 2024.</w:t>
      </w:r>
    </w:p>
    <w:p w14:paraId="3C2D60DA" w14:textId="77777777" w:rsidR="006039AF" w:rsidRPr="006039AF" w:rsidRDefault="006039AF" w:rsidP="006039AF">
      <w:pPr>
        <w:spacing w:line="240" w:lineRule="auto"/>
        <w:ind w:firstLine="0"/>
        <w:rPr>
          <w:color w:val="000000"/>
          <w:sz w:val="20"/>
          <w:szCs w:val="20"/>
        </w:rPr>
      </w:pPr>
    </w:p>
    <w:p w14:paraId="33E95A3F" w14:textId="77777777" w:rsidR="006039AF" w:rsidRPr="006039AF" w:rsidRDefault="006039AF" w:rsidP="006039AF">
      <w:pPr>
        <w:spacing w:line="240" w:lineRule="auto"/>
        <w:ind w:firstLine="0"/>
        <w:rPr>
          <w:color w:val="000000"/>
          <w:sz w:val="20"/>
          <w:szCs w:val="20"/>
        </w:rPr>
      </w:pPr>
      <w:r w:rsidRPr="006039AF">
        <w:rPr>
          <w:color w:val="000000"/>
          <w:sz w:val="20"/>
          <w:szCs w:val="20"/>
        </w:rPr>
        <w:t>Skiba, Russell J., Mariella I. Arredondo, and Natasha T. Williams. "More Than a Metaphor: The Contribution of Exclusionary Discipline to a School-to-Prison Pipeline." Equity &amp; Excellence in Education 47, no. 4 (2014): 546–564.</w:t>
      </w:r>
    </w:p>
    <w:p w14:paraId="1A37EE91" w14:textId="77777777" w:rsidR="006039AF" w:rsidRPr="006039AF" w:rsidRDefault="006039AF" w:rsidP="006039AF">
      <w:pPr>
        <w:spacing w:line="240" w:lineRule="auto"/>
        <w:ind w:firstLine="0"/>
        <w:rPr>
          <w:color w:val="000000"/>
          <w:sz w:val="20"/>
          <w:szCs w:val="20"/>
        </w:rPr>
      </w:pPr>
    </w:p>
    <w:p w14:paraId="08D86F11" w14:textId="6EC7F5AF" w:rsidR="00E25CED" w:rsidRDefault="006039AF" w:rsidP="006039AF">
      <w:pPr>
        <w:spacing w:line="240" w:lineRule="auto"/>
        <w:ind w:firstLine="0"/>
        <w:rPr>
          <w:color w:val="000000"/>
          <w:sz w:val="20"/>
          <w:szCs w:val="20"/>
        </w:rPr>
      </w:pPr>
      <w:r w:rsidRPr="006039AF">
        <w:rPr>
          <w:color w:val="000000"/>
          <w:sz w:val="20"/>
          <w:szCs w:val="20"/>
        </w:rPr>
        <w:t>Welsh, Richard O., and Shafiqua Little. "The School Discipline Dilemma: A Comprehensive Review of Disparities and Alternative Approaches." Review of Educational Research 88, no. 5 (2018): 752–794.</w:t>
      </w:r>
    </w:p>
    <w:p w14:paraId="2CAD44E9" w14:textId="77777777" w:rsidR="006039AF" w:rsidRDefault="006039AF" w:rsidP="006039AF">
      <w:pPr>
        <w:spacing w:line="240" w:lineRule="auto"/>
        <w:ind w:firstLine="0"/>
        <w:rPr>
          <w:color w:val="000000"/>
          <w:sz w:val="20"/>
          <w:szCs w:val="20"/>
        </w:rPr>
      </w:pPr>
    </w:p>
  </w:endnote>
  <w:endnote w:id="43">
    <w:p w14:paraId="197B4081" w14:textId="34F862AA" w:rsidR="006039AF" w:rsidRPr="006039AF" w:rsidRDefault="00E25CED" w:rsidP="006039AF">
      <w:pPr>
        <w:spacing w:line="240" w:lineRule="auto"/>
        <w:ind w:firstLine="0"/>
        <w:rPr>
          <w:color w:val="000000"/>
          <w:sz w:val="20"/>
          <w:szCs w:val="20"/>
        </w:rPr>
      </w:pPr>
      <w:r w:rsidRPr="006039AF">
        <w:rPr>
          <w:rStyle w:val="EndnotesChar"/>
        </w:rPr>
        <w:endnoteRef/>
      </w:r>
      <w:r w:rsidRPr="006039AF">
        <w:rPr>
          <w:rStyle w:val="EndnotesChar"/>
        </w:rPr>
        <w:t xml:space="preserve"> </w:t>
      </w:r>
      <w:r w:rsidR="0070190B" w:rsidRPr="0070190B">
        <w:rPr>
          <w:sz w:val="20"/>
          <w:szCs w:val="20"/>
        </w:rPr>
        <w:t>Multiple peer-reviewed studies of suspension reductions and replacements have found deterioration in academic outcomes, school climate, and teacher retention across districts that adopted these reforms</w:t>
      </w:r>
      <w:r w:rsidR="006039AF" w:rsidRPr="006039AF">
        <w:rPr>
          <w:color w:val="000000"/>
          <w:sz w:val="20"/>
          <w:szCs w:val="20"/>
        </w:rPr>
        <w:t>.</w:t>
      </w:r>
    </w:p>
    <w:p w14:paraId="28665740" w14:textId="77777777" w:rsidR="006039AF" w:rsidRPr="006039AF" w:rsidRDefault="006039AF" w:rsidP="006039AF">
      <w:pPr>
        <w:spacing w:line="240" w:lineRule="auto"/>
        <w:ind w:firstLine="0"/>
        <w:rPr>
          <w:color w:val="000000"/>
          <w:sz w:val="20"/>
          <w:szCs w:val="20"/>
        </w:rPr>
      </w:pPr>
    </w:p>
    <w:p w14:paraId="792E098A" w14:textId="77777777" w:rsidR="006039AF" w:rsidRPr="006039AF" w:rsidRDefault="006039AF" w:rsidP="006039AF">
      <w:pPr>
        <w:spacing w:line="240" w:lineRule="auto"/>
        <w:ind w:firstLine="0"/>
        <w:rPr>
          <w:color w:val="000000"/>
          <w:sz w:val="20"/>
          <w:szCs w:val="20"/>
        </w:rPr>
      </w:pPr>
      <w:r w:rsidRPr="006039AF">
        <w:rPr>
          <w:color w:val="000000"/>
          <w:sz w:val="20"/>
          <w:szCs w:val="20"/>
        </w:rPr>
        <w:t>Pope, Nolan G., and George W. Zuo. "Suspending Suspensions: The Education Production Consequences of School Suspension Policies." The Economic Journal 133, no. 653 (July 2023): 2025–2054.</w:t>
      </w:r>
    </w:p>
    <w:p w14:paraId="7630E46C" w14:textId="77777777" w:rsidR="006039AF" w:rsidRPr="006039AF" w:rsidRDefault="006039AF" w:rsidP="006039AF">
      <w:pPr>
        <w:spacing w:line="240" w:lineRule="auto"/>
        <w:ind w:firstLine="0"/>
        <w:rPr>
          <w:color w:val="000000"/>
          <w:sz w:val="20"/>
          <w:szCs w:val="20"/>
        </w:rPr>
      </w:pPr>
    </w:p>
    <w:p w14:paraId="73B5BA9A" w14:textId="4CB7F5A6" w:rsidR="00E25CED" w:rsidRDefault="006039AF" w:rsidP="006039AF">
      <w:pPr>
        <w:spacing w:line="240" w:lineRule="auto"/>
        <w:ind w:firstLine="0"/>
        <w:rPr>
          <w:color w:val="000000"/>
          <w:sz w:val="20"/>
          <w:szCs w:val="20"/>
        </w:rPr>
      </w:pPr>
      <w:r w:rsidRPr="006039AF">
        <w:rPr>
          <w:color w:val="000000"/>
          <w:sz w:val="20"/>
          <w:szCs w:val="20"/>
        </w:rPr>
        <w:t>Steinberg, Matthew P., and Johanna Lacoe. "What Do We Know About School Discipline Reform? Assessing the Alternatives to Suspensions and Expulsions." Education Next 17, no. 1 (Winter 2017): 44–52.</w:t>
      </w:r>
    </w:p>
    <w:p w14:paraId="6ACFB3CC" w14:textId="77777777" w:rsidR="006039AF" w:rsidRDefault="006039AF" w:rsidP="003107FE">
      <w:pPr>
        <w:pStyle w:val="Endnotes"/>
      </w:pPr>
    </w:p>
  </w:endnote>
  <w:endnote w:id="44">
    <w:p w14:paraId="7D9E2D32" w14:textId="337DA08E" w:rsidR="003107FE" w:rsidRDefault="006039AF" w:rsidP="003107FE">
      <w:pPr>
        <w:pStyle w:val="Endnotes"/>
      </w:pPr>
      <w:r w:rsidRPr="003107FE">
        <w:endnoteRef/>
      </w:r>
      <w:r w:rsidRPr="003107FE">
        <w:t xml:space="preserve"> </w:t>
      </w:r>
      <w:r w:rsidR="003107FE">
        <w:t>The Learning Policy Institute's Pushed Out, analyzing the U.S. Department of Education's 2017–18 Civil Rights Data Collection, states the "four times as likely" ratio explicitly. The underlying CRDC release reports a 12 percent out-of-school suspension rate for Black students against a 3 percent rate for white students—the same 4:1 ratio, drawn directly from the federal data.</w:t>
      </w:r>
    </w:p>
    <w:p w14:paraId="3838E3A8" w14:textId="77777777" w:rsidR="003107FE" w:rsidRDefault="003107FE" w:rsidP="003107FE">
      <w:pPr>
        <w:pStyle w:val="Endnotes"/>
      </w:pPr>
    </w:p>
    <w:p w14:paraId="79826DAF" w14:textId="77777777" w:rsidR="003107FE" w:rsidRDefault="003107FE" w:rsidP="003107FE">
      <w:pPr>
        <w:pStyle w:val="Endnotes"/>
      </w:pPr>
      <w:r>
        <w:t>Leung-Gagné, Melanie, Jennifer McCombs, Caitlin Scott, and Daniel J. Losen. Pushed Out: Trends and Disparities in Out-of-School Suspension. Palo Alto, CA: Learning Policy Institute, September 2022. https://doi.org/10.54300/235.277.</w:t>
      </w:r>
    </w:p>
    <w:p w14:paraId="1BB6C19F" w14:textId="77777777" w:rsidR="003107FE" w:rsidRDefault="003107FE" w:rsidP="003107FE">
      <w:pPr>
        <w:pStyle w:val="Endnotes"/>
      </w:pPr>
    </w:p>
    <w:p w14:paraId="5DE0DCAD" w14:textId="694109F1" w:rsidR="003107FE" w:rsidRDefault="003107FE" w:rsidP="003107FE">
      <w:pPr>
        <w:pStyle w:val="Endnotes"/>
      </w:pPr>
      <w:r>
        <w:t xml:space="preserve">U.S. Department of Education, Office for Civil Rights. An Overview of Exclusionary Discipline Practices in Public Schools for the 2017–18 School Year. Washington, DC: U.S. Department of Education, June 2021. </w:t>
      </w:r>
      <w:hyperlink r:id="rId63" w:history="1">
        <w:r w:rsidRPr="00E320EF">
          <w:rPr>
            <w:rStyle w:val="Hyperlink"/>
          </w:rPr>
          <w:t>https://www.ed.gov/sites/ed/files/about/offices/list/ocr/docs/crdc-exclusionary-school-discipline.pdf</w:t>
        </w:r>
      </w:hyperlink>
      <w:r>
        <w:t>.</w:t>
      </w:r>
    </w:p>
    <w:p w14:paraId="2CB8E6D6" w14:textId="77777777" w:rsidR="003107FE" w:rsidRDefault="003107FE" w:rsidP="003107FE">
      <w:pPr>
        <w:pStyle w:val="Endnotes"/>
      </w:pPr>
    </w:p>
  </w:endnote>
  <w:endnote w:id="45">
    <w:p w14:paraId="17EE022E" w14:textId="67B33E73" w:rsidR="00E25CED" w:rsidRDefault="00E25CED">
      <w:pPr>
        <w:spacing w:line="240" w:lineRule="auto"/>
        <w:ind w:firstLine="0"/>
        <w:rPr>
          <w:color w:val="000000"/>
          <w:sz w:val="20"/>
          <w:szCs w:val="20"/>
        </w:rPr>
      </w:pPr>
      <w:r w:rsidRPr="003107FE">
        <w:rPr>
          <w:rStyle w:val="EndnotesChar"/>
        </w:rPr>
        <w:endnoteRef/>
      </w:r>
      <w:r w:rsidRPr="003107FE">
        <w:rPr>
          <w:rStyle w:val="EndnotesChar"/>
        </w:rPr>
        <w:t xml:space="preserve"> </w:t>
      </w:r>
      <w:r w:rsidR="003107FE" w:rsidRPr="003107FE">
        <w:rPr>
          <w:rStyle w:val="EndnotesChar"/>
        </w:rPr>
        <w:t>U.S. Department of Education, National Center for Education Statistics. "Table 233.40: Percentage of Students</w:t>
      </w:r>
      <w:r w:rsidR="003107FE" w:rsidRPr="003107FE">
        <w:rPr>
          <w:color w:val="000000"/>
          <w:sz w:val="20"/>
          <w:szCs w:val="20"/>
        </w:rPr>
        <w:t xml:space="preserve"> Suspended and Expelled from Public Elementary and Secondary Schools, by Sex, Race/Ethnicity, and State: 2013–14." In Digest of Education Statistics, 2018. Washington, DC: U.S. Department of Education, 2019. https://nces.ed.gov/programs/digest/d18/tables/dt18_233.40.asp. Data drawn from U.S. Department of Education, Office for Civil Rights, Civil Rights Data Collection, 2013–14.</w:t>
      </w:r>
    </w:p>
    <w:p w14:paraId="730D1BE4" w14:textId="77777777" w:rsidR="003107FE" w:rsidRDefault="003107FE">
      <w:pPr>
        <w:spacing w:line="240" w:lineRule="auto"/>
        <w:ind w:firstLine="0"/>
        <w:rPr>
          <w:color w:val="000000"/>
          <w:sz w:val="20"/>
          <w:szCs w:val="20"/>
        </w:rPr>
      </w:pPr>
    </w:p>
  </w:endnote>
  <w:endnote w:id="46">
    <w:p w14:paraId="366EDB79" w14:textId="77777777" w:rsidR="003107FE" w:rsidRPr="003107FE" w:rsidRDefault="00567876" w:rsidP="003107FE">
      <w:pPr>
        <w:spacing w:line="240" w:lineRule="auto"/>
        <w:ind w:firstLine="0"/>
        <w:rPr>
          <w:color w:val="000000"/>
          <w:sz w:val="20"/>
          <w:szCs w:val="20"/>
        </w:rPr>
      </w:pPr>
      <w:r w:rsidRPr="003107FE">
        <w:rPr>
          <w:rStyle w:val="EndnotesChar"/>
        </w:rPr>
        <w:endnoteRef/>
      </w:r>
      <w:r w:rsidRPr="003107FE">
        <w:rPr>
          <w:rStyle w:val="EndnotesChar"/>
        </w:rPr>
        <w:t xml:space="preserve"> </w:t>
      </w:r>
      <w:r w:rsidR="003107FE" w:rsidRPr="003107FE">
        <w:rPr>
          <w:rStyle w:val="EndnotesChar"/>
        </w:rPr>
        <w:t>The researchers themselves acknowledged that disproportionate representation alone was insufficient to prove</w:t>
      </w:r>
      <w:r w:rsidR="003107FE" w:rsidRPr="003107FE">
        <w:rPr>
          <w:color w:val="000000"/>
          <w:sz w:val="20"/>
          <w:szCs w:val="20"/>
        </w:rPr>
        <w:t xml:space="preserve"> bias and that their findings were probabilistic, not conclusive. What the broader evidence did consistently show was that poverty, family structure, and neighborhood conditions were powerful predictors of both behavioral differences and discipline rates. Poor students, regardless of race, were suspended at substantially higher rates than non-poor students, and socioeconomic status was among the strongest predictors of disciplinary contact across every study that examined it. The disparities were real, but the comfortable explanation (biased teachers) allowed policymakers to avoid confronting the upstream conditions that no school discipline policy could fix.</w:t>
      </w:r>
    </w:p>
    <w:p w14:paraId="55E6889F" w14:textId="77777777" w:rsidR="003107FE" w:rsidRPr="003107FE" w:rsidRDefault="003107FE" w:rsidP="003107FE">
      <w:pPr>
        <w:spacing w:line="240" w:lineRule="auto"/>
        <w:ind w:firstLine="0"/>
        <w:rPr>
          <w:color w:val="000000"/>
          <w:sz w:val="20"/>
          <w:szCs w:val="20"/>
        </w:rPr>
      </w:pPr>
    </w:p>
    <w:p w14:paraId="08142989" w14:textId="77777777" w:rsidR="003107FE" w:rsidRPr="003107FE" w:rsidRDefault="003107FE" w:rsidP="003107FE">
      <w:pPr>
        <w:spacing w:line="240" w:lineRule="auto"/>
        <w:ind w:firstLine="0"/>
        <w:rPr>
          <w:color w:val="000000"/>
          <w:sz w:val="20"/>
          <w:szCs w:val="20"/>
        </w:rPr>
      </w:pPr>
      <w:r w:rsidRPr="003107FE">
        <w:rPr>
          <w:color w:val="000000"/>
          <w:sz w:val="20"/>
          <w:szCs w:val="20"/>
        </w:rPr>
        <w:t>Heriot, Gail L., and Alison Somin. "The Department of Education's Obama-Era Initiative on Racial Disparities in School Discipline: Wrong for Students and Teachers, Wrong on the Law." Texas Review of Law &amp; Politics 22, no. 2 (2018).</w:t>
      </w:r>
    </w:p>
    <w:p w14:paraId="088A2438" w14:textId="77777777" w:rsidR="003107FE" w:rsidRPr="003107FE" w:rsidRDefault="003107FE" w:rsidP="003107FE">
      <w:pPr>
        <w:spacing w:line="240" w:lineRule="auto"/>
        <w:ind w:firstLine="0"/>
        <w:rPr>
          <w:color w:val="000000"/>
          <w:sz w:val="20"/>
          <w:szCs w:val="20"/>
        </w:rPr>
      </w:pPr>
    </w:p>
    <w:p w14:paraId="369C3BB5" w14:textId="77777777" w:rsidR="003107FE" w:rsidRPr="003107FE" w:rsidRDefault="003107FE" w:rsidP="003107FE">
      <w:pPr>
        <w:spacing w:line="240" w:lineRule="auto"/>
        <w:ind w:firstLine="0"/>
        <w:rPr>
          <w:color w:val="000000"/>
          <w:sz w:val="20"/>
          <w:szCs w:val="20"/>
        </w:rPr>
      </w:pPr>
      <w:r w:rsidRPr="003107FE">
        <w:rPr>
          <w:color w:val="000000"/>
          <w:sz w:val="20"/>
          <w:szCs w:val="20"/>
        </w:rPr>
        <w:t>Barrett, Nathan, Andrew McEachin, Jonathan N. Mills, and Jon Valant. "Disparities in Student Discipline by Race and Family Income." Education Research Alliance for New Orleans, January 2018.</w:t>
      </w:r>
    </w:p>
    <w:p w14:paraId="22AB4D8C" w14:textId="77777777" w:rsidR="003107FE" w:rsidRPr="003107FE" w:rsidRDefault="003107FE" w:rsidP="003107FE">
      <w:pPr>
        <w:spacing w:line="240" w:lineRule="auto"/>
        <w:ind w:firstLine="0"/>
        <w:rPr>
          <w:color w:val="000000"/>
          <w:sz w:val="20"/>
          <w:szCs w:val="20"/>
        </w:rPr>
      </w:pPr>
    </w:p>
    <w:p w14:paraId="232CE4CC" w14:textId="20CAAF94" w:rsidR="00567876" w:rsidRDefault="003107FE" w:rsidP="003107FE">
      <w:pPr>
        <w:spacing w:line="240" w:lineRule="auto"/>
        <w:ind w:firstLine="0"/>
        <w:rPr>
          <w:color w:val="000000"/>
          <w:sz w:val="20"/>
          <w:szCs w:val="20"/>
        </w:rPr>
      </w:pPr>
      <w:r w:rsidRPr="003107FE">
        <w:rPr>
          <w:color w:val="000000"/>
          <w:sz w:val="20"/>
          <w:szCs w:val="20"/>
        </w:rPr>
        <w:t>Petrilli, Michael J. "Why Disparate Impact Theory Is a Bad Fit for School Discipline." Education Next 18, no. 1 (Winter 2018).</w:t>
      </w:r>
    </w:p>
    <w:p w14:paraId="1BE7ED5F" w14:textId="77777777" w:rsidR="003107FE" w:rsidRDefault="003107FE" w:rsidP="00363427">
      <w:pPr>
        <w:pStyle w:val="Endnotes"/>
      </w:pPr>
    </w:p>
  </w:endnote>
  <w:endnote w:id="47">
    <w:p w14:paraId="7DB9F481" w14:textId="77777777" w:rsidR="005B680B" w:rsidRPr="005B680B" w:rsidRDefault="00363427" w:rsidP="005B680B">
      <w:pPr>
        <w:pStyle w:val="Endnotes"/>
      </w:pPr>
      <w:r w:rsidRPr="00363427">
        <w:endnoteRef/>
      </w:r>
      <w:r w:rsidRPr="00363427">
        <w:t xml:space="preserve"> </w:t>
      </w:r>
      <w:r w:rsidR="005B680B" w:rsidRPr="005B680B">
        <w:t>The income-based suspension disparity documented by Barrett and colleagues is especially striking because it holds independently of race: among Louisiana students with identical infractions and prior records, poor students received longer suspensions than non-poor students in roughly the same proportion that Black students did relative to white students, suggesting that income-based disadvantage operates as a partially independent risk factor rather than a racial proxy. Owens and McLanahan's decomposition of national birth-cohort data finds that school socioeconomic composition is the single largest structural contributor to racial suspension gaps, while measured behavioral differences at school entry account for less than 10 percent. Leventhal and Brooks-Gunn on neighborhood effects and Skiba et al.'s multilevel analyses together establish that high-poverty neighborhood residence and school-level poverty concentration predict behavioral risk across racial groups, inflating the behavioral denominator from which discipline contact is drawn. Barrett et al.'s Louisiana data, Owens and McLanahan's multi-city cohort, and Welsh and Little's systematic review converge on the same income gradient, suggesting a systemic feature of American schooling rather than a regional artifact.</w:t>
      </w:r>
    </w:p>
    <w:p w14:paraId="45182212" w14:textId="61E5F339" w:rsidR="00363427" w:rsidRDefault="00363427" w:rsidP="00363427">
      <w:pPr>
        <w:pStyle w:val="Endnotes"/>
      </w:pPr>
    </w:p>
    <w:p w14:paraId="49DFE45B" w14:textId="77777777" w:rsidR="00363427" w:rsidRDefault="00363427" w:rsidP="00363427">
      <w:pPr>
        <w:pStyle w:val="Endnotes"/>
      </w:pPr>
      <w:r>
        <w:t>Barrett, Nathan, Andrew McEachin, Jonathan N. Mills, and Jon Valant. "Disparities and Discrimination in Student Discipline by Race and Family Income." Journal of Human Resources 56, no. 3 (Summer 2021): 711–748.</w:t>
      </w:r>
    </w:p>
    <w:p w14:paraId="2D484C67" w14:textId="77777777" w:rsidR="00363427" w:rsidRDefault="00363427" w:rsidP="00363427">
      <w:pPr>
        <w:pStyle w:val="Endnotes"/>
      </w:pPr>
    </w:p>
    <w:p w14:paraId="49A7E0FC" w14:textId="77777777" w:rsidR="00363427" w:rsidRDefault="00363427" w:rsidP="00363427">
      <w:pPr>
        <w:pStyle w:val="Endnotes"/>
      </w:pPr>
      <w:r>
        <w:t>Owens, Jayanti, and Sara S. McLanahan. "Unpacking the Drivers of Racial Disparities in School Suspension and Expulsion." Social Forces 98, no. 4 (June 2020): 1548–1577. https://doi.org/10.1093/sf/soz095.</w:t>
      </w:r>
    </w:p>
    <w:p w14:paraId="486F0E05" w14:textId="77777777" w:rsidR="00363427" w:rsidRDefault="00363427" w:rsidP="00363427">
      <w:pPr>
        <w:pStyle w:val="Endnotes"/>
      </w:pPr>
    </w:p>
    <w:p w14:paraId="6779B3ED" w14:textId="77777777" w:rsidR="00363427" w:rsidRDefault="00363427" w:rsidP="00363427">
      <w:pPr>
        <w:pStyle w:val="Endnotes"/>
      </w:pPr>
      <w:r>
        <w:t>Welsh, Richard O., and Shafiqua Little. "The School Discipline Dilemma: A Comprehensive Review of Disparities and Alternative Approaches." Review of Educational Research 88, no. 5 (October 2018): 752–794. https://doi.org/10.3102/0034654318791582.</w:t>
      </w:r>
    </w:p>
    <w:p w14:paraId="42F86A55" w14:textId="77777777" w:rsidR="00363427" w:rsidRDefault="00363427" w:rsidP="00363427">
      <w:pPr>
        <w:pStyle w:val="Endnotes"/>
      </w:pPr>
    </w:p>
    <w:p w14:paraId="4F14138C" w14:textId="77777777" w:rsidR="00363427" w:rsidRDefault="00363427" w:rsidP="00363427">
      <w:pPr>
        <w:pStyle w:val="Endnotes"/>
      </w:pPr>
      <w:r>
        <w:t>Skiba, Russell J., Choong-Geun Chung, Megan Trachok, Timberly L. Baker, Adam Sheya, and Robin L. Hughes. "Parsing Disciplinary Disproportionality: Contributions of Infraction, Student, and School Characteristics to Out-of-School Suspension and Expulsion." American Educational Research Journal 51, no. 4 (August 2014): 640–670. https://doi.org/10.3102/0002831214541670.</w:t>
      </w:r>
    </w:p>
    <w:p w14:paraId="503EC570" w14:textId="77777777" w:rsidR="00363427" w:rsidRDefault="00363427" w:rsidP="00363427">
      <w:pPr>
        <w:pStyle w:val="Endnotes"/>
      </w:pPr>
    </w:p>
    <w:p w14:paraId="132942E4" w14:textId="77777777" w:rsidR="00363427" w:rsidRDefault="00363427" w:rsidP="00363427">
      <w:pPr>
        <w:pStyle w:val="Endnotes"/>
      </w:pPr>
      <w:r>
        <w:t>Morris, Edward W., and Brea L. Perry. "The Punishment Gap: School Suspension and Racial Disparities in Achievement." Social Problems 63, no. 1 (February 2016): 68–86.</w:t>
      </w:r>
    </w:p>
    <w:p w14:paraId="30F7D934" w14:textId="77777777" w:rsidR="00363427" w:rsidRDefault="00363427" w:rsidP="00363427">
      <w:pPr>
        <w:pStyle w:val="Endnotes"/>
      </w:pPr>
    </w:p>
    <w:p w14:paraId="7AFAAAC6" w14:textId="1D3A5F5E" w:rsidR="00363427" w:rsidRDefault="00363427" w:rsidP="00363427">
      <w:pPr>
        <w:pStyle w:val="Endnotes"/>
      </w:pPr>
      <w:r>
        <w:t xml:space="preserve">Leventhal, Tama, and Jeanne Brooks-Gunn. "The Neighborhoods They Live In: The Effects of Neighborhood Residence on Child and Adolescent Outcomes." Psychological Bulletin 126, no. 2 (March 2000): 309–337. </w:t>
      </w:r>
      <w:hyperlink r:id="rId64" w:history="1">
        <w:r w:rsidRPr="00E320EF">
          <w:rPr>
            <w:rStyle w:val="Hyperlink"/>
          </w:rPr>
          <w:t>https://doi.org/10.1037/0033-2909.126.2.309</w:t>
        </w:r>
      </w:hyperlink>
      <w:r>
        <w:t>.</w:t>
      </w:r>
    </w:p>
    <w:p w14:paraId="03DF2790" w14:textId="77777777" w:rsidR="00363427" w:rsidRDefault="00363427" w:rsidP="00363427">
      <w:pPr>
        <w:pStyle w:val="EndnoteText"/>
      </w:pPr>
    </w:p>
  </w:endnote>
  <w:endnote w:id="48">
    <w:p w14:paraId="74FCD674" w14:textId="77777777" w:rsidR="00767630" w:rsidRDefault="00E25CED">
      <w:pPr>
        <w:spacing w:line="240" w:lineRule="auto"/>
        <w:ind w:firstLine="0"/>
        <w:rPr>
          <w:color w:val="000000"/>
          <w:sz w:val="20"/>
          <w:szCs w:val="20"/>
        </w:rPr>
      </w:pPr>
      <w:r w:rsidRPr="00696BE3">
        <w:rPr>
          <w:rStyle w:val="EndnotesChar"/>
        </w:rPr>
        <w:endnoteRef/>
      </w:r>
      <w:r w:rsidRPr="00696BE3">
        <w:rPr>
          <w:rStyle w:val="EndnotesChar"/>
        </w:rPr>
        <w:t xml:space="preserve"> In 2014, the U.S. Departments of Education and Justice issued a joint Dear Colleague Letter warning school</w:t>
      </w:r>
      <w:r>
        <w:rPr>
          <w:color w:val="000000"/>
          <w:sz w:val="20"/>
          <w:szCs w:val="20"/>
        </w:rPr>
        <w:t xml:space="preserve"> districts that racial disparities in suspension rates could constitute evidence of unlawful discrimination, even if discipline policies were race-neutral and applied evenhandedly. The letter rested on a stated premise that racial disparities in discipline were driven primarily by educator bias rather than by differences in student behavior. The policy shifted federal enforcement from prohibiting disparate treatment (punishing students differently because of race) to prohibiting disparate impact, under which statistically disproportionate outcomes alone could trigger federal civil rights investigations and the threat of lost funding. Yet the research the letter cited could not establish that bias was the primary cause of the disparities</w:t>
      </w:r>
      <w:r w:rsidR="00767630">
        <w:rPr>
          <w:color w:val="000000"/>
          <w:sz w:val="20"/>
          <w:szCs w:val="20"/>
        </w:rPr>
        <w:t>.</w:t>
      </w:r>
    </w:p>
    <w:p w14:paraId="0A5782C3" w14:textId="1FB81B52" w:rsidR="00E25CED" w:rsidRDefault="00E25CED">
      <w:pPr>
        <w:spacing w:line="240" w:lineRule="auto"/>
        <w:ind w:firstLine="0"/>
        <w:rPr>
          <w:color w:val="000000"/>
          <w:sz w:val="20"/>
          <w:szCs w:val="20"/>
        </w:rPr>
      </w:pPr>
    </w:p>
    <w:p w14:paraId="5A4030A8" w14:textId="5A13EADA" w:rsidR="00E25CED" w:rsidRDefault="00E25CED">
      <w:pPr>
        <w:spacing w:line="240" w:lineRule="auto"/>
        <w:ind w:firstLine="0"/>
        <w:rPr>
          <w:color w:val="000000"/>
          <w:sz w:val="20"/>
          <w:szCs w:val="20"/>
        </w:rPr>
      </w:pPr>
      <w:r>
        <w:rPr>
          <w:color w:val="000000"/>
          <w:sz w:val="20"/>
          <w:szCs w:val="20"/>
        </w:rPr>
        <w:t xml:space="preserve">U.S. Department of Education, Office for Civil Rights, and U.S. Department of Justice, Civil Rights Division. </w:t>
      </w:r>
      <w:r w:rsidR="00463E2E">
        <w:rPr>
          <w:color w:val="000000"/>
          <w:sz w:val="20"/>
          <w:szCs w:val="20"/>
        </w:rPr>
        <w:t>"</w:t>
      </w:r>
      <w:r>
        <w:rPr>
          <w:color w:val="000000"/>
          <w:sz w:val="20"/>
          <w:szCs w:val="20"/>
        </w:rPr>
        <w:t>Dear Colleague Letter on the Nondiscriminatory Administration of School Discipline.</w:t>
      </w:r>
      <w:r w:rsidR="00463E2E">
        <w:rPr>
          <w:color w:val="000000"/>
          <w:sz w:val="20"/>
          <w:szCs w:val="20"/>
        </w:rPr>
        <w:t>"</w:t>
      </w:r>
      <w:r>
        <w:rPr>
          <w:color w:val="000000"/>
          <w:sz w:val="20"/>
          <w:szCs w:val="20"/>
        </w:rPr>
        <w:t xml:space="preserve"> January 8, 2014.</w:t>
      </w:r>
    </w:p>
    <w:p w14:paraId="6B977140" w14:textId="77777777" w:rsidR="00E25CED" w:rsidRDefault="00E25CED">
      <w:pPr>
        <w:spacing w:line="240" w:lineRule="auto"/>
        <w:ind w:firstLine="0"/>
        <w:rPr>
          <w:color w:val="000000"/>
          <w:sz w:val="20"/>
          <w:szCs w:val="20"/>
        </w:rPr>
      </w:pPr>
    </w:p>
    <w:p w14:paraId="2BE08462" w14:textId="3FA336FA" w:rsidR="00E25CED" w:rsidRDefault="00E25CED">
      <w:pPr>
        <w:spacing w:line="240" w:lineRule="auto"/>
        <w:ind w:firstLine="0"/>
        <w:rPr>
          <w:color w:val="000000"/>
          <w:sz w:val="20"/>
          <w:szCs w:val="20"/>
        </w:rPr>
      </w:pPr>
      <w:r>
        <w:rPr>
          <w:color w:val="000000"/>
          <w:sz w:val="20"/>
          <w:szCs w:val="20"/>
        </w:rPr>
        <w:t xml:space="preserve">Heriot, Gail L. and Alison Somin. </w:t>
      </w:r>
      <w:r w:rsidR="00463E2E">
        <w:rPr>
          <w:color w:val="000000"/>
          <w:sz w:val="20"/>
          <w:szCs w:val="20"/>
        </w:rPr>
        <w:t>"</w:t>
      </w:r>
      <w:r>
        <w:rPr>
          <w:color w:val="000000"/>
          <w:sz w:val="20"/>
          <w:szCs w:val="20"/>
        </w:rPr>
        <w:t>The Department of Education's Obama-Era Initiative on Racial Disparities in School Discipline: Wrong for Students and Teachers, Wrong on the Law.</w:t>
      </w:r>
      <w:r w:rsidR="00463E2E">
        <w:rPr>
          <w:color w:val="000000"/>
          <w:sz w:val="20"/>
          <w:szCs w:val="20"/>
        </w:rPr>
        <w:t>"</w:t>
      </w:r>
      <w:r>
        <w:rPr>
          <w:color w:val="000000"/>
          <w:sz w:val="20"/>
          <w:szCs w:val="20"/>
        </w:rPr>
        <w:t xml:space="preserve"> </w:t>
      </w:r>
      <w:r>
        <w:rPr>
          <w:i/>
          <w:iCs/>
          <w:color w:val="000000"/>
          <w:sz w:val="20"/>
          <w:szCs w:val="20"/>
        </w:rPr>
        <w:t>Texas Review of Law &amp; Politics</w:t>
      </w:r>
      <w:r>
        <w:rPr>
          <w:color w:val="000000"/>
          <w:sz w:val="20"/>
          <w:szCs w:val="20"/>
        </w:rPr>
        <w:t xml:space="preserve"> 22, no. 2 (2018).</w:t>
      </w:r>
    </w:p>
    <w:p w14:paraId="5F437F3D" w14:textId="77777777" w:rsidR="00E25CED" w:rsidRDefault="00E25CED">
      <w:pPr>
        <w:spacing w:line="240" w:lineRule="auto"/>
        <w:ind w:firstLine="0"/>
        <w:rPr>
          <w:color w:val="000000"/>
          <w:sz w:val="20"/>
          <w:szCs w:val="20"/>
        </w:rPr>
      </w:pPr>
    </w:p>
    <w:p w14:paraId="3B75269F" w14:textId="33706528" w:rsidR="00E25CED" w:rsidRDefault="00E25CED">
      <w:pPr>
        <w:spacing w:line="240" w:lineRule="auto"/>
        <w:ind w:firstLine="0"/>
        <w:rPr>
          <w:color w:val="000000"/>
          <w:sz w:val="20"/>
          <w:szCs w:val="20"/>
        </w:rPr>
      </w:pPr>
      <w:r>
        <w:rPr>
          <w:color w:val="000000"/>
          <w:sz w:val="20"/>
          <w:szCs w:val="20"/>
        </w:rPr>
        <w:t xml:space="preserve">Eden, Max. </w:t>
      </w:r>
      <w:r w:rsidR="00463E2E">
        <w:rPr>
          <w:color w:val="000000"/>
          <w:sz w:val="20"/>
          <w:szCs w:val="20"/>
        </w:rPr>
        <w:t>"</w:t>
      </w:r>
      <w:r>
        <w:rPr>
          <w:color w:val="000000"/>
          <w:sz w:val="20"/>
          <w:szCs w:val="20"/>
        </w:rPr>
        <w:t>Enforcing Classroom Disorder: Trump Has Not Called Off Obama's War on School Discipline.</w:t>
      </w:r>
      <w:r w:rsidR="00463E2E">
        <w:rPr>
          <w:color w:val="000000"/>
          <w:sz w:val="20"/>
          <w:szCs w:val="20"/>
        </w:rPr>
        <w:t>"</w:t>
      </w:r>
      <w:r>
        <w:rPr>
          <w:color w:val="000000"/>
          <w:sz w:val="20"/>
          <w:szCs w:val="20"/>
        </w:rPr>
        <w:t xml:space="preserve"> Manhattan Institute, March 2019.</w:t>
      </w:r>
    </w:p>
    <w:p w14:paraId="185764FA" w14:textId="77777777" w:rsidR="00E25CED" w:rsidRDefault="00E25CED" w:rsidP="00DD5331">
      <w:pPr>
        <w:pStyle w:val="Endnotes"/>
      </w:pPr>
    </w:p>
  </w:endnote>
  <w:endnote w:id="49">
    <w:p w14:paraId="05BEFF31" w14:textId="27D25E95" w:rsidR="00DD5331" w:rsidRDefault="00DD5331" w:rsidP="00DD5331">
      <w:pPr>
        <w:pStyle w:val="Endnotes"/>
      </w:pPr>
      <w:r w:rsidRPr="00DD5331">
        <w:endnoteRef/>
      </w:r>
      <w:r w:rsidRPr="00DD5331">
        <w:t xml:space="preserve"> Pope, Nolan G., and George W. Zuo. "Suspending Suspensions: The Education Production Consequences of School Suspension Policies." [italics]The Economic Journal[/italics] 133, no. 653 (2023): 2025–2054. </w:t>
      </w:r>
      <w:hyperlink r:id="rId65" w:history="1">
        <w:r w:rsidRPr="00E320EF">
          <w:rPr>
            <w:rStyle w:val="Hyperlink"/>
          </w:rPr>
          <w:t>https://doi.org/10.1093/ej/uead011</w:t>
        </w:r>
      </w:hyperlink>
      <w:r w:rsidRPr="00DD5331">
        <w:t>.</w:t>
      </w:r>
    </w:p>
    <w:p w14:paraId="63B37261" w14:textId="77777777" w:rsidR="00DD5331" w:rsidRDefault="00DD5331" w:rsidP="00DD5331">
      <w:pPr>
        <w:pStyle w:val="Endnotes"/>
      </w:pPr>
    </w:p>
  </w:endnote>
  <w:endnote w:id="50">
    <w:p w14:paraId="1E156CC0" w14:textId="1AFC7B38" w:rsidR="00DD5331" w:rsidRDefault="00DD5331" w:rsidP="00DD5331">
      <w:pPr>
        <w:pStyle w:val="Endnotes"/>
      </w:pPr>
      <w:r w:rsidRPr="00DD5331">
        <w:endnoteRef/>
      </w:r>
      <w:r w:rsidRPr="00DD5331">
        <w:t xml:space="preserve"> Lacoe, Johanna, and Matthew P. Steinberg. "Rolling Back Zero Tolerance: The Effect of Discipline Policy Reform on Suspension Usage and Student Outcomes." [italics]Peabody Journal of Education[/italics] 93, no. 2 (2018): 207–227. </w:t>
      </w:r>
      <w:hyperlink r:id="rId66" w:history="1">
        <w:r w:rsidRPr="00E320EF">
          <w:rPr>
            <w:rStyle w:val="Hyperlink"/>
          </w:rPr>
          <w:t>https://www.tandfonline.com/doi/abs/10.1080/0161956X.2018.1435047</w:t>
        </w:r>
      </w:hyperlink>
      <w:r w:rsidRPr="00DD5331">
        <w:t>.</w:t>
      </w:r>
    </w:p>
    <w:p w14:paraId="1A0E1298" w14:textId="77777777" w:rsidR="00DD5331" w:rsidRDefault="00DD5331" w:rsidP="00DD5331">
      <w:pPr>
        <w:pStyle w:val="Endnotes"/>
      </w:pPr>
    </w:p>
  </w:endnote>
  <w:endnote w:id="51">
    <w:p w14:paraId="131134C4" w14:textId="6CF613D9" w:rsidR="00DD5331" w:rsidRDefault="00DD5331" w:rsidP="00DD5331">
      <w:pPr>
        <w:pStyle w:val="Endnotes"/>
      </w:pPr>
      <w:r w:rsidRPr="00DD5331">
        <w:endnoteRef/>
      </w:r>
      <w:r w:rsidRPr="00DD5331">
        <w:t xml:space="preserve"> Augustine, Catherine H., John Engberg, Geoffrey E. Grimm, Emma Lee, Elaine Lin Wang, Karen Christianson, and Andrea A. Joseph. [italics]Can Restorative Practices Improve School Climate and Curb Suspensions? An Evaluation of the Impact of Restorative Practices in a Mid-Sized Urban School District[/italics]. Santa Monica, CA: RAND Corporation, 2018. </w:t>
      </w:r>
      <w:hyperlink r:id="rId67" w:history="1">
        <w:r w:rsidRPr="00E320EF">
          <w:rPr>
            <w:rStyle w:val="Hyperlink"/>
          </w:rPr>
          <w:t>https://www.rand.org/pubs/research_reports/RR2840.html</w:t>
        </w:r>
      </w:hyperlink>
      <w:r w:rsidRPr="00DD5331">
        <w:t>.</w:t>
      </w:r>
    </w:p>
    <w:p w14:paraId="6485323E" w14:textId="77777777" w:rsidR="00DD5331" w:rsidRDefault="00DD5331" w:rsidP="00DD5331">
      <w:pPr>
        <w:pStyle w:val="Endnotes"/>
      </w:pPr>
    </w:p>
  </w:endnote>
  <w:endnote w:id="52">
    <w:p w14:paraId="7E4B1159" w14:textId="77777777" w:rsidR="00AB0AD7" w:rsidRPr="00AB0AD7" w:rsidRDefault="00E25CED" w:rsidP="00DD5331">
      <w:pPr>
        <w:pStyle w:val="Endnotes"/>
      </w:pPr>
      <w:r w:rsidRPr="00DD5331">
        <w:endnoteRef/>
      </w:r>
      <w:r w:rsidRPr="00DD5331">
        <w:t xml:space="preserve"> </w:t>
      </w:r>
      <w:r w:rsidR="00AB0AD7" w:rsidRPr="00DD5331">
        <w:t>Teach Plus Illinois. From Zero to SB100: Teachers' Views on Implementation of School Discipline Reform. March</w:t>
      </w:r>
      <w:r w:rsidR="00AB0AD7" w:rsidRPr="00AB0AD7">
        <w:t xml:space="preserve"> 2018.</w:t>
      </w:r>
    </w:p>
    <w:p w14:paraId="2B9A5FCF" w14:textId="77777777" w:rsidR="00E25CED" w:rsidRDefault="00E25CED" w:rsidP="00DD5331">
      <w:pPr>
        <w:pStyle w:val="Endnotes"/>
      </w:pPr>
    </w:p>
  </w:endnote>
  <w:endnote w:id="53">
    <w:p w14:paraId="476DF6B8" w14:textId="77777777" w:rsidR="00E25CED" w:rsidRDefault="00E25CED">
      <w:pPr>
        <w:spacing w:line="240" w:lineRule="auto"/>
        <w:ind w:firstLine="0"/>
        <w:rPr>
          <w:color w:val="000000"/>
          <w:sz w:val="20"/>
          <w:szCs w:val="20"/>
        </w:rPr>
      </w:pPr>
      <w:r w:rsidRPr="00673D13">
        <w:rPr>
          <w:rStyle w:val="EndnotesChar"/>
        </w:rPr>
        <w:endnoteRef/>
      </w:r>
      <w:r w:rsidRPr="00673D13">
        <w:rPr>
          <w:rStyle w:val="EndnotesChar"/>
        </w:rPr>
        <w:t xml:space="preserve"> The ratchet pattern, deep cuts during downturns followed by only partial restoration during recoveries, is one of</w:t>
      </w:r>
      <w:r>
        <w:rPr>
          <w:color w:val="000000"/>
          <w:sz w:val="20"/>
          <w:szCs w:val="20"/>
        </w:rPr>
        <w:t xml:space="preserve"> the most consistent findings in higher education finance research. State higher education spending fell 29 percent per student between fiscal year 2008 and fiscal year 2012 alone, and as of fiscal year 2024, twenty-two states still funded higher education below pre–Great Recession levels. Community colleges have been hit particularly hard: they receive roughly half the per-student revenue of four-year institutions ($8,700 vs. $17,500 in education-related revenue per FTE), and the gap has been structural for decades. Recent per-student funding increases are partly an artifact of sharply declining enrollment (fewer students dividing a modestly larger pot) not genuine reinvestment.</w:t>
      </w:r>
    </w:p>
    <w:p w14:paraId="609EDBD7" w14:textId="77777777" w:rsidR="00E25CED" w:rsidRDefault="00E25CED">
      <w:pPr>
        <w:spacing w:line="240" w:lineRule="auto"/>
        <w:ind w:firstLine="0"/>
        <w:rPr>
          <w:color w:val="000000"/>
          <w:sz w:val="20"/>
          <w:szCs w:val="20"/>
        </w:rPr>
      </w:pPr>
    </w:p>
    <w:p w14:paraId="4964AFA1" w14:textId="72307D15" w:rsidR="00E25CED" w:rsidRDefault="00E25CED">
      <w:pPr>
        <w:spacing w:line="240" w:lineRule="auto"/>
        <w:ind w:firstLine="0"/>
        <w:rPr>
          <w:color w:val="000000"/>
          <w:sz w:val="20"/>
          <w:szCs w:val="20"/>
        </w:rPr>
      </w:pPr>
      <w:r>
        <w:rPr>
          <w:color w:val="000000"/>
          <w:sz w:val="20"/>
          <w:szCs w:val="20"/>
        </w:rPr>
        <w:t xml:space="preserve">Community College Research Center. </w:t>
      </w:r>
      <w:r w:rsidR="00463E2E">
        <w:rPr>
          <w:color w:val="000000"/>
          <w:sz w:val="20"/>
          <w:szCs w:val="20"/>
        </w:rPr>
        <w:t>"</w:t>
      </w:r>
      <w:r>
        <w:rPr>
          <w:color w:val="000000"/>
          <w:sz w:val="20"/>
          <w:szCs w:val="20"/>
        </w:rPr>
        <w:t>Public Funding of Community Colleges.</w:t>
      </w:r>
      <w:r w:rsidR="00463E2E">
        <w:rPr>
          <w:color w:val="000000"/>
          <w:sz w:val="20"/>
          <w:szCs w:val="20"/>
        </w:rPr>
        <w:t>"</w:t>
      </w:r>
      <w:r>
        <w:rPr>
          <w:color w:val="000000"/>
          <w:sz w:val="20"/>
          <w:szCs w:val="20"/>
        </w:rPr>
        <w:t xml:space="preserve"> Policy Fact Sheet, Columbia University, February 2022. </w:t>
      </w:r>
      <w:hyperlink r:id="rId68">
        <w:r>
          <w:rPr>
            <w:rStyle w:val="Hyperlink"/>
            <w:color w:val="467886"/>
            <w:sz w:val="20"/>
            <w:szCs w:val="20"/>
          </w:rPr>
          <w:t>https://ccrc.tc.columbia.edu/publications/public-funding-community-colleges.html</w:t>
        </w:r>
      </w:hyperlink>
      <w:r>
        <w:rPr>
          <w:color w:val="000000"/>
          <w:sz w:val="20"/>
          <w:szCs w:val="20"/>
        </w:rPr>
        <w:t>.</w:t>
      </w:r>
    </w:p>
    <w:p w14:paraId="36B29C3D" w14:textId="77777777" w:rsidR="00E25CED" w:rsidRDefault="00E25CED">
      <w:pPr>
        <w:spacing w:line="240" w:lineRule="auto"/>
        <w:ind w:firstLine="0"/>
        <w:rPr>
          <w:color w:val="000000"/>
          <w:sz w:val="20"/>
          <w:szCs w:val="20"/>
        </w:rPr>
      </w:pPr>
    </w:p>
    <w:p w14:paraId="7D20A773" w14:textId="0BB86094" w:rsidR="00E25CED" w:rsidRDefault="00E25CED">
      <w:pPr>
        <w:spacing w:line="240" w:lineRule="auto"/>
        <w:ind w:firstLine="0"/>
        <w:rPr>
          <w:color w:val="000000"/>
          <w:sz w:val="20"/>
          <w:szCs w:val="20"/>
        </w:rPr>
      </w:pPr>
      <w:r>
        <w:rPr>
          <w:color w:val="000000"/>
          <w:sz w:val="20"/>
          <w:szCs w:val="20"/>
        </w:rPr>
        <w:t xml:space="preserve">Stauffer, Adam, Phil Oliff, Chris Foard, Rebecca Thiess, Mary Reese, Brakeyshia Samms, Mike Bryant, Laura Pontari, Emma Spence, and John Einsiedler. </w:t>
      </w:r>
      <w:r w:rsidR="00463E2E">
        <w:rPr>
          <w:color w:val="000000"/>
          <w:sz w:val="20"/>
          <w:szCs w:val="20"/>
        </w:rPr>
        <w:t>"</w:t>
      </w:r>
      <w:r>
        <w:rPr>
          <w:color w:val="000000"/>
          <w:sz w:val="20"/>
          <w:szCs w:val="20"/>
        </w:rPr>
        <w:t>Two Decades of Change in Federal and State Higher Education Funding: Recent Trends Across Levels of Government.</w:t>
      </w:r>
      <w:r w:rsidR="00463E2E">
        <w:rPr>
          <w:color w:val="000000"/>
          <w:sz w:val="20"/>
          <w:szCs w:val="20"/>
        </w:rPr>
        <w:t>"</w:t>
      </w:r>
      <w:r>
        <w:rPr>
          <w:color w:val="000000"/>
          <w:sz w:val="20"/>
          <w:szCs w:val="20"/>
        </w:rPr>
        <w:t xml:space="preserve"> The Pew Charitable Trusts, October 2019. </w:t>
      </w:r>
      <w:hyperlink r:id="rId69">
        <w:r>
          <w:rPr>
            <w:rStyle w:val="Hyperlink"/>
            <w:color w:val="467886"/>
            <w:sz w:val="20"/>
            <w:szCs w:val="20"/>
          </w:rPr>
          <w:t>https://www.pew.org/en/research-and-analysis/issue-briefs/2019/10/two-decades-of-change-in-federal-and-state-higher-education-funding</w:t>
        </w:r>
      </w:hyperlink>
      <w:r>
        <w:rPr>
          <w:color w:val="000000"/>
          <w:sz w:val="20"/>
          <w:szCs w:val="20"/>
        </w:rPr>
        <w:t>.</w:t>
      </w:r>
    </w:p>
    <w:p w14:paraId="68C4D811" w14:textId="77777777" w:rsidR="00E25CED" w:rsidRDefault="00E25CED">
      <w:pPr>
        <w:spacing w:line="240" w:lineRule="auto"/>
        <w:ind w:firstLine="0"/>
        <w:rPr>
          <w:color w:val="000000"/>
          <w:sz w:val="20"/>
          <w:szCs w:val="20"/>
        </w:rPr>
      </w:pPr>
    </w:p>
    <w:p w14:paraId="62A1F697" w14:textId="77777777" w:rsidR="00E25CED" w:rsidRDefault="00E25CED">
      <w:pPr>
        <w:spacing w:line="240" w:lineRule="auto"/>
        <w:ind w:firstLine="0"/>
        <w:rPr>
          <w:color w:val="000000"/>
          <w:sz w:val="20"/>
          <w:szCs w:val="20"/>
        </w:rPr>
      </w:pPr>
      <w:r>
        <w:rPr>
          <w:color w:val="000000"/>
          <w:sz w:val="20"/>
          <w:szCs w:val="20"/>
        </w:rPr>
        <w:t xml:space="preserve">State Higher Education Executive Officers Association. </w:t>
      </w:r>
      <w:r>
        <w:rPr>
          <w:i/>
          <w:iCs/>
          <w:color w:val="000000"/>
          <w:sz w:val="20"/>
          <w:szCs w:val="20"/>
        </w:rPr>
        <w:t>State Higher Education Finance: FY 2024</w:t>
      </w:r>
      <w:r>
        <w:rPr>
          <w:color w:val="000000"/>
          <w:sz w:val="20"/>
          <w:szCs w:val="20"/>
        </w:rPr>
        <w:t xml:space="preserve">. SHEEO, May 2025. </w:t>
      </w:r>
      <w:hyperlink r:id="rId70">
        <w:r>
          <w:rPr>
            <w:rStyle w:val="Hyperlink"/>
            <w:color w:val="467886"/>
            <w:sz w:val="20"/>
            <w:szCs w:val="20"/>
          </w:rPr>
          <w:t>https://shef.sheeo.org/report/</w:t>
        </w:r>
      </w:hyperlink>
      <w:r>
        <w:rPr>
          <w:color w:val="000000"/>
          <w:sz w:val="20"/>
          <w:szCs w:val="20"/>
        </w:rPr>
        <w:t>.</w:t>
      </w:r>
    </w:p>
    <w:p w14:paraId="7A7DE6B4" w14:textId="77777777" w:rsidR="00E25CED" w:rsidRDefault="00E25CED">
      <w:pPr>
        <w:spacing w:line="240" w:lineRule="auto"/>
        <w:ind w:firstLine="0"/>
        <w:rPr>
          <w:color w:val="000000"/>
          <w:sz w:val="20"/>
          <w:szCs w:val="20"/>
        </w:rPr>
      </w:pPr>
    </w:p>
    <w:p w14:paraId="4B087E27" w14:textId="18C24291" w:rsidR="00E25CED" w:rsidRDefault="00E25CED">
      <w:pPr>
        <w:spacing w:line="240" w:lineRule="auto"/>
        <w:ind w:firstLine="0"/>
        <w:rPr>
          <w:color w:val="000000"/>
          <w:sz w:val="20"/>
          <w:szCs w:val="20"/>
        </w:rPr>
      </w:pPr>
      <w:r>
        <w:rPr>
          <w:color w:val="000000"/>
          <w:sz w:val="20"/>
          <w:szCs w:val="20"/>
        </w:rPr>
        <w:t xml:space="preserve">Hillman, Nick. </w:t>
      </w:r>
      <w:r w:rsidR="00463E2E">
        <w:rPr>
          <w:color w:val="000000"/>
          <w:sz w:val="20"/>
          <w:szCs w:val="20"/>
        </w:rPr>
        <w:t>"</w:t>
      </w:r>
      <w:r>
        <w:rPr>
          <w:color w:val="000000"/>
          <w:sz w:val="20"/>
          <w:szCs w:val="20"/>
        </w:rPr>
        <w:t>State, Local Funding Down for Two-Year Colleges.</w:t>
      </w:r>
      <w:r w:rsidR="00463E2E">
        <w:rPr>
          <w:color w:val="000000"/>
          <w:sz w:val="20"/>
          <w:szCs w:val="20"/>
        </w:rPr>
        <w:t>"</w:t>
      </w:r>
      <w:r>
        <w:rPr>
          <w:color w:val="000000"/>
          <w:sz w:val="20"/>
          <w:szCs w:val="20"/>
        </w:rPr>
        <w:t xml:space="preserve"> </w:t>
      </w:r>
      <w:r>
        <w:rPr>
          <w:i/>
          <w:iCs/>
          <w:color w:val="000000"/>
          <w:sz w:val="20"/>
          <w:szCs w:val="20"/>
        </w:rPr>
        <w:t>Community College Daily</w:t>
      </w:r>
      <w:r>
        <w:rPr>
          <w:color w:val="000000"/>
          <w:sz w:val="20"/>
          <w:szCs w:val="20"/>
        </w:rPr>
        <w:t xml:space="preserve">, May 15, 2025. </w:t>
      </w:r>
      <w:hyperlink r:id="rId71">
        <w:r>
          <w:rPr>
            <w:rStyle w:val="Hyperlink"/>
            <w:color w:val="467886"/>
            <w:sz w:val="20"/>
            <w:szCs w:val="20"/>
          </w:rPr>
          <w:t>https://www.ccdaily.com/2025/05/state-local-funding-down-for-two-year-colleges/</w:t>
        </w:r>
      </w:hyperlink>
      <w:r>
        <w:rPr>
          <w:color w:val="000000"/>
          <w:sz w:val="20"/>
          <w:szCs w:val="20"/>
        </w:rPr>
        <w:t>.</w:t>
      </w:r>
    </w:p>
    <w:p w14:paraId="1FDC7443" w14:textId="77777777" w:rsidR="00E25CED" w:rsidRDefault="00E25CED">
      <w:pPr>
        <w:spacing w:line="240" w:lineRule="auto"/>
        <w:ind w:firstLine="0"/>
        <w:rPr>
          <w:color w:val="000000"/>
          <w:sz w:val="20"/>
          <w:szCs w:val="20"/>
        </w:rPr>
      </w:pPr>
    </w:p>
  </w:endnote>
  <w:endnote w:id="54">
    <w:p w14:paraId="132224A7" w14:textId="77777777" w:rsidR="00695312" w:rsidRPr="00695312" w:rsidRDefault="00E25CED" w:rsidP="00695312">
      <w:pPr>
        <w:spacing w:line="240" w:lineRule="auto"/>
        <w:ind w:firstLine="0"/>
        <w:rPr>
          <w:color w:val="000000"/>
          <w:sz w:val="20"/>
          <w:szCs w:val="20"/>
        </w:rPr>
      </w:pPr>
      <w:r w:rsidRPr="00673D13">
        <w:rPr>
          <w:rStyle w:val="EndnotesChar"/>
        </w:rPr>
        <w:endnoteRef/>
      </w:r>
      <w:r w:rsidRPr="00673D13">
        <w:rPr>
          <w:rStyle w:val="EndnotesChar"/>
        </w:rPr>
        <w:t xml:space="preserve"> </w:t>
      </w:r>
      <w:r w:rsidR="00695312" w:rsidRPr="00673D13">
        <w:rPr>
          <w:rStyle w:val="EndnotesChar"/>
        </w:rPr>
        <w:t>As of 2025, 36 states use performance metrics in higher education funding allocations. The scope varies:</w:t>
      </w:r>
      <w:r w:rsidR="00695312" w:rsidRPr="00695312">
        <w:rPr>
          <w:color w:val="000000"/>
          <w:sz w:val="20"/>
          <w:szCs w:val="20"/>
        </w:rPr>
        <w:t xml:space="preserve"> Washington ties 5 percent of appropriations to performance; Ohio and Tennessee allocate 100 percent through outcome-based formulas.</w:t>
      </w:r>
    </w:p>
    <w:p w14:paraId="284591EA" w14:textId="1FE4C514" w:rsidR="00E25CED" w:rsidRDefault="00E25CED">
      <w:pPr>
        <w:spacing w:line="240" w:lineRule="auto"/>
        <w:ind w:firstLine="0"/>
        <w:rPr>
          <w:color w:val="000000"/>
          <w:sz w:val="20"/>
          <w:szCs w:val="20"/>
        </w:rPr>
      </w:pPr>
    </w:p>
    <w:p w14:paraId="0FFB7981" w14:textId="2D3F454C" w:rsidR="00E25CED" w:rsidRDefault="00E25CED">
      <w:pPr>
        <w:spacing w:line="240" w:lineRule="auto"/>
        <w:ind w:firstLine="0"/>
        <w:rPr>
          <w:color w:val="000000"/>
          <w:sz w:val="20"/>
          <w:szCs w:val="20"/>
        </w:rPr>
      </w:pPr>
      <w:r>
        <w:rPr>
          <w:color w:val="000000"/>
          <w:sz w:val="20"/>
          <w:szCs w:val="20"/>
        </w:rPr>
        <w:t xml:space="preserve">State Higher Education Executive Officers Association. </w:t>
      </w:r>
      <w:r w:rsidR="00463E2E">
        <w:rPr>
          <w:color w:val="000000"/>
          <w:sz w:val="20"/>
          <w:szCs w:val="20"/>
        </w:rPr>
        <w:t>"</w:t>
      </w:r>
      <w:r>
        <w:rPr>
          <w:color w:val="000000"/>
          <w:sz w:val="20"/>
          <w:szCs w:val="20"/>
        </w:rPr>
        <w:t>Performance-Based Funding for Higher Education.</w:t>
      </w:r>
      <w:r w:rsidR="00463E2E">
        <w:rPr>
          <w:color w:val="000000"/>
          <w:sz w:val="20"/>
          <w:szCs w:val="20"/>
        </w:rPr>
        <w:t>"</w:t>
      </w:r>
      <w:r>
        <w:rPr>
          <w:color w:val="000000"/>
          <w:sz w:val="20"/>
          <w:szCs w:val="20"/>
        </w:rPr>
        <w:t xml:space="preserve"> SHEEO, updated June 2025. </w:t>
      </w:r>
      <w:hyperlink r:id="rId72">
        <w:r>
          <w:rPr>
            <w:rStyle w:val="Hyperlink"/>
            <w:color w:val="467886"/>
            <w:sz w:val="20"/>
            <w:szCs w:val="20"/>
          </w:rPr>
          <w:t>https://shef.sheeo.org/performance-based-funding-for-higher-education/</w:t>
        </w:r>
      </w:hyperlink>
      <w:r>
        <w:rPr>
          <w:color w:val="000000"/>
          <w:sz w:val="20"/>
          <w:szCs w:val="20"/>
        </w:rPr>
        <w:t>.</w:t>
      </w:r>
    </w:p>
    <w:p w14:paraId="3D7105E2" w14:textId="77777777" w:rsidR="00E25CED" w:rsidRDefault="00E25CED">
      <w:pPr>
        <w:spacing w:line="240" w:lineRule="auto"/>
        <w:ind w:firstLine="0"/>
        <w:rPr>
          <w:color w:val="000000"/>
          <w:sz w:val="20"/>
          <w:szCs w:val="20"/>
        </w:rPr>
      </w:pPr>
    </w:p>
    <w:p w14:paraId="33FB7589" w14:textId="411FFFE7" w:rsidR="00E25CED" w:rsidRDefault="00E25CED">
      <w:pPr>
        <w:spacing w:line="240" w:lineRule="auto"/>
        <w:ind w:firstLine="0"/>
        <w:rPr>
          <w:color w:val="000000"/>
          <w:sz w:val="20"/>
          <w:szCs w:val="20"/>
        </w:rPr>
      </w:pPr>
      <w:r>
        <w:rPr>
          <w:color w:val="000000"/>
          <w:sz w:val="20"/>
          <w:szCs w:val="20"/>
        </w:rPr>
        <w:t xml:space="preserve">Whinnery, Erin. </w:t>
      </w:r>
      <w:r w:rsidR="00463E2E">
        <w:rPr>
          <w:color w:val="000000"/>
          <w:sz w:val="20"/>
          <w:szCs w:val="20"/>
        </w:rPr>
        <w:t>"</w:t>
      </w:r>
      <w:r>
        <w:rPr>
          <w:color w:val="000000"/>
          <w:sz w:val="20"/>
          <w:szCs w:val="20"/>
        </w:rPr>
        <w:t>Paying for College: The Latest Trends in Performance-Based Funding.</w:t>
      </w:r>
      <w:r w:rsidR="00463E2E">
        <w:rPr>
          <w:color w:val="000000"/>
          <w:sz w:val="20"/>
          <w:szCs w:val="20"/>
        </w:rPr>
        <w:t>"</w:t>
      </w:r>
      <w:r>
        <w:rPr>
          <w:color w:val="000000"/>
          <w:sz w:val="20"/>
          <w:szCs w:val="20"/>
        </w:rPr>
        <w:t xml:space="preserve"> Education Commission of the States, February 2024. </w:t>
      </w:r>
      <w:hyperlink r:id="rId73">
        <w:r>
          <w:rPr>
            <w:rStyle w:val="Hyperlink"/>
            <w:color w:val="467886"/>
            <w:sz w:val="20"/>
            <w:szCs w:val="20"/>
          </w:rPr>
          <w:t>https://www.ecs.org/paying-for-college-the-latest-trends-in-performance-based-funding/</w:t>
        </w:r>
      </w:hyperlink>
      <w:r>
        <w:rPr>
          <w:color w:val="000000"/>
          <w:sz w:val="20"/>
          <w:szCs w:val="20"/>
        </w:rPr>
        <w:t>.</w:t>
      </w:r>
    </w:p>
    <w:p w14:paraId="3B23075A" w14:textId="77777777" w:rsidR="00E25CED" w:rsidRDefault="00E25CED">
      <w:pPr>
        <w:spacing w:line="240" w:lineRule="auto"/>
        <w:ind w:firstLine="0"/>
        <w:rPr>
          <w:color w:val="000000"/>
          <w:sz w:val="20"/>
          <w:szCs w:val="20"/>
        </w:rPr>
      </w:pPr>
    </w:p>
  </w:endnote>
  <w:endnote w:id="55">
    <w:p w14:paraId="49DDCFC7" w14:textId="7D4F8C15" w:rsidR="00E25CED" w:rsidRDefault="00E25CED">
      <w:pPr>
        <w:spacing w:line="240" w:lineRule="auto"/>
        <w:ind w:firstLine="0"/>
        <w:rPr>
          <w:color w:val="000000"/>
          <w:sz w:val="20"/>
          <w:szCs w:val="20"/>
        </w:rPr>
      </w:pPr>
      <w:r w:rsidRPr="00AB77FF">
        <w:rPr>
          <w:rStyle w:val="EndnotesChar"/>
        </w:rPr>
        <w:endnoteRef/>
      </w:r>
      <w:r w:rsidRPr="00AB77FF">
        <w:rPr>
          <w:rStyle w:val="EndnotesChar"/>
        </w:rPr>
        <w:t xml:space="preserve"> The pressure is structural: community college tuition revenue per student has declined 8.1 percent over the past</w:t>
      </w:r>
      <w:r>
        <w:rPr>
          <w:color w:val="000000"/>
          <w:sz w:val="20"/>
          <w:szCs w:val="20"/>
        </w:rPr>
        <w:t xml:space="preserve"> five years, and in forty states, public institutions collected less tuition revenue in 2024 than they did in 2019. With tuition effectively capped by political pressure and declining enrollment, state appropriations, increasingly distributed through performance formulas, become the dominant revenue lever administrators can influence. Research confirms that institutional behavior changes in response: a study of 222 administrators across nine community colleges and nine universities in states with performance-based funding found that institutions responded by adjusting student support systems, decreasing degree requirements, and, in the words of one Ohio faculty member, creating </w:t>
      </w:r>
      <w:r w:rsidR="00463E2E">
        <w:rPr>
          <w:color w:val="000000"/>
          <w:sz w:val="20"/>
          <w:szCs w:val="20"/>
        </w:rPr>
        <w:t>"</w:t>
      </w:r>
      <w:r>
        <w:rPr>
          <w:color w:val="000000"/>
          <w:sz w:val="20"/>
          <w:szCs w:val="20"/>
        </w:rPr>
        <w:t>substantial pressure to minimize the failure rates of the students.</w:t>
      </w:r>
      <w:r w:rsidR="00463E2E">
        <w:rPr>
          <w:color w:val="000000"/>
          <w:sz w:val="20"/>
          <w:szCs w:val="20"/>
        </w:rPr>
        <w:t>"</w:t>
      </w:r>
      <w:r>
        <w:rPr>
          <w:color w:val="000000"/>
          <w:sz w:val="20"/>
          <w:szCs w:val="20"/>
        </w:rPr>
        <w:t xml:space="preserve"> A Maryland legislative analysis was more direct, warning that performance-based funding has created </w:t>
      </w:r>
      <w:r w:rsidR="00463E2E">
        <w:rPr>
          <w:color w:val="000000"/>
          <w:sz w:val="20"/>
          <w:szCs w:val="20"/>
        </w:rPr>
        <w:t>"</w:t>
      </w:r>
      <w:r>
        <w:rPr>
          <w:color w:val="000000"/>
          <w:sz w:val="20"/>
          <w:szCs w:val="20"/>
        </w:rPr>
        <w:t>pressure to lower academic standards to ensure higher completion rates and secure more funding.</w:t>
      </w:r>
      <w:r w:rsidR="00463E2E">
        <w:rPr>
          <w:color w:val="000000"/>
          <w:sz w:val="20"/>
          <w:szCs w:val="20"/>
        </w:rPr>
        <w:t>"</w:t>
      </w:r>
    </w:p>
    <w:p w14:paraId="5D78D517" w14:textId="77777777" w:rsidR="00E25CED" w:rsidRDefault="00E25CED">
      <w:pPr>
        <w:spacing w:line="240" w:lineRule="auto"/>
        <w:ind w:firstLine="0"/>
        <w:rPr>
          <w:color w:val="000000"/>
          <w:sz w:val="20"/>
          <w:szCs w:val="20"/>
        </w:rPr>
      </w:pPr>
    </w:p>
    <w:p w14:paraId="7F93BE59" w14:textId="77777777" w:rsidR="00E25CED" w:rsidRDefault="00E25CED">
      <w:pPr>
        <w:spacing w:line="240" w:lineRule="auto"/>
        <w:ind w:firstLine="0"/>
        <w:rPr>
          <w:color w:val="000000"/>
          <w:sz w:val="20"/>
          <w:szCs w:val="20"/>
        </w:rPr>
      </w:pPr>
      <w:r>
        <w:rPr>
          <w:color w:val="000000"/>
          <w:sz w:val="20"/>
          <w:szCs w:val="20"/>
        </w:rPr>
        <w:t xml:space="preserve">State Higher Education Executive Officers Association. </w:t>
      </w:r>
      <w:r>
        <w:rPr>
          <w:i/>
          <w:iCs/>
          <w:color w:val="000000"/>
          <w:sz w:val="20"/>
          <w:szCs w:val="20"/>
        </w:rPr>
        <w:t>State Higher Education Finance: FY 2024</w:t>
      </w:r>
      <w:r>
        <w:rPr>
          <w:color w:val="000000"/>
          <w:sz w:val="20"/>
          <w:szCs w:val="20"/>
        </w:rPr>
        <w:t xml:space="preserve">. SHEEO, May 2025. </w:t>
      </w:r>
      <w:hyperlink r:id="rId74">
        <w:r>
          <w:rPr>
            <w:rStyle w:val="Hyperlink"/>
            <w:color w:val="467886"/>
            <w:sz w:val="20"/>
            <w:szCs w:val="20"/>
          </w:rPr>
          <w:t>https://shef.sheeo.org/report/</w:t>
        </w:r>
      </w:hyperlink>
      <w:r>
        <w:rPr>
          <w:color w:val="000000"/>
          <w:sz w:val="20"/>
          <w:szCs w:val="20"/>
        </w:rPr>
        <w:t>.</w:t>
      </w:r>
    </w:p>
    <w:p w14:paraId="61FA6B38" w14:textId="77777777" w:rsidR="00E25CED" w:rsidRDefault="00E25CED">
      <w:pPr>
        <w:spacing w:line="240" w:lineRule="auto"/>
        <w:ind w:firstLine="0"/>
        <w:rPr>
          <w:color w:val="000000"/>
          <w:sz w:val="20"/>
          <w:szCs w:val="20"/>
        </w:rPr>
      </w:pPr>
    </w:p>
    <w:p w14:paraId="5EF02C2B" w14:textId="64903A32" w:rsidR="00E25CED" w:rsidRDefault="00E25CED">
      <w:pPr>
        <w:spacing w:line="240" w:lineRule="auto"/>
        <w:ind w:firstLine="0"/>
        <w:rPr>
          <w:color w:val="000000"/>
          <w:sz w:val="20"/>
          <w:szCs w:val="20"/>
        </w:rPr>
      </w:pPr>
      <w:r>
        <w:rPr>
          <w:color w:val="000000"/>
          <w:sz w:val="20"/>
          <w:szCs w:val="20"/>
        </w:rPr>
        <w:t xml:space="preserve">Dougherty, Kevin J., et al. </w:t>
      </w:r>
      <w:r w:rsidR="00463E2E">
        <w:rPr>
          <w:color w:val="000000"/>
          <w:sz w:val="20"/>
          <w:szCs w:val="20"/>
        </w:rPr>
        <w:t>"</w:t>
      </w:r>
      <w:r>
        <w:rPr>
          <w:color w:val="000000"/>
          <w:sz w:val="20"/>
          <w:szCs w:val="20"/>
        </w:rPr>
        <w:t>Performance Funding for Higher Education: Forms, Origins, Impacts, and Futures.</w:t>
      </w:r>
      <w:r w:rsidR="00463E2E">
        <w:rPr>
          <w:color w:val="000000"/>
          <w:sz w:val="20"/>
          <w:szCs w:val="20"/>
        </w:rPr>
        <w:t>"</w:t>
      </w:r>
      <w:r>
        <w:rPr>
          <w:color w:val="000000"/>
          <w:sz w:val="20"/>
          <w:szCs w:val="20"/>
        </w:rPr>
        <w:t xml:space="preserve"> </w:t>
      </w:r>
      <w:r>
        <w:rPr>
          <w:i/>
          <w:iCs/>
          <w:color w:val="000000"/>
          <w:sz w:val="20"/>
          <w:szCs w:val="20"/>
        </w:rPr>
        <w:t>ANNALS of the American Academy of Political and Social Science</w:t>
      </w:r>
      <w:r>
        <w:rPr>
          <w:color w:val="000000"/>
          <w:sz w:val="20"/>
          <w:szCs w:val="20"/>
        </w:rPr>
        <w:t xml:space="preserve"> 655, no. 1 (2014): 163–184.</w:t>
      </w:r>
    </w:p>
    <w:p w14:paraId="3EDB4BE2" w14:textId="77777777" w:rsidR="00E25CED" w:rsidRDefault="00E25CED">
      <w:pPr>
        <w:spacing w:line="240" w:lineRule="auto"/>
        <w:ind w:firstLine="0"/>
        <w:rPr>
          <w:color w:val="000000"/>
          <w:sz w:val="20"/>
          <w:szCs w:val="20"/>
        </w:rPr>
      </w:pPr>
    </w:p>
    <w:p w14:paraId="7DFAE3E8" w14:textId="313C443D" w:rsidR="00E25CED" w:rsidRDefault="00E25CED">
      <w:pPr>
        <w:spacing w:line="240" w:lineRule="auto"/>
        <w:ind w:firstLine="0"/>
        <w:rPr>
          <w:color w:val="000000"/>
          <w:sz w:val="20"/>
          <w:szCs w:val="20"/>
        </w:rPr>
      </w:pPr>
      <w:r>
        <w:rPr>
          <w:color w:val="000000"/>
          <w:sz w:val="20"/>
          <w:szCs w:val="20"/>
        </w:rPr>
        <w:t xml:space="preserve">Jaschik, Scott. </w:t>
      </w:r>
      <w:r w:rsidR="00463E2E">
        <w:rPr>
          <w:color w:val="000000"/>
          <w:sz w:val="20"/>
          <w:szCs w:val="20"/>
        </w:rPr>
        <w:t>"</w:t>
      </w:r>
      <w:r>
        <w:rPr>
          <w:color w:val="000000"/>
          <w:sz w:val="20"/>
          <w:szCs w:val="20"/>
        </w:rPr>
        <w:t>Performance-Based Funding Provokes Concern Among College Administrators.</w:t>
      </w:r>
      <w:r w:rsidR="00463E2E">
        <w:rPr>
          <w:color w:val="000000"/>
          <w:sz w:val="20"/>
          <w:szCs w:val="20"/>
        </w:rPr>
        <w:t>"</w:t>
      </w:r>
      <w:r>
        <w:rPr>
          <w:color w:val="000000"/>
          <w:sz w:val="20"/>
          <w:szCs w:val="20"/>
        </w:rPr>
        <w:t xml:space="preserve"> </w:t>
      </w:r>
      <w:r>
        <w:rPr>
          <w:i/>
          <w:iCs/>
          <w:color w:val="000000"/>
          <w:sz w:val="20"/>
          <w:szCs w:val="20"/>
        </w:rPr>
        <w:t>Inside Higher Ed</w:t>
      </w:r>
      <w:r>
        <w:rPr>
          <w:color w:val="000000"/>
          <w:sz w:val="20"/>
          <w:szCs w:val="20"/>
        </w:rPr>
        <w:t xml:space="preserve">, November 19, 2014. </w:t>
      </w:r>
      <w:hyperlink r:id="rId75">
        <w:r>
          <w:rPr>
            <w:rStyle w:val="Hyperlink"/>
            <w:color w:val="467886"/>
            <w:sz w:val="20"/>
            <w:szCs w:val="20"/>
          </w:rPr>
          <w:t>https://www.insidehighered.com/news/2014/11/19/performance-based-funding-provokes-concern-among-college-administrators</w:t>
        </w:r>
      </w:hyperlink>
      <w:r>
        <w:rPr>
          <w:color w:val="000000"/>
          <w:sz w:val="20"/>
          <w:szCs w:val="20"/>
        </w:rPr>
        <w:t>.</w:t>
      </w:r>
    </w:p>
    <w:p w14:paraId="1D062E13" w14:textId="77777777" w:rsidR="00E25CED" w:rsidRDefault="00E25CED">
      <w:pPr>
        <w:spacing w:line="240" w:lineRule="auto"/>
        <w:ind w:firstLine="0"/>
        <w:rPr>
          <w:color w:val="000000"/>
          <w:sz w:val="20"/>
          <w:szCs w:val="20"/>
        </w:rPr>
      </w:pPr>
    </w:p>
    <w:p w14:paraId="11224CDF" w14:textId="143E69F9" w:rsidR="00E25CED" w:rsidRDefault="00463E2E">
      <w:pPr>
        <w:spacing w:line="240" w:lineRule="auto"/>
        <w:ind w:firstLine="0"/>
        <w:rPr>
          <w:color w:val="000000"/>
          <w:sz w:val="20"/>
          <w:szCs w:val="20"/>
        </w:rPr>
      </w:pPr>
      <w:r>
        <w:rPr>
          <w:color w:val="000000"/>
          <w:sz w:val="20"/>
          <w:szCs w:val="20"/>
        </w:rPr>
        <w:t>"</w:t>
      </w:r>
      <w:r w:rsidR="00E25CED">
        <w:rPr>
          <w:color w:val="000000"/>
          <w:sz w:val="20"/>
          <w:szCs w:val="20"/>
        </w:rPr>
        <w:t>Community Colleges Partially Avoided Deep Cuts in '24... What's Next?</w:t>
      </w:r>
      <w:r>
        <w:rPr>
          <w:color w:val="000000"/>
          <w:sz w:val="20"/>
          <w:szCs w:val="20"/>
        </w:rPr>
        <w:t>"</w:t>
      </w:r>
      <w:r w:rsidR="00E25CED">
        <w:rPr>
          <w:color w:val="000000"/>
          <w:sz w:val="20"/>
          <w:szCs w:val="20"/>
        </w:rPr>
        <w:t xml:space="preserve"> </w:t>
      </w:r>
      <w:r w:rsidR="00E25CED">
        <w:rPr>
          <w:i/>
          <w:iCs/>
          <w:color w:val="000000"/>
          <w:sz w:val="20"/>
          <w:szCs w:val="20"/>
        </w:rPr>
        <w:t>Conduit Street</w:t>
      </w:r>
      <w:r w:rsidR="00E25CED">
        <w:rPr>
          <w:color w:val="000000"/>
          <w:sz w:val="20"/>
          <w:szCs w:val="20"/>
        </w:rPr>
        <w:t xml:space="preserve"> (Maryland Association of Counties), November 6, 2024. </w:t>
      </w:r>
      <w:hyperlink r:id="rId76">
        <w:r w:rsidR="00E25CED">
          <w:rPr>
            <w:rStyle w:val="Hyperlink"/>
            <w:color w:val="467886"/>
            <w:sz w:val="20"/>
            <w:szCs w:val="20"/>
          </w:rPr>
          <w:t>https://conduitstreet.mdcounties.org/2024/11/06/community-colleges-partially-avoided-deep-cuts-in-24-whats-next/</w:t>
        </w:r>
      </w:hyperlink>
      <w:r w:rsidR="00E25CED">
        <w:rPr>
          <w:color w:val="000000"/>
          <w:sz w:val="20"/>
          <w:szCs w:val="20"/>
        </w:rPr>
        <w:t>.</w:t>
      </w:r>
    </w:p>
    <w:p w14:paraId="6BEBC2CD" w14:textId="77777777" w:rsidR="00E25CED" w:rsidRDefault="00E25CED" w:rsidP="0090650B">
      <w:pPr>
        <w:pStyle w:val="Endnotes"/>
      </w:pPr>
    </w:p>
  </w:endnote>
  <w:endnote w:id="56">
    <w:p w14:paraId="4502093E" w14:textId="77777777" w:rsidR="0090650B" w:rsidRPr="0090650B" w:rsidRDefault="00855B6E" w:rsidP="0090650B">
      <w:pPr>
        <w:pStyle w:val="Endnotes"/>
      </w:pPr>
      <w:r w:rsidRPr="0090650B">
        <w:endnoteRef/>
      </w:r>
      <w:r w:rsidRPr="0090650B">
        <w:t xml:space="preserve"> </w:t>
      </w:r>
      <w:r w:rsidR="0090650B" w:rsidRPr="0090650B">
        <w:t>Goodhart first stated the principle in a paper prepared for a 1975 Reserve Bank of Australia conference. A parallel version, developed independently by the American social psychologist Donald T. Campbell and known as Campbell's Law, was built around educational testing and social program evaluation and maps directly onto the community college cascade described above: "The more any quantitative social indicator is used for social decision-making, the more subject it will be to corruption pressures and the more apt it will be to distort and corrupt the social processes it is intended to monitor."</w:t>
      </w:r>
    </w:p>
    <w:p w14:paraId="7C9736EC" w14:textId="77777777" w:rsidR="0090650B" w:rsidRDefault="0090650B" w:rsidP="0090650B">
      <w:pPr>
        <w:pStyle w:val="Endnotes"/>
      </w:pPr>
    </w:p>
    <w:p w14:paraId="7A2965C3" w14:textId="1C90DDBC" w:rsidR="0090650B" w:rsidRPr="0090650B" w:rsidRDefault="0090650B" w:rsidP="0090650B">
      <w:pPr>
        <w:pStyle w:val="Endnotes"/>
      </w:pPr>
      <w:r w:rsidRPr="0090650B">
        <w:t xml:space="preserve">Goodhart, Charles A. E. "Problems of Monetary Management: The U.K. Experience." In </w:t>
      </w:r>
      <w:r w:rsidRPr="0090650B">
        <w:rPr>
          <w:i/>
          <w:iCs/>
        </w:rPr>
        <w:t>Papers in Monetary Economics</w:t>
      </w:r>
      <w:r w:rsidRPr="0090650B">
        <w:t>, vol. 1. Sydney: Reserve Bank of Australia, 1975.</w:t>
      </w:r>
    </w:p>
    <w:p w14:paraId="059E14CE" w14:textId="77777777" w:rsidR="0090650B" w:rsidRDefault="0090650B" w:rsidP="0090650B">
      <w:pPr>
        <w:pStyle w:val="Endnotes"/>
      </w:pPr>
    </w:p>
    <w:p w14:paraId="2131ECAB" w14:textId="032D8D9B" w:rsidR="0090650B" w:rsidRPr="0090650B" w:rsidRDefault="0090650B" w:rsidP="0090650B">
      <w:pPr>
        <w:pStyle w:val="Endnotes"/>
      </w:pPr>
      <w:r w:rsidRPr="0090650B">
        <w:t xml:space="preserve">Campbell, Donald T. "Assessing the Impact of Planned Social Change." </w:t>
      </w:r>
      <w:r w:rsidRPr="0090650B">
        <w:rPr>
          <w:i/>
          <w:iCs/>
        </w:rPr>
        <w:t>Evaluation and Program Planning</w:t>
      </w:r>
      <w:r w:rsidRPr="0090650B">
        <w:t xml:space="preserve"> 2, no. 1 (1979): 67–90.</w:t>
      </w:r>
    </w:p>
    <w:p w14:paraId="783E2565" w14:textId="77777777" w:rsidR="0090650B" w:rsidRDefault="0090650B" w:rsidP="0090650B">
      <w:pPr>
        <w:pStyle w:val="Endnotes"/>
      </w:pPr>
    </w:p>
    <w:p w14:paraId="1351154B" w14:textId="732F4A31" w:rsidR="0090650B" w:rsidRPr="0090650B" w:rsidRDefault="0090650B" w:rsidP="0090650B">
      <w:pPr>
        <w:pStyle w:val="Endnotes"/>
      </w:pPr>
      <w:r w:rsidRPr="0090650B">
        <w:t xml:space="preserve">Strathern, Marilyn. "'Improving Ratings': Audit in the British University System." </w:t>
      </w:r>
      <w:r w:rsidRPr="0090650B">
        <w:rPr>
          <w:i/>
          <w:iCs/>
        </w:rPr>
        <w:t>European Review</w:t>
      </w:r>
      <w:r w:rsidRPr="0090650B">
        <w:t xml:space="preserve"> 5, no. 3 (1997): 305–21.</w:t>
      </w:r>
    </w:p>
    <w:p w14:paraId="07BCDB22" w14:textId="77777777" w:rsidR="0090650B" w:rsidRDefault="0090650B" w:rsidP="0090650B">
      <w:pPr>
        <w:pStyle w:val="Endnotes"/>
      </w:pPr>
    </w:p>
    <w:p w14:paraId="28AAA86D" w14:textId="1014C456" w:rsidR="0090650B" w:rsidRPr="0090650B" w:rsidRDefault="0090650B" w:rsidP="0090650B">
      <w:pPr>
        <w:pStyle w:val="Endnotes"/>
      </w:pPr>
      <w:r w:rsidRPr="0090650B">
        <w:t xml:space="preserve">Muller, Jerry Z. </w:t>
      </w:r>
      <w:r w:rsidRPr="0090650B">
        <w:rPr>
          <w:i/>
          <w:iCs/>
        </w:rPr>
        <w:t>The Tyranny of Metrics</w:t>
      </w:r>
      <w:r w:rsidRPr="0090650B">
        <w:t>. Princeton, NJ: Princeton University Press, 2018.</w:t>
      </w:r>
    </w:p>
    <w:p w14:paraId="622C4F12" w14:textId="360C30B2" w:rsidR="00855B6E" w:rsidRDefault="00855B6E" w:rsidP="0090650B">
      <w:pPr>
        <w:pStyle w:val="Endnotes"/>
      </w:pPr>
    </w:p>
  </w:endnote>
  <w:endnote w:id="57">
    <w:p w14:paraId="7F632BF4" w14:textId="7AC2219E" w:rsidR="00E25CED" w:rsidRDefault="00E25CED">
      <w:pPr>
        <w:spacing w:line="240" w:lineRule="auto"/>
        <w:ind w:firstLine="0"/>
        <w:rPr>
          <w:color w:val="000000"/>
          <w:sz w:val="20"/>
          <w:szCs w:val="20"/>
        </w:rPr>
      </w:pPr>
      <w:r w:rsidRPr="00F64B73">
        <w:rPr>
          <w:rStyle w:val="EndnotesChar"/>
        </w:rPr>
        <w:endnoteRef/>
      </w:r>
      <w:r w:rsidRPr="00F64B73">
        <w:rPr>
          <w:rStyle w:val="EndnotesChar"/>
        </w:rPr>
        <w:t xml:space="preserve"> </w:t>
      </w:r>
      <w:r w:rsidR="00695312" w:rsidRPr="00F64B73">
        <w:rPr>
          <w:rStyle w:val="EndnotesChar"/>
        </w:rPr>
        <w:t>A 2024 Pew survey found that 53 percent of Americans said government should do more to solve problems, 65</w:t>
      </w:r>
      <w:r w:rsidR="00695312" w:rsidRPr="00695312">
        <w:rPr>
          <w:color w:val="000000"/>
          <w:sz w:val="20"/>
          <w:szCs w:val="20"/>
        </w:rPr>
        <w:t xml:space="preserve"> percent said it has a responsibility to ensure health care coverage, and 79 percent said Social Security benefits should not be reduced. A Bipartisan Policy Center poll found majorities saying the government spends too little on veterans' benefits, Social Security, health care, and education.</w:t>
      </w:r>
    </w:p>
    <w:p w14:paraId="5CDF838C" w14:textId="77777777" w:rsidR="00695312" w:rsidRDefault="00695312">
      <w:pPr>
        <w:spacing w:line="240" w:lineRule="auto"/>
        <w:ind w:firstLine="0"/>
        <w:rPr>
          <w:color w:val="000000"/>
          <w:sz w:val="20"/>
          <w:szCs w:val="20"/>
        </w:rPr>
      </w:pPr>
    </w:p>
    <w:p w14:paraId="1A9A2E6C" w14:textId="3AE28D03" w:rsidR="00E25CED" w:rsidRDefault="00E25CED">
      <w:pPr>
        <w:spacing w:line="240" w:lineRule="auto"/>
        <w:ind w:firstLine="0"/>
        <w:rPr>
          <w:color w:val="000000"/>
          <w:sz w:val="20"/>
          <w:szCs w:val="20"/>
        </w:rPr>
      </w:pPr>
      <w:r>
        <w:rPr>
          <w:color w:val="000000"/>
          <w:sz w:val="20"/>
          <w:szCs w:val="20"/>
        </w:rPr>
        <w:t xml:space="preserve">Pew Research Center. </w:t>
      </w:r>
      <w:r w:rsidR="00463E2E">
        <w:rPr>
          <w:color w:val="000000"/>
          <w:sz w:val="20"/>
          <w:szCs w:val="20"/>
        </w:rPr>
        <w:t>"</w:t>
      </w:r>
      <w:r>
        <w:rPr>
          <w:color w:val="000000"/>
          <w:sz w:val="20"/>
          <w:szCs w:val="20"/>
        </w:rPr>
        <w:t>Americans' Views of Government's Role: Persistent Divisions and Areas of Agreement.</w:t>
      </w:r>
      <w:r w:rsidR="00463E2E">
        <w:rPr>
          <w:color w:val="000000"/>
          <w:sz w:val="20"/>
          <w:szCs w:val="20"/>
        </w:rPr>
        <w:t>"</w:t>
      </w:r>
      <w:r>
        <w:rPr>
          <w:color w:val="000000"/>
          <w:sz w:val="20"/>
          <w:szCs w:val="20"/>
        </w:rPr>
        <w:t xml:space="preserve"> June 24, 2024. </w:t>
      </w:r>
      <w:hyperlink r:id="rId77">
        <w:r>
          <w:rPr>
            <w:rStyle w:val="Hyperlink"/>
            <w:color w:val="467886"/>
            <w:sz w:val="20"/>
            <w:szCs w:val="20"/>
          </w:rPr>
          <w:t>https://www.pewresearch.org/politics/2024/06/24/americans-views-of-governments-role-persistent-divisions-and-areas-of-agreement/</w:t>
        </w:r>
      </w:hyperlink>
      <w:r>
        <w:rPr>
          <w:color w:val="000000"/>
          <w:sz w:val="20"/>
          <w:szCs w:val="20"/>
        </w:rPr>
        <w:t>.</w:t>
      </w:r>
    </w:p>
    <w:p w14:paraId="27F3A599" w14:textId="77777777" w:rsidR="00E25CED" w:rsidRDefault="00E25CED">
      <w:pPr>
        <w:spacing w:line="240" w:lineRule="auto"/>
        <w:ind w:firstLine="0"/>
        <w:rPr>
          <w:color w:val="000000"/>
          <w:sz w:val="20"/>
          <w:szCs w:val="20"/>
        </w:rPr>
      </w:pPr>
    </w:p>
    <w:p w14:paraId="0A854A09" w14:textId="587AF4EF" w:rsidR="00E25CED" w:rsidRDefault="00E25CED">
      <w:pPr>
        <w:spacing w:line="240" w:lineRule="auto"/>
        <w:ind w:firstLine="0"/>
        <w:rPr>
          <w:color w:val="000000"/>
          <w:sz w:val="20"/>
          <w:szCs w:val="20"/>
        </w:rPr>
      </w:pPr>
      <w:r>
        <w:rPr>
          <w:color w:val="000000"/>
          <w:sz w:val="20"/>
          <w:szCs w:val="20"/>
        </w:rPr>
        <w:t xml:space="preserve">Bipartisan Policy Center. </w:t>
      </w:r>
      <w:r w:rsidR="00463E2E">
        <w:rPr>
          <w:color w:val="000000"/>
          <w:sz w:val="20"/>
          <w:szCs w:val="20"/>
        </w:rPr>
        <w:t>"</w:t>
      </w:r>
      <w:r>
        <w:rPr>
          <w:color w:val="000000"/>
          <w:sz w:val="20"/>
          <w:szCs w:val="20"/>
        </w:rPr>
        <w:t>This Tax Day, BPC's New Poll Breaks Down Americans' Perceptions on Taxes.</w:t>
      </w:r>
      <w:r w:rsidR="00463E2E">
        <w:rPr>
          <w:color w:val="000000"/>
          <w:sz w:val="20"/>
          <w:szCs w:val="20"/>
        </w:rPr>
        <w:t>"</w:t>
      </w:r>
      <w:r>
        <w:rPr>
          <w:color w:val="000000"/>
          <w:sz w:val="20"/>
          <w:szCs w:val="20"/>
        </w:rPr>
        <w:t xml:space="preserve"> April 15, 2024. </w:t>
      </w:r>
      <w:hyperlink r:id="rId78">
        <w:r>
          <w:rPr>
            <w:rStyle w:val="Hyperlink"/>
            <w:color w:val="467886"/>
            <w:sz w:val="20"/>
            <w:szCs w:val="20"/>
          </w:rPr>
          <w:t>https://bipartisanpolicy.org/article/poll-use-of-federal-taxpayer-dollars/</w:t>
        </w:r>
      </w:hyperlink>
      <w:r>
        <w:rPr>
          <w:color w:val="000000"/>
          <w:sz w:val="20"/>
          <w:szCs w:val="20"/>
        </w:rPr>
        <w:t>.</w:t>
      </w:r>
    </w:p>
    <w:p w14:paraId="3675E8C0" w14:textId="77777777" w:rsidR="00E25CED" w:rsidRDefault="00E25CED">
      <w:pPr>
        <w:spacing w:line="240" w:lineRule="auto"/>
        <w:ind w:firstLine="0"/>
        <w:rPr>
          <w:color w:val="000000"/>
          <w:sz w:val="20"/>
          <w:szCs w:val="20"/>
        </w:rPr>
      </w:pPr>
    </w:p>
    <w:p w14:paraId="646EF167" w14:textId="018F4C7C" w:rsidR="00E25CED" w:rsidRDefault="00E25CED">
      <w:pPr>
        <w:spacing w:line="240" w:lineRule="auto"/>
        <w:ind w:firstLine="0"/>
        <w:rPr>
          <w:color w:val="000000"/>
          <w:sz w:val="20"/>
          <w:szCs w:val="20"/>
        </w:rPr>
      </w:pPr>
      <w:r>
        <w:rPr>
          <w:color w:val="000000"/>
          <w:sz w:val="20"/>
          <w:szCs w:val="20"/>
        </w:rPr>
        <w:t xml:space="preserve">Newport, Frank. </w:t>
      </w:r>
      <w:r w:rsidR="00463E2E">
        <w:rPr>
          <w:color w:val="000000"/>
          <w:sz w:val="20"/>
          <w:szCs w:val="20"/>
        </w:rPr>
        <w:t>"</w:t>
      </w:r>
      <w:r>
        <w:rPr>
          <w:color w:val="000000"/>
          <w:sz w:val="20"/>
          <w:szCs w:val="20"/>
        </w:rPr>
        <w:t>Where Americans Stand on Taxes.</w:t>
      </w:r>
      <w:r w:rsidR="00463E2E">
        <w:rPr>
          <w:color w:val="000000"/>
          <w:sz w:val="20"/>
          <w:szCs w:val="20"/>
        </w:rPr>
        <w:t>"</w:t>
      </w:r>
      <w:r>
        <w:rPr>
          <w:color w:val="000000"/>
          <w:sz w:val="20"/>
          <w:szCs w:val="20"/>
        </w:rPr>
        <w:t xml:space="preserve"> Gallup, October 16, 2024. </w:t>
      </w:r>
      <w:hyperlink r:id="rId79">
        <w:r>
          <w:rPr>
            <w:rStyle w:val="Hyperlink"/>
            <w:color w:val="467886"/>
            <w:sz w:val="20"/>
            <w:szCs w:val="20"/>
          </w:rPr>
          <w:t>https://news.gallup.com/opinion/polling-matters/652151/americans-stand-taxes.aspx</w:t>
        </w:r>
      </w:hyperlink>
      <w:r>
        <w:rPr>
          <w:color w:val="000000"/>
          <w:sz w:val="20"/>
          <w:szCs w:val="20"/>
        </w:rPr>
        <w:t>.</w:t>
      </w:r>
    </w:p>
    <w:p w14:paraId="0F2FEC97" w14:textId="77777777" w:rsidR="00E25CED" w:rsidRDefault="00E25CED">
      <w:pPr>
        <w:spacing w:line="240" w:lineRule="auto"/>
        <w:ind w:firstLine="0"/>
        <w:rPr>
          <w:color w:val="000000"/>
          <w:sz w:val="20"/>
          <w:szCs w:val="20"/>
        </w:rPr>
      </w:pPr>
    </w:p>
  </w:endnote>
  <w:endnote w:id="58">
    <w:p w14:paraId="0693E5C3" w14:textId="77777777" w:rsidR="00F64B73" w:rsidRDefault="00F64B73" w:rsidP="00F64B73">
      <w:pPr>
        <w:spacing w:line="240" w:lineRule="auto"/>
        <w:ind w:firstLine="0"/>
        <w:rPr>
          <w:color w:val="000000"/>
          <w:sz w:val="20"/>
          <w:szCs w:val="20"/>
        </w:rPr>
      </w:pPr>
      <w:r w:rsidRPr="00F64B73">
        <w:rPr>
          <w:rStyle w:val="EndnotesChar"/>
        </w:rPr>
        <w:endnoteRef/>
      </w:r>
      <w:r w:rsidRPr="00F64B73">
        <w:rPr>
          <w:rStyle w:val="EndnotesChar"/>
        </w:rPr>
        <w:t xml:space="preserve"> The gap between what voters want government to provide and what they are willing to pay for is itself a</w:t>
      </w:r>
      <w:r>
        <w:rPr>
          <w:color w:val="000000"/>
          <w:sz w:val="20"/>
          <w:szCs w:val="20"/>
        </w:rPr>
        <w:t xml:space="preserve"> documented finding. A Pew Research Center survey found that 52 percent of Americans, including 54 percent of Republicans and 52 percent of Democrats, agreed that most Americans demand more from the government than they are willing to pay taxes for. A 2024 poll conducted by the University of Chicago Harris School of Public Policy and the AP-NORC Center for Public Affairs Research found that two-thirds of taxpayers consider their federal income taxes too high, roughly seven in 10 say the same about property taxes, and few adults say they want higher taxes in exchange for more services. Gallup has tracked a taxes-versus-services tradeoff question since 1993 and the preference for lower taxes and fewer services has prevailed in every administration, with as few as 19 percent of Americans willing to accept higher taxes for more services. The pattern is bipartisan in its contradiction: majorities across the political spectrum simultaneously say government should do more and say they are already paying too much.</w:t>
      </w:r>
    </w:p>
    <w:p w14:paraId="72E2167F" w14:textId="77777777" w:rsidR="00F64B73" w:rsidRDefault="00F64B73" w:rsidP="00F64B73">
      <w:pPr>
        <w:spacing w:line="240" w:lineRule="auto"/>
        <w:ind w:firstLine="0"/>
        <w:rPr>
          <w:color w:val="000000"/>
          <w:sz w:val="20"/>
          <w:szCs w:val="20"/>
        </w:rPr>
      </w:pPr>
    </w:p>
    <w:p w14:paraId="6685E9DD" w14:textId="77777777" w:rsidR="00F64B73" w:rsidRDefault="00F64B73" w:rsidP="00F64B73">
      <w:pPr>
        <w:spacing w:line="240" w:lineRule="auto"/>
        <w:ind w:firstLine="0"/>
        <w:rPr>
          <w:color w:val="000000"/>
          <w:sz w:val="20"/>
          <w:szCs w:val="20"/>
        </w:rPr>
      </w:pPr>
      <w:r>
        <w:rPr>
          <w:color w:val="000000"/>
          <w:sz w:val="20"/>
          <w:szCs w:val="20"/>
        </w:rPr>
        <w:t xml:space="preserve">Pew Research Center. "Government and Taxes." November 23, 2015. </w:t>
      </w:r>
      <w:hyperlink r:id="rId80">
        <w:r>
          <w:rPr>
            <w:rStyle w:val="Hyperlink"/>
            <w:color w:val="467886"/>
            <w:sz w:val="20"/>
            <w:szCs w:val="20"/>
          </w:rPr>
          <w:t>https://www.pewresearch.org/politics/2015/11/23/10-government-and-taxes/</w:t>
        </w:r>
      </w:hyperlink>
      <w:r>
        <w:rPr>
          <w:color w:val="000000"/>
          <w:sz w:val="20"/>
          <w:szCs w:val="20"/>
        </w:rPr>
        <w:t>.</w:t>
      </w:r>
    </w:p>
    <w:p w14:paraId="3A69BA7F" w14:textId="77777777" w:rsidR="00F64B73" w:rsidRDefault="00F64B73" w:rsidP="00F64B73">
      <w:pPr>
        <w:spacing w:line="240" w:lineRule="auto"/>
        <w:ind w:firstLine="0"/>
        <w:rPr>
          <w:color w:val="000000"/>
          <w:sz w:val="20"/>
          <w:szCs w:val="20"/>
        </w:rPr>
      </w:pPr>
    </w:p>
    <w:p w14:paraId="0524739B" w14:textId="77777777" w:rsidR="00F64B73" w:rsidRDefault="00F64B73" w:rsidP="00F64B73">
      <w:pPr>
        <w:spacing w:line="240" w:lineRule="auto"/>
        <w:ind w:firstLine="0"/>
        <w:rPr>
          <w:color w:val="000000"/>
          <w:sz w:val="20"/>
          <w:szCs w:val="20"/>
        </w:rPr>
      </w:pPr>
      <w:r>
        <w:rPr>
          <w:color w:val="000000"/>
          <w:sz w:val="20"/>
          <w:szCs w:val="20"/>
        </w:rPr>
        <w:t xml:space="preserve">AP-NORC Center for Public Affairs Research. "Majorities View Local, State, and Federal Taxes as Too High and Delivering Too Little Value for People Like Them." January 2024. </w:t>
      </w:r>
      <w:hyperlink r:id="rId81">
        <w:r>
          <w:rPr>
            <w:rStyle w:val="Hyperlink"/>
            <w:color w:val="467886"/>
            <w:sz w:val="20"/>
            <w:szCs w:val="20"/>
          </w:rPr>
          <w:t>https://apnorc.org/projects/majorities-view-local-state-and-federal-taxes-as-too-high-and-delivering-too-little-value-for-people-like-them/</w:t>
        </w:r>
      </w:hyperlink>
      <w:r>
        <w:rPr>
          <w:color w:val="000000"/>
          <w:sz w:val="20"/>
          <w:szCs w:val="20"/>
        </w:rPr>
        <w:t>.</w:t>
      </w:r>
    </w:p>
    <w:p w14:paraId="6273B023" w14:textId="77777777" w:rsidR="00F64B73" w:rsidRDefault="00F64B73" w:rsidP="00F64B73">
      <w:pPr>
        <w:spacing w:line="240" w:lineRule="auto"/>
        <w:ind w:firstLine="0"/>
        <w:rPr>
          <w:color w:val="000000"/>
          <w:sz w:val="20"/>
          <w:szCs w:val="20"/>
        </w:rPr>
      </w:pPr>
    </w:p>
    <w:p w14:paraId="0B391CB7" w14:textId="77777777" w:rsidR="00F64B73" w:rsidRDefault="00F64B73" w:rsidP="00F64B73">
      <w:pPr>
        <w:spacing w:line="240" w:lineRule="auto"/>
        <w:ind w:firstLine="0"/>
        <w:rPr>
          <w:color w:val="000000"/>
          <w:sz w:val="20"/>
          <w:szCs w:val="20"/>
        </w:rPr>
      </w:pPr>
      <w:r>
        <w:rPr>
          <w:color w:val="000000"/>
          <w:sz w:val="20"/>
          <w:szCs w:val="20"/>
        </w:rPr>
        <w:t xml:space="preserve">Gallup. "Americans Revert to Favoring Reduced Government Role." October 14, 2021. </w:t>
      </w:r>
      <w:hyperlink r:id="rId82">
        <w:r>
          <w:rPr>
            <w:rStyle w:val="Hyperlink"/>
            <w:color w:val="467886"/>
            <w:sz w:val="20"/>
            <w:szCs w:val="20"/>
          </w:rPr>
          <w:t>https://news.gallup.com/poll/355838/americans-revert-favoring-reduced-government-role.aspx</w:t>
        </w:r>
      </w:hyperlink>
      <w:r>
        <w:rPr>
          <w:color w:val="000000"/>
          <w:sz w:val="20"/>
          <w:szCs w:val="20"/>
        </w:rPr>
        <w:t>.</w:t>
      </w:r>
    </w:p>
    <w:p w14:paraId="290F3E79" w14:textId="77777777" w:rsidR="00F64B73" w:rsidRDefault="00F64B73" w:rsidP="00F64B73">
      <w:pPr>
        <w:spacing w:line="240" w:lineRule="auto"/>
        <w:ind w:firstLine="0"/>
        <w:rPr>
          <w:color w:val="000000"/>
          <w:sz w:val="20"/>
          <w:szCs w:val="20"/>
        </w:rPr>
      </w:pPr>
    </w:p>
  </w:endnote>
  <w:endnote w:id="59">
    <w:p w14:paraId="755C157B" w14:textId="77777777" w:rsidR="00F64B73" w:rsidRDefault="00F64B73" w:rsidP="00F64B73">
      <w:pPr>
        <w:spacing w:line="240" w:lineRule="auto"/>
        <w:ind w:firstLine="0"/>
        <w:rPr>
          <w:color w:val="000000"/>
          <w:sz w:val="20"/>
          <w:szCs w:val="20"/>
        </w:rPr>
      </w:pPr>
      <w:r w:rsidRPr="00F64B73">
        <w:rPr>
          <w:rStyle w:val="EndnotesChar"/>
        </w:rPr>
        <w:endnoteRef/>
      </w:r>
      <w:r w:rsidRPr="00F64B73">
        <w:rPr>
          <w:rStyle w:val="EndnotesChar"/>
        </w:rPr>
        <w:t xml:space="preserve"> Congressional Budget Office. The Budget and Economic Outlook: 2025 to 2035. January 2025.</w:t>
      </w:r>
      <w:r>
        <w:rPr>
          <w:color w:val="000000"/>
          <w:sz w:val="20"/>
          <w:szCs w:val="20"/>
        </w:rPr>
        <w:t xml:space="preserve"> </w:t>
      </w:r>
      <w:hyperlink r:id="rId83">
        <w:r>
          <w:rPr>
            <w:rStyle w:val="Hyperlink"/>
            <w:color w:val="467886"/>
            <w:sz w:val="20"/>
            <w:szCs w:val="20"/>
          </w:rPr>
          <w:t>https://www.cbo.gov/publication/61172</w:t>
        </w:r>
      </w:hyperlink>
      <w:r>
        <w:rPr>
          <w:color w:val="000000"/>
          <w:sz w:val="20"/>
          <w:szCs w:val="20"/>
        </w:rPr>
        <w:t>.</w:t>
      </w:r>
    </w:p>
    <w:p w14:paraId="68B0FBE1" w14:textId="77777777" w:rsidR="00F64B73" w:rsidRDefault="00F64B73" w:rsidP="00396D1E">
      <w:pPr>
        <w:pStyle w:val="Endnotes"/>
      </w:pPr>
    </w:p>
  </w:endnote>
  <w:endnote w:id="60">
    <w:p w14:paraId="5F1A5280" w14:textId="77777777" w:rsidR="00396D1E" w:rsidRDefault="00396D1E" w:rsidP="00396D1E">
      <w:pPr>
        <w:pStyle w:val="Endnotes"/>
      </w:pPr>
      <w:r w:rsidRPr="00396D1E">
        <w:endnoteRef/>
      </w:r>
      <w:r w:rsidRPr="00396D1E">
        <w:t xml:space="preserve"> The literature on AFDC's behavioral effects accumulated steadily through the 1980s. Robert Moffitt's 1992 review for the </w:t>
      </w:r>
      <w:r w:rsidRPr="00396D1E">
        <w:rPr>
          <w:i/>
          <w:iCs/>
        </w:rPr>
        <w:t>Journal of Economic Literature</w:t>
      </w:r>
      <w:r w:rsidRPr="00396D1E">
        <w:t xml:space="preserve"> surveyed the empirical work and found that the program's structure produced substantial work disincentives and statistically detectable but modest effects on family-formation decisions, magnitudes that subsequent research generally confirmed.</w:t>
      </w:r>
    </w:p>
    <w:p w14:paraId="3FB47477" w14:textId="77777777" w:rsidR="00396D1E" w:rsidRPr="00396D1E" w:rsidRDefault="00396D1E" w:rsidP="00396D1E">
      <w:pPr>
        <w:pStyle w:val="Endnotes"/>
      </w:pPr>
    </w:p>
    <w:p w14:paraId="0FDBE8AC" w14:textId="77777777" w:rsidR="00396D1E" w:rsidRPr="00396D1E" w:rsidRDefault="00396D1E" w:rsidP="00396D1E">
      <w:pPr>
        <w:pStyle w:val="Endnotes"/>
      </w:pPr>
      <w:r w:rsidRPr="00396D1E">
        <w:t xml:space="preserve">Moffitt, Robert A. "Incentive Effects of the U.S. Welfare System: A Review." </w:t>
      </w:r>
      <w:r w:rsidRPr="00396D1E">
        <w:rPr>
          <w:i/>
          <w:iCs/>
        </w:rPr>
        <w:t>Journal of Economic Literature</w:t>
      </w:r>
      <w:r w:rsidRPr="00396D1E">
        <w:t xml:space="preserve"> 30, no. 1 (March 1992): 1–61.</w:t>
      </w:r>
    </w:p>
    <w:p w14:paraId="4D798B99" w14:textId="77777777" w:rsidR="00396D1E" w:rsidRDefault="00396D1E" w:rsidP="00396D1E">
      <w:pPr>
        <w:pStyle w:val="Endnotes"/>
      </w:pPr>
    </w:p>
    <w:p w14:paraId="0279CA35" w14:textId="08E4D2D9" w:rsidR="00396D1E" w:rsidRPr="00396D1E" w:rsidRDefault="00396D1E" w:rsidP="00396D1E">
      <w:pPr>
        <w:pStyle w:val="Endnotes"/>
      </w:pPr>
      <w:r w:rsidRPr="00396D1E">
        <w:t xml:space="preserve">Bane, Mary Jo, and David T. Ellwood. </w:t>
      </w:r>
      <w:r w:rsidRPr="00396D1E">
        <w:rPr>
          <w:i/>
          <w:iCs/>
        </w:rPr>
        <w:t>Welfare Realities: From Rhetoric to Reform</w:t>
      </w:r>
      <w:r w:rsidRPr="00396D1E">
        <w:t>. Cambridge, MA: Harvard University Press, 1994.</w:t>
      </w:r>
    </w:p>
    <w:p w14:paraId="0D7C7A59" w14:textId="77777777" w:rsidR="00396D1E" w:rsidRDefault="00396D1E" w:rsidP="00396D1E">
      <w:pPr>
        <w:pStyle w:val="Endnotes"/>
      </w:pPr>
    </w:p>
    <w:p w14:paraId="154EFDD1" w14:textId="4AED5256" w:rsidR="00396D1E" w:rsidRPr="00396D1E" w:rsidRDefault="00396D1E" w:rsidP="00396D1E">
      <w:pPr>
        <w:pStyle w:val="Endnotes"/>
      </w:pPr>
      <w:r w:rsidRPr="00396D1E">
        <w:t xml:space="preserve">DeParle, Jason. </w:t>
      </w:r>
      <w:r w:rsidRPr="00396D1E">
        <w:rPr>
          <w:i/>
          <w:iCs/>
        </w:rPr>
        <w:t>American Dream: Three Women, Ten Kids, and a Nation's Drive to End Welfare</w:t>
      </w:r>
      <w:r w:rsidRPr="00396D1E">
        <w:t>. New York: Viking, 2004.</w:t>
      </w:r>
    </w:p>
    <w:p w14:paraId="697FAE03" w14:textId="126BF500" w:rsidR="00396D1E" w:rsidRDefault="00396D1E" w:rsidP="00396D1E">
      <w:pPr>
        <w:pStyle w:val="Endnotes"/>
      </w:pPr>
    </w:p>
  </w:endnote>
  <w:endnote w:id="61">
    <w:p w14:paraId="14B40B18" w14:textId="77777777" w:rsidR="00396D1E" w:rsidRDefault="00396D1E" w:rsidP="00396D1E">
      <w:pPr>
        <w:pStyle w:val="Endnotes"/>
      </w:pPr>
      <w:r w:rsidRPr="00396D1E">
        <w:endnoteRef/>
      </w:r>
      <w:r w:rsidRPr="00396D1E">
        <w:t xml:space="preserve"> The reception of welfare-incentive research during the 1980s is best documented through the cases of Charles Murray's </w:t>
      </w:r>
      <w:r w:rsidRPr="00396D1E">
        <w:rPr>
          <w:i/>
          <w:iCs/>
        </w:rPr>
        <w:t>Losing Ground</w:t>
      </w:r>
      <w:r w:rsidRPr="00396D1E">
        <w:t xml:space="preserve"> (1984) and Lawrence Mead's </w:t>
      </w:r>
      <w:r w:rsidRPr="00396D1E">
        <w:rPr>
          <w:i/>
          <w:iCs/>
        </w:rPr>
        <w:t>Beyond Entitlement</w:t>
      </w:r>
      <w:r w:rsidRPr="00396D1E">
        <w:t xml:space="preserve"> (1986). Both books made empirical claims about how AFDC's structure shaped recipient behavior, and both were met primarily with moral characterization of the analyst rather than engagement with the analysis. Mead's reception is particularly instructive because his politics differed substantially from Murray's, indicating that the pattern attached to the type of argument being made rather than to the figure making it. Alice O'Connor's intellectual history of twentieth-century poverty research documents how this reception shaped which questions the field was subsequently willing to take up.</w:t>
      </w:r>
    </w:p>
    <w:p w14:paraId="13157A8A" w14:textId="77777777" w:rsidR="007447D3" w:rsidRPr="00396D1E" w:rsidRDefault="007447D3" w:rsidP="00396D1E">
      <w:pPr>
        <w:pStyle w:val="Endnotes"/>
      </w:pPr>
    </w:p>
    <w:p w14:paraId="5A1A5755" w14:textId="77777777" w:rsidR="00396D1E" w:rsidRPr="00396D1E" w:rsidRDefault="00396D1E" w:rsidP="00396D1E">
      <w:pPr>
        <w:pStyle w:val="Endnotes"/>
      </w:pPr>
      <w:r w:rsidRPr="00396D1E">
        <w:t xml:space="preserve">Murray, Charles. </w:t>
      </w:r>
      <w:r w:rsidRPr="00396D1E">
        <w:rPr>
          <w:i/>
          <w:iCs/>
        </w:rPr>
        <w:t>Losing Ground: American Social Policy, 1950–1980</w:t>
      </w:r>
      <w:r w:rsidRPr="00396D1E">
        <w:t>. New York: Basic Books, 1984.</w:t>
      </w:r>
    </w:p>
    <w:p w14:paraId="533DCBF3" w14:textId="77777777" w:rsidR="00396D1E" w:rsidRDefault="00396D1E" w:rsidP="00396D1E">
      <w:pPr>
        <w:pStyle w:val="Endnotes"/>
      </w:pPr>
    </w:p>
    <w:p w14:paraId="3F9539E3" w14:textId="7B6E5848" w:rsidR="00396D1E" w:rsidRPr="00396D1E" w:rsidRDefault="00396D1E" w:rsidP="00396D1E">
      <w:pPr>
        <w:pStyle w:val="Endnotes"/>
      </w:pPr>
      <w:r w:rsidRPr="00396D1E">
        <w:t xml:space="preserve">Mead, Lawrence M. </w:t>
      </w:r>
      <w:r w:rsidRPr="00396D1E">
        <w:rPr>
          <w:i/>
          <w:iCs/>
        </w:rPr>
        <w:t>Beyond Entitlement: The Social Obligations of Citizenship</w:t>
      </w:r>
      <w:r w:rsidRPr="00396D1E">
        <w:t>. New York: Free Press, 1986.</w:t>
      </w:r>
    </w:p>
    <w:p w14:paraId="5ADA836B" w14:textId="77777777" w:rsidR="00396D1E" w:rsidRPr="00396D1E" w:rsidRDefault="00396D1E" w:rsidP="00396D1E">
      <w:pPr>
        <w:pStyle w:val="Endnotes"/>
      </w:pPr>
      <w:r w:rsidRPr="00396D1E">
        <w:t xml:space="preserve">O'Connor, Alice. </w:t>
      </w:r>
      <w:r w:rsidRPr="00396D1E">
        <w:rPr>
          <w:i/>
          <w:iCs/>
        </w:rPr>
        <w:t>Poverty Knowledge: Social Science, Social Policy, and the Poor in Twentieth-Century U.S. History</w:t>
      </w:r>
      <w:r w:rsidRPr="00396D1E">
        <w:t>. Princeton, NJ: Princeton University Press, 2001.</w:t>
      </w:r>
    </w:p>
    <w:p w14:paraId="3BABE4FC" w14:textId="77777777" w:rsidR="00396D1E" w:rsidRDefault="00396D1E" w:rsidP="00396D1E">
      <w:pPr>
        <w:pStyle w:val="Endnotes"/>
      </w:pPr>
    </w:p>
    <w:p w14:paraId="0BF0846E" w14:textId="04C6049E" w:rsidR="00396D1E" w:rsidRPr="00396D1E" w:rsidRDefault="00396D1E" w:rsidP="00396D1E">
      <w:pPr>
        <w:pStyle w:val="Endnotes"/>
      </w:pPr>
      <w:r w:rsidRPr="00396D1E">
        <w:t xml:space="preserve">Jencks, Christopher. </w:t>
      </w:r>
      <w:r w:rsidRPr="00396D1E">
        <w:rPr>
          <w:i/>
          <w:iCs/>
        </w:rPr>
        <w:t>Rethinking Social Policy: Race, Poverty, and the Underclass</w:t>
      </w:r>
      <w:r w:rsidRPr="00396D1E">
        <w:t>. Cambridge, MA: Harvard University Press, 1992.</w:t>
      </w:r>
    </w:p>
    <w:p w14:paraId="73220686" w14:textId="25151A4C" w:rsidR="00396D1E" w:rsidRDefault="00396D1E" w:rsidP="0079639F">
      <w:pPr>
        <w:pStyle w:val="Endnotes"/>
      </w:pPr>
    </w:p>
  </w:endnote>
  <w:endnote w:id="62">
    <w:p w14:paraId="60B6545C" w14:textId="77777777" w:rsidR="0079639F" w:rsidRPr="0079639F" w:rsidRDefault="0079639F" w:rsidP="0079639F">
      <w:pPr>
        <w:pStyle w:val="Endnotes"/>
      </w:pPr>
      <w:r w:rsidRPr="0079639F">
        <w:endnoteRef/>
      </w:r>
      <w:r w:rsidRPr="0079639F">
        <w:t xml:space="preserve"> U.S. Bureau of Labor Statistics. "Consumer Prices Up 9.1 Percent over the Year Ended June 2022, Largest</w:t>
      </w:r>
      <w:r w:rsidRPr="0079639F">
        <w:t xml:space="preserve"> Increase in 40 Years." </w:t>
      </w:r>
      <w:r w:rsidRPr="0079639F">
        <w:rPr>
          <w:i/>
          <w:iCs/>
        </w:rPr>
        <w:t>The Economics Daily</w:t>
      </w:r>
      <w:r w:rsidRPr="0079639F">
        <w:t xml:space="preserve">, July 18, 2022. </w:t>
      </w:r>
      <w:hyperlink r:id="rId84" w:history="1">
        <w:r w:rsidRPr="0079639F">
          <w:rPr>
            <w:rStyle w:val="Hyperlink"/>
          </w:rPr>
          <w:t>https://www.bls.gov/opub/ted/2022/consumer-prices-up-9-1-percent-over-the-year-ended-june-2022-largest-increase-in-40-years.htm</w:t>
        </w:r>
      </w:hyperlink>
      <w:r w:rsidRPr="0079639F">
        <w:t>.</w:t>
      </w:r>
    </w:p>
    <w:p w14:paraId="24189BA7" w14:textId="4DCF24CA" w:rsidR="0079639F" w:rsidRDefault="0079639F" w:rsidP="009648E7">
      <w:pPr>
        <w:pStyle w:val="Endnotes"/>
      </w:pPr>
    </w:p>
  </w:endnote>
  <w:endnote w:id="63">
    <w:p w14:paraId="11C7E344" w14:textId="77777777" w:rsidR="009648E7" w:rsidRDefault="009648E7" w:rsidP="009648E7">
      <w:pPr>
        <w:pStyle w:val="Endnotes"/>
      </w:pPr>
      <w:r w:rsidRPr="009648E7">
        <w:endnoteRef/>
      </w:r>
      <w:r w:rsidRPr="009648E7">
        <w:t xml:space="preserve"> The 2022 inflation was multi-causal, and the most credible decomposition work agrees that supply disruptions and</w:t>
      </w:r>
      <w:r w:rsidRPr="009648E7">
        <w:t xml:space="preserve"> demand-side stimulus each contributed substantially. Adam Hale Shapiro's framework at the San Francisco Federal Reserve, the most widely cited decomposition, attributes roughly half of elevated PCE inflation to supply factors and the rest to demand. Estimates of the American Rescue Plan's specific contribution to 2021 inflation range from one to four percentage points, with Harvard's Jason Furman settling at about 2.5 and the American Enterprise Institute's Michael Strain at about three. What matters here is not the precise share. It is that the inflationary risk was named in advance: in February 2021, Lawrence Summers warned in the </w:t>
      </w:r>
      <w:r w:rsidRPr="009648E7">
        <w:rPr>
          <w:i/>
          <w:iCs/>
        </w:rPr>
        <w:t>Washington Post</w:t>
      </w:r>
      <w:r w:rsidRPr="009648E7">
        <w:t xml:space="preserve"> that combining the proposed $1.9 trillion package with the December 2020 stimulus and an already recovering economy would set off "inflationary pressures of a kind we have not seen in a generation," and Furman issued parallel concerns. Both were dismissed at the time and proved substantially right.</w:t>
      </w:r>
    </w:p>
    <w:p w14:paraId="1FAFAD2E" w14:textId="77777777" w:rsidR="009648E7" w:rsidRPr="009648E7" w:rsidRDefault="009648E7" w:rsidP="009648E7">
      <w:pPr>
        <w:pStyle w:val="Endnotes"/>
      </w:pPr>
    </w:p>
    <w:p w14:paraId="3D8B47F8" w14:textId="77777777" w:rsidR="009648E7" w:rsidRPr="009648E7" w:rsidRDefault="009648E7" w:rsidP="009648E7">
      <w:pPr>
        <w:pStyle w:val="Endnotes"/>
      </w:pPr>
      <w:r w:rsidRPr="009648E7">
        <w:t xml:space="preserve">Summers, Lawrence H. "The Biden Stimulus Is Admirably Ambitious. But It Brings Some Big Risks, Too." </w:t>
      </w:r>
      <w:r w:rsidRPr="009648E7">
        <w:rPr>
          <w:i/>
          <w:iCs/>
        </w:rPr>
        <w:t>Washington Post</w:t>
      </w:r>
      <w:r w:rsidRPr="009648E7">
        <w:t xml:space="preserve">, February 4, 2021. </w:t>
      </w:r>
      <w:hyperlink r:id="rId85" w:history="1">
        <w:r w:rsidRPr="009648E7">
          <w:rPr>
            <w:rStyle w:val="Hyperlink"/>
          </w:rPr>
          <w:t>https://www.washingtonpost.com/opinions/2021/02/04/larry-summers-biden-covid-stimulus/</w:t>
        </w:r>
      </w:hyperlink>
      <w:r w:rsidRPr="009648E7">
        <w:t>.</w:t>
      </w:r>
    </w:p>
    <w:p w14:paraId="02CB74B2" w14:textId="77777777" w:rsidR="009648E7" w:rsidRDefault="009648E7" w:rsidP="009648E7">
      <w:pPr>
        <w:pStyle w:val="Endnotes"/>
      </w:pPr>
    </w:p>
    <w:p w14:paraId="2354D42E" w14:textId="31938113" w:rsidR="009648E7" w:rsidRPr="009648E7" w:rsidRDefault="009648E7" w:rsidP="009648E7">
      <w:pPr>
        <w:pStyle w:val="Endnotes"/>
      </w:pPr>
      <w:r w:rsidRPr="009648E7">
        <w:t xml:space="preserve">Shapiro, Adam Hale. "How Much Do Supply and Demand Drive Inflation?" </w:t>
      </w:r>
      <w:r w:rsidRPr="009648E7">
        <w:rPr>
          <w:i/>
          <w:iCs/>
        </w:rPr>
        <w:t>FRBSF Economic Letter</w:t>
      </w:r>
      <w:r w:rsidRPr="009648E7">
        <w:t xml:space="preserve"> 2022-15, June 21, 2022. </w:t>
      </w:r>
      <w:hyperlink r:id="rId86" w:history="1">
        <w:r w:rsidRPr="009648E7">
          <w:rPr>
            <w:rStyle w:val="Hyperlink"/>
          </w:rPr>
          <w:t>https://www.frbsf.org/economic-research/publications/economic-letter/2022/june/how-much-do-supply-and-demand-drive-inflation/</w:t>
        </w:r>
      </w:hyperlink>
      <w:r w:rsidRPr="009648E7">
        <w:t>.</w:t>
      </w:r>
    </w:p>
    <w:p w14:paraId="443E5C87" w14:textId="77777777" w:rsidR="009648E7" w:rsidRDefault="009648E7" w:rsidP="009648E7">
      <w:pPr>
        <w:pStyle w:val="Endnotes"/>
      </w:pPr>
    </w:p>
    <w:p w14:paraId="085CAF72" w14:textId="52488C62" w:rsidR="009648E7" w:rsidRPr="009648E7" w:rsidRDefault="009648E7" w:rsidP="009648E7">
      <w:pPr>
        <w:pStyle w:val="Endnotes"/>
      </w:pPr>
      <w:r w:rsidRPr="009648E7">
        <w:t xml:space="preserve">Strain, Michael R. "Yes, the Biden Stimulus Made Inflation Worse." </w:t>
      </w:r>
      <w:r w:rsidRPr="009648E7">
        <w:rPr>
          <w:i/>
          <w:iCs/>
        </w:rPr>
        <w:t>National Review</w:t>
      </w:r>
      <w:r w:rsidRPr="009648E7">
        <w:t xml:space="preserve">, February 10, 2022. </w:t>
      </w:r>
      <w:hyperlink r:id="rId87" w:history="1">
        <w:r w:rsidRPr="009648E7">
          <w:rPr>
            <w:rStyle w:val="Hyperlink"/>
          </w:rPr>
          <w:t>https://www.nationalreview.com/corner/yes-the-biden-stimulus-made-inflation-worse/</w:t>
        </w:r>
      </w:hyperlink>
      <w:r w:rsidRPr="009648E7">
        <w:t>.</w:t>
      </w:r>
    </w:p>
    <w:p w14:paraId="20BCDEE8" w14:textId="77777777" w:rsidR="009648E7" w:rsidRDefault="009648E7" w:rsidP="009648E7">
      <w:pPr>
        <w:pStyle w:val="Endnotes"/>
      </w:pPr>
    </w:p>
    <w:p w14:paraId="66C36DDF" w14:textId="2770781E" w:rsidR="009648E7" w:rsidRPr="009648E7" w:rsidRDefault="009648E7" w:rsidP="009648E7">
      <w:pPr>
        <w:pStyle w:val="Endnotes"/>
      </w:pPr>
      <w:r w:rsidRPr="009648E7">
        <w:t xml:space="preserve">Robertson, Lori. "Stimulus Spending a Factor, But Far From Whole Story on Inflation." FactCheck.org, June 30, 2022. </w:t>
      </w:r>
      <w:hyperlink r:id="rId88" w:history="1">
        <w:r w:rsidRPr="009648E7">
          <w:rPr>
            <w:rStyle w:val="Hyperlink"/>
          </w:rPr>
          <w:t>https://www.factcheck.org/2022/06/stimulus-spending-a-factor-but-far-from-whole-story-on-inflation/</w:t>
        </w:r>
      </w:hyperlink>
      <w:r w:rsidRPr="009648E7">
        <w:t>.</w:t>
      </w:r>
    </w:p>
    <w:p w14:paraId="5075A84A" w14:textId="77777777" w:rsidR="009648E7" w:rsidRDefault="009648E7" w:rsidP="009648E7">
      <w:pPr>
        <w:pStyle w:val="Endnotes"/>
      </w:pPr>
    </w:p>
    <w:p w14:paraId="725AEC76" w14:textId="08C0331E" w:rsidR="009648E7" w:rsidRPr="009648E7" w:rsidRDefault="009648E7" w:rsidP="009648E7">
      <w:pPr>
        <w:pStyle w:val="Endnotes"/>
      </w:pPr>
      <w:r w:rsidRPr="009648E7">
        <w:t xml:space="preserve">Greenberg, Jon. "Biden's American Rescue Plan Fueled Inflation. So Did Post-COVID Shortages." PolitiFact, April 20, 2022. </w:t>
      </w:r>
      <w:hyperlink r:id="rId89" w:history="1">
        <w:r w:rsidRPr="009648E7">
          <w:rPr>
            <w:rStyle w:val="Hyperlink"/>
          </w:rPr>
          <w:t>https://www.politifact.com/factchecks/2022/apr/20/jane-timken/bidens-american-rescue-plan-fueled-inflation-so-di/</w:t>
        </w:r>
      </w:hyperlink>
      <w:r w:rsidRPr="009648E7">
        <w:t>.</w:t>
      </w:r>
    </w:p>
    <w:p w14:paraId="64B94F5A" w14:textId="252E4CA7" w:rsidR="009648E7" w:rsidRDefault="009648E7" w:rsidP="00E30D42">
      <w:pPr>
        <w:pStyle w:val="Endnotes"/>
      </w:pPr>
    </w:p>
  </w:endnote>
  <w:endnote w:id="64">
    <w:p w14:paraId="0C3A76CB" w14:textId="77777777" w:rsidR="00E30D42" w:rsidRPr="00E30D42" w:rsidRDefault="00E30D42" w:rsidP="00E30D42">
      <w:pPr>
        <w:pStyle w:val="Endnotes"/>
      </w:pPr>
      <w:r w:rsidRPr="00E30D42">
        <w:endnoteRef/>
      </w:r>
      <w:r w:rsidRPr="00E30D42">
        <w:t xml:space="preserve"> U.S. Bureau of Labor Statistics. "Consumer Prices Increase 1.8 Percent in the 12 Months Ending October 2019."</w:t>
      </w:r>
      <w:r w:rsidRPr="00E30D42">
        <w:t xml:space="preserve"> </w:t>
      </w:r>
      <w:r w:rsidRPr="00E30D42">
        <w:rPr>
          <w:i/>
          <w:iCs/>
        </w:rPr>
        <w:t>The Economics Daily</w:t>
      </w:r>
      <w:r w:rsidRPr="00E30D42">
        <w:t xml:space="preserve">, November 19, 2019. </w:t>
      </w:r>
      <w:hyperlink r:id="rId90" w:history="1">
        <w:r w:rsidRPr="00E30D42">
          <w:rPr>
            <w:rStyle w:val="Hyperlink"/>
          </w:rPr>
          <w:t>https://www.bls.gov/opub/ted/2019/consumer-prices-increase-1-point-8-percent-in-the-12-months-ending-october-2019.htm</w:t>
        </w:r>
      </w:hyperlink>
      <w:r w:rsidRPr="00E30D42">
        <w:t>.</w:t>
      </w:r>
    </w:p>
    <w:p w14:paraId="592C357C" w14:textId="39EBF37B" w:rsidR="00E30D42" w:rsidRDefault="00E30D42" w:rsidP="00E30D42">
      <w:pPr>
        <w:pStyle w:val="Endnotes"/>
      </w:pPr>
    </w:p>
  </w:endnote>
  <w:endnote w:id="65">
    <w:p w14:paraId="6538594F" w14:textId="77777777" w:rsidR="00E30D42" w:rsidRPr="00E30D42" w:rsidRDefault="00E30D42" w:rsidP="00E30D42">
      <w:pPr>
        <w:pStyle w:val="Endnotes"/>
      </w:pPr>
      <w:r w:rsidRPr="00E30D42">
        <w:endnoteRef/>
      </w:r>
      <w:r w:rsidRPr="00E30D42">
        <w:t xml:space="preserve"> The greedflation framing was actively promoted in 2022 by Senate Banking Committee Democrats, most</w:t>
      </w:r>
      <w:r w:rsidRPr="00E30D42">
        <w:t xml:space="preserve"> prominently Elizabeth Warren, who used multiple committee hearings to attribute price increases to corporate market power rather than to monetary or fiscal conditions. The framing was widely adopted: by mid-2022, 72 percent of Americans named corporations as responsible for high gas prices in </w:t>
      </w:r>
      <w:r w:rsidRPr="00E30D42">
        <w:rPr>
          <w:i/>
          <w:iCs/>
        </w:rPr>
        <w:t>Washington Post</w:t>
      </w:r>
      <w:r w:rsidRPr="00E30D42">
        <w:t xml:space="preserve"> / George Mason polling, even as mainstream economists across the political spectrum criticized the explanation.</w:t>
      </w:r>
    </w:p>
    <w:p w14:paraId="78A87140" w14:textId="77777777" w:rsidR="00E30D42" w:rsidRDefault="00E30D42" w:rsidP="00E30D42">
      <w:pPr>
        <w:pStyle w:val="Endnotes"/>
        <w:rPr>
          <w:b/>
          <w:bCs/>
        </w:rPr>
      </w:pPr>
    </w:p>
    <w:p w14:paraId="1C7BF3A3" w14:textId="3F4C9978" w:rsidR="00E30D42" w:rsidRPr="00E30D42" w:rsidRDefault="00E30D42" w:rsidP="00E30D42">
      <w:pPr>
        <w:pStyle w:val="Endnotes"/>
      </w:pPr>
      <w:r w:rsidRPr="00E30D42">
        <w:t xml:space="preserve">Office of U.S. Senator Elizabeth Warren. "At Hearing, Warren Questions Federal Reserve Nominee about Market Concentration and Price Gouging Driving Inflation." Press release, January 13, 2022. </w:t>
      </w:r>
      <w:hyperlink r:id="rId91" w:history="1">
        <w:r w:rsidRPr="00E30D42">
          <w:rPr>
            <w:rStyle w:val="Hyperlink"/>
          </w:rPr>
          <w:t>https://www.warren.senate.gov/newsroom/press-releases/at-hearing-warren-questions-federal-reserve-nominee-about-market-concentration-and-price-gouging-driving-inflation</w:t>
        </w:r>
      </w:hyperlink>
      <w:r w:rsidRPr="00E30D42">
        <w:t>.</w:t>
      </w:r>
    </w:p>
    <w:p w14:paraId="2F7CB527" w14:textId="77777777" w:rsidR="00E30D42" w:rsidRDefault="00E30D42" w:rsidP="00E30D42">
      <w:pPr>
        <w:pStyle w:val="Endnotes"/>
      </w:pPr>
    </w:p>
    <w:p w14:paraId="5A3E6E82" w14:textId="710D8A3A" w:rsidR="00E30D42" w:rsidRPr="00E30D42" w:rsidRDefault="00E30D42" w:rsidP="00E30D42">
      <w:pPr>
        <w:pStyle w:val="Endnotes"/>
      </w:pPr>
      <w:r w:rsidRPr="00E30D42">
        <w:t xml:space="preserve">Wiseman, Paul. "Did Corporate Greed Fuel Inflation? It's Not Biggest Culprit." Associated Press, June 26, 2022. </w:t>
      </w:r>
      <w:hyperlink r:id="rId92" w:history="1">
        <w:r w:rsidRPr="00E30D42">
          <w:rPr>
            <w:rStyle w:val="Hyperlink"/>
          </w:rPr>
          <w:t>https://thehill.com/homenews/ap/ap-business/greedflation-is-price-gouging-helping-fuel-high-inflation/</w:t>
        </w:r>
      </w:hyperlink>
      <w:r w:rsidRPr="00E30D42">
        <w:t>.</w:t>
      </w:r>
    </w:p>
    <w:p w14:paraId="1B7BB4A9" w14:textId="77777777" w:rsidR="00E30D42" w:rsidRDefault="00E30D42" w:rsidP="00E30D42">
      <w:pPr>
        <w:pStyle w:val="Endnotes"/>
      </w:pPr>
    </w:p>
    <w:p w14:paraId="28225735" w14:textId="5E3E6A2A" w:rsidR="00E30D42" w:rsidRPr="00E30D42" w:rsidRDefault="00E30D42" w:rsidP="00E30D42">
      <w:pPr>
        <w:pStyle w:val="Endnotes"/>
      </w:pPr>
      <w:r w:rsidRPr="00E30D42">
        <w:t xml:space="preserve">Vanek Smith, Stacey. "The Mystery of Rising Prices: Are Greedy Corporations to Blame for Inflation?" NPR, November 29, 2022. </w:t>
      </w:r>
      <w:hyperlink r:id="rId93" w:history="1">
        <w:r w:rsidRPr="00E30D42">
          <w:rPr>
            <w:rStyle w:val="Hyperlink"/>
          </w:rPr>
          <w:t>https://www.npr.org/2022/11/29/1139342874/corporate-greed-and-the-inflation-mystery</w:t>
        </w:r>
      </w:hyperlink>
      <w:r w:rsidRPr="00E30D42">
        <w:t>.</w:t>
      </w:r>
    </w:p>
    <w:p w14:paraId="0352D913" w14:textId="487847E6" w:rsidR="00E30D42" w:rsidRDefault="00E30D42" w:rsidP="00E30D42">
      <w:pPr>
        <w:pStyle w:val="Endnotes"/>
      </w:pPr>
    </w:p>
  </w:endnote>
  <w:endnote w:id="66">
    <w:p w14:paraId="1EEF59F2" w14:textId="0C4EF54B" w:rsidR="00E25CED" w:rsidRDefault="00E25CED">
      <w:pPr>
        <w:spacing w:line="240" w:lineRule="auto"/>
        <w:ind w:firstLine="0"/>
        <w:rPr>
          <w:color w:val="000000"/>
          <w:sz w:val="20"/>
          <w:szCs w:val="20"/>
        </w:rPr>
      </w:pPr>
      <w:r w:rsidRPr="00E30D42">
        <w:rPr>
          <w:rStyle w:val="EndnotesChar"/>
        </w:rPr>
        <w:endnoteRef/>
      </w:r>
      <w:r w:rsidRPr="00E30D42">
        <w:rPr>
          <w:rStyle w:val="EndnotesChar"/>
        </w:rPr>
        <w:t xml:space="preserve"> Globally, the prevalence of extreme poverty has declined dramatically over the past few decades, and in high-</w:t>
      </w:r>
      <w:r>
        <w:rPr>
          <w:color w:val="000000"/>
          <w:sz w:val="20"/>
          <w:szCs w:val="20"/>
        </w:rPr>
        <w:t>income and many upper-middle-income countries, the vast majority of citizens no longer face daily threats to basic survival such as chronic hunger or lack of shelter. World Bank data show that from 1990 to the mid-2020s, the share of the world</w:t>
      </w:r>
      <w:r w:rsidR="00463E2E">
        <w:rPr>
          <w:color w:val="000000"/>
          <w:sz w:val="20"/>
          <w:szCs w:val="20"/>
        </w:rPr>
        <w:t>'</w:t>
      </w:r>
      <w:r>
        <w:rPr>
          <w:color w:val="000000"/>
          <w:sz w:val="20"/>
          <w:szCs w:val="20"/>
        </w:rPr>
        <w:t>s population living in extreme poverty (under the international poverty line) fell from roughly one-third to under 10 percent, with affluent societies contributing disproportionately to this decline and now featuring relatively small populations living in absolute deprivation. At the same time, scholars emphasize that while material abundance and social safety nets in affluent societies buffer most people from immediate, life-threatening scarcity, relative deprivation, inequality, and insecurity about future resources remain significant concerns. For a trade-book claim, it is therefore well-supported to say that in modern affluent societies the </w:t>
      </w:r>
      <w:r>
        <w:rPr>
          <w:i/>
          <w:iCs/>
          <w:color w:val="000000"/>
          <w:sz w:val="20"/>
          <w:szCs w:val="20"/>
        </w:rPr>
        <w:t>everyday</w:t>
      </w:r>
      <w:r>
        <w:rPr>
          <w:color w:val="000000"/>
          <w:sz w:val="20"/>
          <w:szCs w:val="20"/>
        </w:rPr>
        <w:t> experience of hard resource limits that earlier generations took for granted has been greatly reduced, even though scarcity and hardship have not disappeared entirely.​</w:t>
      </w:r>
    </w:p>
    <w:p w14:paraId="5F5A657D" w14:textId="77777777" w:rsidR="00E25CED" w:rsidRDefault="00E25CED">
      <w:pPr>
        <w:spacing w:line="240" w:lineRule="auto"/>
        <w:ind w:firstLine="0"/>
        <w:rPr>
          <w:color w:val="000000"/>
          <w:sz w:val="20"/>
          <w:szCs w:val="20"/>
        </w:rPr>
      </w:pPr>
    </w:p>
    <w:p w14:paraId="29F45EAD" w14:textId="379B7982" w:rsidR="00E25CED" w:rsidRDefault="00E25CED">
      <w:pPr>
        <w:spacing w:line="240" w:lineRule="auto"/>
        <w:ind w:firstLine="0"/>
        <w:rPr>
          <w:color w:val="000000"/>
          <w:sz w:val="20"/>
          <w:szCs w:val="20"/>
        </w:rPr>
      </w:pPr>
      <w:r>
        <w:rPr>
          <w:color w:val="000000"/>
          <w:sz w:val="20"/>
          <w:szCs w:val="20"/>
        </w:rPr>
        <w:t xml:space="preserve">World Bank. </w:t>
      </w:r>
      <w:r w:rsidR="00463E2E">
        <w:rPr>
          <w:color w:val="000000"/>
          <w:sz w:val="20"/>
          <w:szCs w:val="20"/>
        </w:rPr>
        <w:t>"</w:t>
      </w:r>
      <w:r>
        <w:rPr>
          <w:color w:val="000000"/>
          <w:sz w:val="20"/>
          <w:szCs w:val="20"/>
        </w:rPr>
        <w:t>Poverty Overview.</w:t>
      </w:r>
      <w:r w:rsidR="00463E2E">
        <w:rPr>
          <w:color w:val="000000"/>
          <w:sz w:val="20"/>
          <w:szCs w:val="20"/>
        </w:rPr>
        <w:t>"</w:t>
      </w:r>
      <w:r>
        <w:rPr>
          <w:color w:val="000000"/>
          <w:sz w:val="20"/>
          <w:szCs w:val="20"/>
        </w:rPr>
        <w:t xml:space="preserve"> World Bank, October 1, 2025. </w:t>
      </w:r>
      <w:hyperlink r:id="rId94">
        <w:r>
          <w:rPr>
            <w:rStyle w:val="Hyperlink"/>
            <w:color w:val="467886"/>
            <w:sz w:val="20"/>
            <w:szCs w:val="20"/>
          </w:rPr>
          <w:t>https://www.worldbank.org/en/topic/poverty/overview</w:t>
        </w:r>
      </w:hyperlink>
      <w:r>
        <w:rPr>
          <w:color w:val="000000"/>
          <w:sz w:val="20"/>
          <w:szCs w:val="20"/>
        </w:rPr>
        <w:t>.</w:t>
      </w:r>
    </w:p>
    <w:p w14:paraId="1EE0ECC4" w14:textId="77777777" w:rsidR="00E25CED" w:rsidRDefault="00E25CED">
      <w:pPr>
        <w:spacing w:line="240" w:lineRule="auto"/>
        <w:ind w:firstLine="0"/>
        <w:rPr>
          <w:color w:val="000000"/>
          <w:sz w:val="20"/>
          <w:szCs w:val="20"/>
        </w:rPr>
      </w:pPr>
    </w:p>
    <w:p w14:paraId="35E7CD7B" w14:textId="77777777" w:rsidR="00E25CED" w:rsidRDefault="00E25CED">
      <w:pPr>
        <w:spacing w:line="240" w:lineRule="auto"/>
        <w:ind w:firstLine="0"/>
        <w:rPr>
          <w:color w:val="000000"/>
          <w:sz w:val="20"/>
          <w:szCs w:val="20"/>
        </w:rPr>
      </w:pPr>
      <w:r>
        <w:rPr>
          <w:color w:val="000000"/>
          <w:sz w:val="20"/>
          <w:szCs w:val="20"/>
        </w:rPr>
        <w:t xml:space="preserve">World Bank. Poverty, Prosperity, and Planet: Global Poverty Monitoring Report 2024. Washington, DC: World Bank, 2024. </w:t>
      </w:r>
      <w:hyperlink r:id="rId95">
        <w:r>
          <w:rPr>
            <w:rStyle w:val="Hyperlink"/>
            <w:color w:val="467886"/>
            <w:sz w:val="20"/>
            <w:szCs w:val="20"/>
          </w:rPr>
          <w:t>https://www.worldbank.org/en/publication/poverty-prosperity-and-planet</w:t>
        </w:r>
      </w:hyperlink>
      <w:r>
        <w:rPr>
          <w:color w:val="000000"/>
          <w:sz w:val="20"/>
          <w:szCs w:val="20"/>
        </w:rPr>
        <w:t>.</w:t>
      </w:r>
    </w:p>
    <w:p w14:paraId="18C2BCF4" w14:textId="77777777" w:rsidR="00E25CED" w:rsidRDefault="00E25CED">
      <w:pPr>
        <w:spacing w:line="240" w:lineRule="auto"/>
        <w:ind w:firstLine="0"/>
        <w:rPr>
          <w:color w:val="000000"/>
          <w:sz w:val="20"/>
          <w:szCs w:val="20"/>
        </w:rPr>
      </w:pPr>
    </w:p>
    <w:p w14:paraId="01D7AB3F" w14:textId="79DC0AF7" w:rsidR="00E25CED" w:rsidRDefault="00E25CED">
      <w:pPr>
        <w:spacing w:line="240" w:lineRule="auto"/>
        <w:ind w:firstLine="0"/>
        <w:rPr>
          <w:color w:val="000000"/>
          <w:sz w:val="20"/>
          <w:szCs w:val="20"/>
        </w:rPr>
      </w:pPr>
      <w:r>
        <w:rPr>
          <w:color w:val="000000"/>
          <w:sz w:val="20"/>
          <w:szCs w:val="20"/>
        </w:rPr>
        <w:t xml:space="preserve">Hellebrandt, Tomas, and Paolo Mauro. </w:t>
      </w:r>
      <w:r w:rsidR="00463E2E">
        <w:rPr>
          <w:color w:val="000000"/>
          <w:sz w:val="20"/>
          <w:szCs w:val="20"/>
        </w:rPr>
        <w:t>"</w:t>
      </w:r>
      <w:r>
        <w:rPr>
          <w:color w:val="000000"/>
          <w:sz w:val="20"/>
          <w:szCs w:val="20"/>
        </w:rPr>
        <w:t>The Future of Worldwide Income Distribution.</w:t>
      </w:r>
      <w:r w:rsidR="00463E2E">
        <w:rPr>
          <w:color w:val="000000"/>
          <w:sz w:val="20"/>
          <w:szCs w:val="20"/>
        </w:rPr>
        <w:t>"</w:t>
      </w:r>
      <w:r>
        <w:rPr>
          <w:color w:val="000000"/>
          <w:sz w:val="20"/>
          <w:szCs w:val="20"/>
        </w:rPr>
        <w:t xml:space="preserve"> Peterson Institute for International Economics Working Paper 15-7, 2015. </w:t>
      </w:r>
      <w:hyperlink r:id="rId96">
        <w:r>
          <w:rPr>
            <w:rStyle w:val="Hyperlink"/>
            <w:color w:val="467886"/>
            <w:sz w:val="20"/>
            <w:szCs w:val="20"/>
          </w:rPr>
          <w:t>https://www.piie.com/publications/working-papers/future-worldwide-income-distribution</w:t>
        </w:r>
      </w:hyperlink>
      <w:r>
        <w:rPr>
          <w:color w:val="000000"/>
          <w:sz w:val="20"/>
          <w:szCs w:val="20"/>
        </w:rPr>
        <w:t>.</w:t>
      </w:r>
    </w:p>
    <w:p w14:paraId="49D131C1" w14:textId="77777777" w:rsidR="00E25CED" w:rsidRDefault="00E25CED">
      <w:pPr>
        <w:spacing w:line="240" w:lineRule="auto"/>
        <w:ind w:firstLine="0"/>
        <w:rPr>
          <w:color w:val="000000"/>
          <w:sz w:val="20"/>
          <w:szCs w:val="20"/>
        </w:rPr>
      </w:pPr>
    </w:p>
    <w:p w14:paraId="796E96D9" w14:textId="01410493" w:rsidR="00E25CED" w:rsidRDefault="00463E2E">
      <w:pPr>
        <w:spacing w:line="240" w:lineRule="auto"/>
        <w:ind w:firstLine="0"/>
        <w:rPr>
          <w:color w:val="000000"/>
          <w:sz w:val="20"/>
          <w:szCs w:val="20"/>
        </w:rPr>
      </w:pPr>
      <w:r>
        <w:rPr>
          <w:color w:val="000000"/>
          <w:sz w:val="20"/>
          <w:szCs w:val="20"/>
        </w:rPr>
        <w:t>"</w:t>
      </w:r>
      <w:r w:rsidR="00E25CED">
        <w:rPr>
          <w:color w:val="000000"/>
          <w:sz w:val="20"/>
          <w:szCs w:val="20"/>
        </w:rPr>
        <w:t>How Has the Profile of Extreme Poverty Changed Over the Last Decade?</w:t>
      </w:r>
      <w:r>
        <w:rPr>
          <w:color w:val="000000"/>
          <w:sz w:val="20"/>
          <w:szCs w:val="20"/>
        </w:rPr>
        <w:t>"</w:t>
      </w:r>
      <w:r w:rsidR="00E25CED">
        <w:rPr>
          <w:color w:val="000000"/>
          <w:sz w:val="20"/>
          <w:szCs w:val="20"/>
        </w:rPr>
        <w:t xml:space="preserve"> World Bank Data Blog, November 9, 2025. </w:t>
      </w:r>
      <w:hyperlink r:id="rId97">
        <w:r w:rsidR="00E25CED">
          <w:rPr>
            <w:rStyle w:val="Hyperlink"/>
            <w:color w:val="467886"/>
            <w:sz w:val="20"/>
            <w:szCs w:val="20"/>
          </w:rPr>
          <w:t>https://blogs.worldbank.org/en/opendata/how-has-the-profile-of-extreme-poverty-changed-over-the-last-dec</w:t>
        </w:r>
      </w:hyperlink>
      <w:r w:rsidR="00E25CED">
        <w:rPr>
          <w:color w:val="000000"/>
          <w:sz w:val="20"/>
          <w:szCs w:val="20"/>
        </w:rPr>
        <w:t>.</w:t>
      </w:r>
    </w:p>
    <w:p w14:paraId="229DFC98" w14:textId="77777777" w:rsidR="00E25CED" w:rsidRDefault="00E25CED">
      <w:pPr>
        <w:spacing w:line="240" w:lineRule="auto"/>
        <w:ind w:firstLine="0"/>
        <w:rPr>
          <w:color w:val="000000"/>
          <w:sz w:val="20"/>
          <w:szCs w:val="20"/>
        </w:rPr>
      </w:pPr>
    </w:p>
    <w:p w14:paraId="21F00D24" w14:textId="14BBF2AF" w:rsidR="00E25CED" w:rsidRDefault="00E25CED">
      <w:pPr>
        <w:spacing w:line="240" w:lineRule="auto"/>
        <w:ind w:firstLine="0"/>
        <w:rPr>
          <w:color w:val="000000"/>
          <w:sz w:val="20"/>
          <w:szCs w:val="20"/>
        </w:rPr>
      </w:pPr>
      <w:r>
        <w:rPr>
          <w:color w:val="000000"/>
          <w:sz w:val="20"/>
          <w:szCs w:val="20"/>
        </w:rPr>
        <w:t xml:space="preserve">Roser, Max, and Esteban Ortiz-Ospina. </w:t>
      </w:r>
      <w:r w:rsidR="00463E2E">
        <w:rPr>
          <w:color w:val="000000"/>
          <w:sz w:val="20"/>
          <w:szCs w:val="20"/>
        </w:rPr>
        <w:t>"</w:t>
      </w:r>
      <w:r>
        <w:rPr>
          <w:color w:val="000000"/>
          <w:sz w:val="20"/>
          <w:szCs w:val="20"/>
        </w:rPr>
        <w:t>Global Extreme Poverty.</w:t>
      </w:r>
      <w:r w:rsidR="00463E2E">
        <w:rPr>
          <w:color w:val="000000"/>
          <w:sz w:val="20"/>
          <w:szCs w:val="20"/>
        </w:rPr>
        <w:t>"</w:t>
      </w:r>
      <w:r>
        <w:rPr>
          <w:color w:val="000000"/>
          <w:sz w:val="20"/>
          <w:szCs w:val="20"/>
        </w:rPr>
        <w:t xml:space="preserve"> Our World in Data, 2023. </w:t>
      </w:r>
      <w:hyperlink r:id="rId98">
        <w:r>
          <w:rPr>
            <w:rStyle w:val="Hyperlink"/>
            <w:color w:val="467886"/>
            <w:sz w:val="20"/>
            <w:szCs w:val="20"/>
          </w:rPr>
          <w:t>https://ourworldindata.org/extreme-poverty</w:t>
        </w:r>
      </w:hyperlink>
      <w:r>
        <w:rPr>
          <w:color w:val="000000"/>
          <w:sz w:val="20"/>
          <w:szCs w:val="20"/>
        </w:rPr>
        <w:t>.</w:t>
      </w:r>
    </w:p>
    <w:p w14:paraId="1134E138" w14:textId="77777777" w:rsidR="00E25CED" w:rsidRDefault="00E25CED">
      <w:pPr>
        <w:spacing w:line="240" w:lineRule="auto"/>
        <w:ind w:firstLine="0"/>
        <w:rPr>
          <w:color w:val="000000"/>
          <w:sz w:val="20"/>
          <w:szCs w:val="20"/>
        </w:rPr>
      </w:pPr>
    </w:p>
  </w:endnote>
  <w:endnote w:id="67">
    <w:p w14:paraId="34B0CB3B" w14:textId="584B0BFF" w:rsidR="00E25CED" w:rsidRDefault="00E25CED">
      <w:pPr>
        <w:spacing w:line="240" w:lineRule="auto"/>
        <w:ind w:firstLine="0"/>
        <w:rPr>
          <w:color w:val="000000"/>
          <w:sz w:val="20"/>
          <w:szCs w:val="20"/>
        </w:rPr>
      </w:pPr>
      <w:r>
        <w:rPr>
          <w:rStyle w:val="FootnoteCharacters"/>
        </w:rPr>
        <w:endnoteRef/>
      </w:r>
      <w:r>
        <w:rPr>
          <w:color w:val="000000"/>
          <w:sz w:val="20"/>
          <w:szCs w:val="20"/>
        </w:rPr>
        <w:t xml:space="preserve">Sociologist Peter Rossi went so far as to formulate the 'Iron Law of Evaluation,' which posits that the expected net impact of any large-scale social program is effectively zero due to the complexity of human systems and implementation challenges. Systematic reviews of randomized controlled trials (RCTs) in social policy confirm this pattern, showing that the vast majority of interventions that succeed in small-scale pilots fail to replicate their results when expanded, often due to high </w:t>
      </w:r>
      <w:r w:rsidR="00463E2E">
        <w:rPr>
          <w:color w:val="000000"/>
          <w:sz w:val="20"/>
          <w:szCs w:val="20"/>
        </w:rPr>
        <w:t>"</w:t>
      </w:r>
      <w:r>
        <w:rPr>
          <w:color w:val="000000"/>
          <w:sz w:val="20"/>
          <w:szCs w:val="20"/>
        </w:rPr>
        <w:t>causal density</w:t>
      </w:r>
      <w:r w:rsidR="00463E2E">
        <w:rPr>
          <w:color w:val="000000"/>
          <w:sz w:val="20"/>
          <w:szCs w:val="20"/>
        </w:rPr>
        <w:t>"</w:t>
      </w:r>
      <w:r>
        <w:rPr>
          <w:color w:val="000000"/>
          <w:sz w:val="20"/>
          <w:szCs w:val="20"/>
        </w:rPr>
        <w:t xml:space="preserve"> that prevents simple cause-and-effect scaling.</w:t>
      </w:r>
    </w:p>
    <w:p w14:paraId="7D715E83" w14:textId="77777777" w:rsidR="00E25CED" w:rsidRDefault="00E25CED">
      <w:pPr>
        <w:spacing w:line="240" w:lineRule="auto"/>
        <w:ind w:firstLine="0"/>
        <w:rPr>
          <w:color w:val="000000"/>
          <w:sz w:val="20"/>
          <w:szCs w:val="20"/>
        </w:rPr>
      </w:pPr>
    </w:p>
    <w:p w14:paraId="0143BDC2" w14:textId="7F5E9544" w:rsidR="00E25CED" w:rsidRDefault="00E25CED">
      <w:pPr>
        <w:spacing w:line="240" w:lineRule="auto"/>
        <w:ind w:firstLine="0"/>
        <w:rPr>
          <w:color w:val="000000"/>
          <w:sz w:val="20"/>
          <w:szCs w:val="20"/>
        </w:rPr>
      </w:pPr>
      <w:r>
        <w:rPr>
          <w:color w:val="000000"/>
          <w:sz w:val="20"/>
          <w:szCs w:val="20"/>
        </w:rPr>
        <w:t xml:space="preserve">Rossi, Peter H. </w:t>
      </w:r>
      <w:r w:rsidR="00463E2E">
        <w:rPr>
          <w:color w:val="000000"/>
          <w:sz w:val="20"/>
          <w:szCs w:val="20"/>
        </w:rPr>
        <w:t>"</w:t>
      </w:r>
      <w:r>
        <w:rPr>
          <w:color w:val="000000"/>
          <w:sz w:val="20"/>
          <w:szCs w:val="20"/>
        </w:rPr>
        <w:t>The Iron Law of Evaluation and Other Metallic Rules.</w:t>
      </w:r>
      <w:r w:rsidR="00463E2E">
        <w:rPr>
          <w:color w:val="000000"/>
          <w:sz w:val="20"/>
          <w:szCs w:val="20"/>
        </w:rPr>
        <w:t>"</w:t>
      </w:r>
      <w:r>
        <w:rPr>
          <w:color w:val="000000"/>
          <w:sz w:val="20"/>
          <w:szCs w:val="20"/>
        </w:rPr>
        <w:t xml:space="preserve"> Research in Social Problems and Public Policy 4 (1987): 3-20.</w:t>
      </w:r>
    </w:p>
    <w:p w14:paraId="1ED359D3" w14:textId="77777777" w:rsidR="00E25CED" w:rsidRDefault="00E25CED">
      <w:pPr>
        <w:spacing w:line="240" w:lineRule="auto"/>
        <w:ind w:firstLine="0"/>
        <w:rPr>
          <w:color w:val="000000"/>
          <w:sz w:val="20"/>
          <w:szCs w:val="20"/>
        </w:rPr>
      </w:pPr>
    </w:p>
    <w:p w14:paraId="2D29BCC9" w14:textId="77777777" w:rsidR="00E25CED" w:rsidRDefault="00E25CED">
      <w:pPr>
        <w:spacing w:line="240" w:lineRule="auto"/>
        <w:ind w:firstLine="0"/>
        <w:rPr>
          <w:color w:val="000000"/>
          <w:sz w:val="20"/>
          <w:szCs w:val="20"/>
        </w:rPr>
      </w:pPr>
      <w:r>
        <w:rPr>
          <w:color w:val="000000"/>
          <w:sz w:val="20"/>
          <w:szCs w:val="20"/>
        </w:rPr>
        <w:t>Manzi, Jim. Uncontrolled: The Surprising Payoff of Trial-and-Error for Business, Politics, and Society. Basic Books, 2012.</w:t>
      </w:r>
    </w:p>
    <w:p w14:paraId="353C34CA" w14:textId="77777777" w:rsidR="00E25CED" w:rsidRDefault="00E25CED">
      <w:pPr>
        <w:spacing w:line="240" w:lineRule="auto"/>
        <w:ind w:firstLine="0"/>
        <w:rPr>
          <w:color w:val="000000"/>
          <w:sz w:val="20"/>
          <w:szCs w:val="20"/>
        </w:rPr>
      </w:pPr>
    </w:p>
    <w:p w14:paraId="61C1E955" w14:textId="6336CC14" w:rsidR="00E25CED" w:rsidRDefault="00E25CED">
      <w:pPr>
        <w:spacing w:line="240" w:lineRule="auto"/>
        <w:ind w:firstLine="0"/>
        <w:rPr>
          <w:color w:val="000000"/>
          <w:sz w:val="20"/>
          <w:szCs w:val="20"/>
        </w:rPr>
      </w:pPr>
      <w:r>
        <w:rPr>
          <w:color w:val="000000"/>
          <w:sz w:val="20"/>
          <w:szCs w:val="20"/>
        </w:rPr>
        <w:t xml:space="preserve">Ioannidis, John P.A. </w:t>
      </w:r>
      <w:r w:rsidR="00463E2E">
        <w:rPr>
          <w:color w:val="000000"/>
          <w:sz w:val="20"/>
          <w:szCs w:val="20"/>
        </w:rPr>
        <w:t>"</w:t>
      </w:r>
      <w:r>
        <w:rPr>
          <w:color w:val="000000"/>
          <w:sz w:val="20"/>
          <w:szCs w:val="20"/>
        </w:rPr>
        <w:t>Why Most Published Research Findings Are False.</w:t>
      </w:r>
      <w:r w:rsidR="00463E2E">
        <w:rPr>
          <w:color w:val="000000"/>
          <w:sz w:val="20"/>
          <w:szCs w:val="20"/>
        </w:rPr>
        <w:t>"</w:t>
      </w:r>
      <w:r>
        <w:rPr>
          <w:color w:val="000000"/>
          <w:sz w:val="20"/>
          <w:szCs w:val="20"/>
        </w:rPr>
        <w:t xml:space="preserve"> PLoS Medicine 2, no. 8 (2005): e124.</w:t>
      </w:r>
    </w:p>
    <w:p w14:paraId="6721500F" w14:textId="5CA190D4" w:rsidR="00E25CED" w:rsidRDefault="00E25CED">
      <w:pPr>
        <w:spacing w:line="240" w:lineRule="auto"/>
        <w:ind w:firstLine="0"/>
        <w:rPr>
          <w:color w:val="000000"/>
          <w:sz w:val="20"/>
          <w:szCs w:val="20"/>
        </w:rPr>
      </w:pPr>
      <w:r>
        <w:rPr>
          <w:color w:val="000000"/>
          <w:sz w:val="20"/>
          <w:szCs w:val="20"/>
        </w:rPr>
        <w:t xml:space="preserve">Baron, Jon, and Isabel Sawhill. </w:t>
      </w:r>
      <w:r w:rsidR="00463E2E">
        <w:rPr>
          <w:color w:val="000000"/>
          <w:sz w:val="20"/>
          <w:szCs w:val="20"/>
        </w:rPr>
        <w:t>"</w:t>
      </w:r>
      <w:r>
        <w:rPr>
          <w:color w:val="000000"/>
          <w:sz w:val="20"/>
          <w:szCs w:val="20"/>
        </w:rPr>
        <w:t>Federal Programs with Strong Evidence of Effectiveness.</w:t>
      </w:r>
      <w:r w:rsidR="00463E2E">
        <w:rPr>
          <w:color w:val="000000"/>
          <w:sz w:val="20"/>
          <w:szCs w:val="20"/>
        </w:rPr>
        <w:t>"</w:t>
      </w:r>
      <w:r>
        <w:rPr>
          <w:color w:val="000000"/>
          <w:sz w:val="20"/>
          <w:szCs w:val="20"/>
        </w:rPr>
        <w:t xml:space="preserve"> Coalition for Evidence-Based Policy, 2010.</w:t>
      </w:r>
    </w:p>
    <w:p w14:paraId="01678E55" w14:textId="77777777" w:rsidR="006F320B" w:rsidRDefault="006F320B">
      <w:pPr>
        <w:spacing w:line="240" w:lineRule="auto"/>
        <w:ind w:firstLine="0"/>
        <w:rPr>
          <w:color w:val="000000"/>
          <w:sz w:val="20"/>
          <w:szCs w:val="20"/>
        </w:rPr>
      </w:pPr>
    </w:p>
  </w:endnote>
  <w:endnote w:id="68">
    <w:p w14:paraId="04094072" w14:textId="64F00F7A" w:rsidR="00E25CED" w:rsidRDefault="00E25CED" w:rsidP="006F320B">
      <w:pPr>
        <w:pStyle w:val="Endnotes"/>
      </w:pPr>
      <w:r>
        <w:rPr>
          <w:rStyle w:val="FootnoteCharacters"/>
        </w:rPr>
        <w:endnoteRef/>
      </w:r>
      <w:r>
        <w:t xml:space="preserve"> The Kansas tax cut episode is one of the most thoroughly documented fiscal policy experiments in recent American history, with sources across the political spectrum agreeing on the basic facts. Brookings economist William Gale called it </w:t>
      </w:r>
      <w:r w:rsidR="00463E2E">
        <w:t>"</w:t>
      </w:r>
      <w:r>
        <w:t>one of the cleanest experiments for measuring the effects of tax cuts on economic growth</w:t>
      </w:r>
      <w:r w:rsidR="00463E2E">
        <w:t>"</w:t>
      </w:r>
      <w:r>
        <w:t xml:space="preserve">—and the results were unambiguous: sluggish growth, revenue shortfalls, and three credit downgrades. S&amp;P downgraded the state's rating as early as August 2014, citing fiscal stress directly tied to the tax plan. Even the Tax Foundation, a free-market organization generally sympathetic to tax reduction, acknowledged the Kansas experiment as </w:t>
      </w:r>
      <w:r w:rsidR="00463E2E">
        <w:t>"</w:t>
      </w:r>
      <w:r>
        <w:t>failed</w:t>
      </w:r>
      <w:r w:rsidR="00463E2E">
        <w:t>"</w:t>
      </w:r>
      <w:r>
        <w:t xml:space="preserve"> and </w:t>
      </w:r>
      <w:r w:rsidR="00463E2E">
        <w:t>"</w:t>
      </w:r>
      <w:r>
        <w:t>unbalanced,</w:t>
      </w:r>
      <w:r w:rsidR="00463E2E">
        <w:t>"</w:t>
      </w:r>
      <w:r>
        <w:t xml:space="preserve"> disputing only its generalizability to other states' tax reforms.</w:t>
      </w:r>
    </w:p>
    <w:p w14:paraId="71FA0597" w14:textId="77777777" w:rsidR="00E25CED" w:rsidRDefault="00E25CED" w:rsidP="006F320B">
      <w:pPr>
        <w:pStyle w:val="Endnotes"/>
      </w:pPr>
    </w:p>
    <w:p w14:paraId="1FB56A31" w14:textId="4216CAE5" w:rsidR="00E25CED" w:rsidRDefault="00E25CED" w:rsidP="006F320B">
      <w:pPr>
        <w:pStyle w:val="Endnotes"/>
      </w:pPr>
      <w:r>
        <w:t xml:space="preserve">Gale, William. </w:t>
      </w:r>
      <w:r w:rsidR="00463E2E">
        <w:t>"</w:t>
      </w:r>
      <w:r>
        <w:t>The Kansas Tax Cut Experiment.</w:t>
      </w:r>
      <w:r w:rsidR="00463E2E">
        <w:t>"</w:t>
      </w:r>
      <w:r>
        <w:t xml:space="preserve"> Brookings Institution, 2017. </w:t>
      </w:r>
      <w:hyperlink r:id="rId99">
        <w:r>
          <w:rPr>
            <w:rStyle w:val="Hyperlink"/>
            <w:color w:val="467886"/>
          </w:rPr>
          <w:t>https://www.brookings.edu/articles/the-kansas-tax-cut-experiment/</w:t>
        </w:r>
      </w:hyperlink>
    </w:p>
    <w:p w14:paraId="0DB7A8DB" w14:textId="77777777" w:rsidR="00E25CED" w:rsidRDefault="00E25CED" w:rsidP="006F320B">
      <w:pPr>
        <w:pStyle w:val="Endnotes"/>
      </w:pPr>
    </w:p>
    <w:p w14:paraId="59D57EDF" w14:textId="657FE145" w:rsidR="00E25CED" w:rsidRDefault="00E25CED" w:rsidP="006F320B">
      <w:pPr>
        <w:pStyle w:val="Endnotes"/>
      </w:pPr>
      <w:r>
        <w:t xml:space="preserve">Goodwyn, Wade. </w:t>
      </w:r>
      <w:r w:rsidR="00463E2E">
        <w:t>"</w:t>
      </w:r>
      <w:r>
        <w:t>Kansas' 2012 Tax Cut Experiment Could Serve as a Cautionary Tale.</w:t>
      </w:r>
      <w:r w:rsidR="00463E2E">
        <w:t>"</w:t>
      </w:r>
      <w:r>
        <w:t xml:space="preserve"> NPR, December 13, 2017. </w:t>
      </w:r>
      <w:hyperlink r:id="rId100">
        <w:r>
          <w:rPr>
            <w:rStyle w:val="Hyperlink"/>
            <w:color w:val="467886"/>
          </w:rPr>
          <w:t>https://www.npr.org/2017/12/13/570387479/kansas-2012-tax-cut-experiment-could-serve-as-a-cautionary-tale</w:t>
        </w:r>
      </w:hyperlink>
    </w:p>
    <w:p w14:paraId="6E711C62" w14:textId="77777777" w:rsidR="00E25CED" w:rsidRDefault="00E25CED" w:rsidP="006F320B">
      <w:pPr>
        <w:pStyle w:val="Endnotes"/>
      </w:pPr>
    </w:p>
    <w:p w14:paraId="045AC09C" w14:textId="60EF8488" w:rsidR="00E25CED" w:rsidRDefault="00463E2E" w:rsidP="006F320B">
      <w:pPr>
        <w:pStyle w:val="Endnotes"/>
      </w:pPr>
      <w:r>
        <w:t>"</w:t>
      </w:r>
      <w:r w:rsidR="00E25CED">
        <w:t>S&amp;P Downgrades Kansas in Another Blow to Brownback Tax Cuts.</w:t>
      </w:r>
      <w:r>
        <w:t>"</w:t>
      </w:r>
      <w:r w:rsidR="00E25CED">
        <w:t xml:space="preserve"> Reuters, August 6, 2014. </w:t>
      </w:r>
      <w:hyperlink r:id="rId101">
        <w:r w:rsidR="00E25CED">
          <w:rPr>
            <w:rStyle w:val="Hyperlink"/>
            <w:color w:val="467886"/>
          </w:rPr>
          <w:t>https://www.reuters.com/article/markets/us/sp-downgrades-kansas-in-another-blow-to-brownback-tax-cuts-idUSL2N0QC1MO/</w:t>
        </w:r>
      </w:hyperlink>
    </w:p>
    <w:p w14:paraId="289BCE74" w14:textId="77777777" w:rsidR="00E25CED" w:rsidRDefault="00E25CED" w:rsidP="006F320B">
      <w:pPr>
        <w:pStyle w:val="Endnotes"/>
      </w:pPr>
    </w:p>
    <w:p w14:paraId="7C4C114D" w14:textId="55C8A361" w:rsidR="00E25CED" w:rsidRDefault="00E25CED" w:rsidP="006F320B">
      <w:pPr>
        <w:pStyle w:val="Endnotes"/>
      </w:pPr>
      <w:r>
        <w:t xml:space="preserve">Walczak, Jared. </w:t>
      </w:r>
      <w:r w:rsidR="00463E2E">
        <w:t>"</w:t>
      </w:r>
      <w:r>
        <w:t>Two Dozen States Show Why the Kansas Critique of Income Tax Cuts Is Mistaken.</w:t>
      </w:r>
      <w:r w:rsidR="00463E2E">
        <w:t>"</w:t>
      </w:r>
      <w:r>
        <w:t xml:space="preserve"> Tax Foundation, October 2024. </w:t>
      </w:r>
      <w:hyperlink r:id="rId102">
        <w:r>
          <w:rPr>
            <w:rStyle w:val="Hyperlink"/>
            <w:color w:val="467886"/>
          </w:rPr>
          <w:t>https://taxfoundation.org/blog/kansas-experiment-kansas-tax-cuts-critique/</w:t>
        </w:r>
      </w:hyperlink>
    </w:p>
    <w:p w14:paraId="0D40BD06" w14:textId="77777777" w:rsidR="00E25CED" w:rsidRDefault="00E25CED" w:rsidP="006F320B">
      <w:pPr>
        <w:pStyle w:val="Endnotes"/>
      </w:pPr>
    </w:p>
  </w:endnote>
  <w:endnote w:id="69">
    <w:p w14:paraId="07A04103" w14:textId="08155E08" w:rsidR="00E25CED" w:rsidRDefault="00E25CED">
      <w:pPr>
        <w:spacing w:line="240" w:lineRule="auto"/>
        <w:ind w:firstLine="0"/>
        <w:rPr>
          <w:color w:val="000000"/>
          <w:sz w:val="20"/>
          <w:szCs w:val="20"/>
        </w:rPr>
      </w:pPr>
      <w:r>
        <w:rPr>
          <w:rStyle w:val="FootnoteCharacters"/>
        </w:rPr>
        <w:endnoteRef/>
      </w:r>
      <w:r>
        <w:rPr>
          <w:color w:val="000000"/>
          <w:sz w:val="20"/>
          <w:szCs w:val="20"/>
        </w:rPr>
        <w:t xml:space="preserve"> Multiple independent meta-analyses found that DARE had no statistically significant effect on actual drug use behavior, despite operating in roughly 75 percent of American school districts at its peak. A five-year longitudinal study found no significant differences between DARE and comparison schools in cigarette, alcohol, or marijuana use, with any initial positive effects on attitudes decaying over time. The U.S. Department of Education eventually prohibited schools from spending its funding on DARE. The program's leadership responded to negative findings not by revising the curriculum but by attacking the researchers, calling peer-reviewed studies </w:t>
      </w:r>
      <w:r w:rsidR="00463E2E">
        <w:rPr>
          <w:color w:val="000000"/>
          <w:sz w:val="20"/>
          <w:szCs w:val="20"/>
        </w:rPr>
        <w:t>"</w:t>
      </w:r>
      <w:r>
        <w:rPr>
          <w:color w:val="000000"/>
          <w:sz w:val="20"/>
          <w:szCs w:val="20"/>
        </w:rPr>
        <w:t>bogus</w:t>
      </w:r>
      <w:r w:rsidR="00463E2E">
        <w:rPr>
          <w:color w:val="000000"/>
          <w:sz w:val="20"/>
          <w:szCs w:val="20"/>
        </w:rPr>
        <w:t>"</w:t>
      </w:r>
      <w:r>
        <w:rPr>
          <w:color w:val="000000"/>
          <w:sz w:val="20"/>
          <w:szCs w:val="20"/>
        </w:rPr>
        <w:t xml:space="preserve"> and </w:t>
      </w:r>
      <w:r w:rsidR="00463E2E">
        <w:rPr>
          <w:color w:val="000000"/>
          <w:sz w:val="20"/>
          <w:szCs w:val="20"/>
        </w:rPr>
        <w:t>"</w:t>
      </w:r>
      <w:r>
        <w:rPr>
          <w:color w:val="000000"/>
          <w:sz w:val="20"/>
          <w:szCs w:val="20"/>
        </w:rPr>
        <w:t>voodoo science</w:t>
      </w:r>
      <w:r w:rsidR="00463E2E">
        <w:rPr>
          <w:color w:val="000000"/>
          <w:sz w:val="20"/>
          <w:szCs w:val="20"/>
        </w:rPr>
        <w:t>"</w:t>
      </w:r>
      <w:r>
        <w:rPr>
          <w:color w:val="000000"/>
          <w:sz w:val="20"/>
          <w:szCs w:val="20"/>
        </w:rPr>
        <w:t>.A pattern consistent with the feelings-as-proof dynamic described in this chapter.</w:t>
      </w:r>
    </w:p>
    <w:p w14:paraId="29EABB8D" w14:textId="77777777" w:rsidR="00E25CED" w:rsidRDefault="00E25CED">
      <w:pPr>
        <w:spacing w:line="240" w:lineRule="auto"/>
        <w:ind w:firstLine="0"/>
        <w:rPr>
          <w:color w:val="000000"/>
          <w:sz w:val="20"/>
          <w:szCs w:val="20"/>
        </w:rPr>
      </w:pPr>
    </w:p>
    <w:p w14:paraId="2D29D130" w14:textId="413C547B" w:rsidR="00E25CED" w:rsidRDefault="00E25CED">
      <w:pPr>
        <w:spacing w:line="240" w:lineRule="auto"/>
        <w:ind w:firstLine="0"/>
        <w:rPr>
          <w:color w:val="000000"/>
          <w:sz w:val="20"/>
          <w:szCs w:val="20"/>
        </w:rPr>
      </w:pPr>
      <w:r>
        <w:rPr>
          <w:color w:val="000000"/>
          <w:sz w:val="20"/>
          <w:szCs w:val="20"/>
        </w:rPr>
        <w:t xml:space="preserve">West, Steven L., and Keri K. O'Neal. </w:t>
      </w:r>
      <w:r w:rsidR="00463E2E">
        <w:rPr>
          <w:color w:val="000000"/>
          <w:sz w:val="20"/>
          <w:szCs w:val="20"/>
        </w:rPr>
        <w:t>"</w:t>
      </w:r>
      <w:r>
        <w:rPr>
          <w:color w:val="000000"/>
          <w:sz w:val="20"/>
          <w:szCs w:val="20"/>
        </w:rPr>
        <w:t>Project D.A.R.E. Outcome Effectiveness Revisited.</w:t>
      </w:r>
      <w:r w:rsidR="00463E2E">
        <w:rPr>
          <w:color w:val="000000"/>
          <w:sz w:val="20"/>
          <w:szCs w:val="20"/>
        </w:rPr>
        <w:t>"</w:t>
      </w:r>
      <w:r>
        <w:rPr>
          <w:color w:val="000000"/>
          <w:sz w:val="20"/>
          <w:szCs w:val="20"/>
        </w:rPr>
        <w:t xml:space="preserve"> American Journal of Preventive Medicine 27, no. 1 (2004): 2–10.</w:t>
      </w:r>
    </w:p>
    <w:p w14:paraId="384AE46C" w14:textId="77777777" w:rsidR="00E25CED" w:rsidRDefault="00E25CED">
      <w:pPr>
        <w:spacing w:line="240" w:lineRule="auto"/>
        <w:ind w:firstLine="0"/>
        <w:rPr>
          <w:color w:val="000000"/>
          <w:sz w:val="20"/>
          <w:szCs w:val="20"/>
        </w:rPr>
      </w:pPr>
    </w:p>
    <w:p w14:paraId="2C29CFBD" w14:textId="06BE574E" w:rsidR="00E25CED" w:rsidRDefault="00E25CED">
      <w:pPr>
        <w:spacing w:line="240" w:lineRule="auto"/>
        <w:ind w:firstLine="0"/>
        <w:rPr>
          <w:color w:val="000000"/>
          <w:sz w:val="20"/>
          <w:szCs w:val="20"/>
        </w:rPr>
      </w:pPr>
      <w:r>
        <w:rPr>
          <w:color w:val="000000"/>
          <w:sz w:val="20"/>
          <w:szCs w:val="20"/>
        </w:rPr>
        <w:t xml:space="preserve">Ennett, Susan T., Nancy S. Tobler, Christopher L. Ringwalt, and Robert L. Flewelling. </w:t>
      </w:r>
      <w:r w:rsidR="00463E2E">
        <w:rPr>
          <w:color w:val="000000"/>
          <w:sz w:val="20"/>
          <w:szCs w:val="20"/>
        </w:rPr>
        <w:t>"</w:t>
      </w:r>
      <w:r>
        <w:rPr>
          <w:color w:val="000000"/>
          <w:sz w:val="20"/>
          <w:szCs w:val="20"/>
        </w:rPr>
        <w:t>How Effective Is Drug Abuse Resistance Education? A Meta-Analysis of Project DARE Outcome Evaluations.</w:t>
      </w:r>
      <w:r w:rsidR="00463E2E">
        <w:rPr>
          <w:color w:val="000000"/>
          <w:sz w:val="20"/>
          <w:szCs w:val="20"/>
        </w:rPr>
        <w:t>"</w:t>
      </w:r>
      <w:r>
        <w:rPr>
          <w:color w:val="000000"/>
          <w:sz w:val="20"/>
          <w:szCs w:val="20"/>
        </w:rPr>
        <w:t xml:space="preserve"> American Journal of Public Health 84, no. 9 (1994): 1394–1401.</w:t>
      </w:r>
    </w:p>
    <w:p w14:paraId="5B134A98" w14:textId="77777777" w:rsidR="00E25CED" w:rsidRDefault="00E25CED">
      <w:pPr>
        <w:spacing w:line="240" w:lineRule="auto"/>
        <w:ind w:firstLine="0"/>
        <w:rPr>
          <w:color w:val="000000"/>
          <w:sz w:val="20"/>
          <w:szCs w:val="20"/>
        </w:rPr>
      </w:pPr>
    </w:p>
    <w:p w14:paraId="0E218742" w14:textId="4EA6295E" w:rsidR="00E25CED" w:rsidRDefault="00E25CED">
      <w:pPr>
        <w:spacing w:line="240" w:lineRule="auto"/>
        <w:ind w:firstLine="0"/>
        <w:rPr>
          <w:color w:val="000000"/>
          <w:sz w:val="20"/>
          <w:szCs w:val="20"/>
        </w:rPr>
      </w:pPr>
      <w:r>
        <w:rPr>
          <w:color w:val="000000"/>
          <w:sz w:val="20"/>
          <w:szCs w:val="20"/>
        </w:rPr>
        <w:t xml:space="preserve">Rosenbaum, Dennis P., Robert L. Flewelling, Susan L. Bailey, Chris L. Ringwalt, and Deanna L. Wilkinson. </w:t>
      </w:r>
      <w:r w:rsidR="00463E2E">
        <w:rPr>
          <w:color w:val="000000"/>
          <w:sz w:val="20"/>
          <w:szCs w:val="20"/>
        </w:rPr>
        <w:t>"</w:t>
      </w:r>
      <w:r>
        <w:rPr>
          <w:color w:val="000000"/>
          <w:sz w:val="20"/>
          <w:szCs w:val="20"/>
        </w:rPr>
        <w:t>Cops in the Classroom: A Longitudinal Evaluation of Drug Abuse Resistance Education (DARE).</w:t>
      </w:r>
      <w:r w:rsidR="00463E2E">
        <w:rPr>
          <w:color w:val="000000"/>
          <w:sz w:val="20"/>
          <w:szCs w:val="20"/>
        </w:rPr>
        <w:t>"</w:t>
      </w:r>
      <w:r>
        <w:rPr>
          <w:color w:val="000000"/>
          <w:sz w:val="20"/>
          <w:szCs w:val="20"/>
        </w:rPr>
        <w:t xml:space="preserve"> Journal of Research in Crime and Delinquency 35, no. 4 (1998): 381–412.</w:t>
      </w:r>
    </w:p>
    <w:p w14:paraId="374EA0E1" w14:textId="77777777" w:rsidR="00E25CED" w:rsidRDefault="00E25CED">
      <w:pPr>
        <w:spacing w:line="240" w:lineRule="auto"/>
        <w:ind w:firstLine="0"/>
        <w:rPr>
          <w:color w:val="000000"/>
          <w:sz w:val="20"/>
          <w:szCs w:val="20"/>
        </w:rPr>
      </w:pPr>
    </w:p>
  </w:endnote>
  <w:endnote w:id="70">
    <w:p w14:paraId="27F27A43" w14:textId="77777777" w:rsidR="00695312" w:rsidRPr="00695312" w:rsidRDefault="00E25CED" w:rsidP="00695312">
      <w:pPr>
        <w:spacing w:line="240" w:lineRule="auto"/>
        <w:ind w:firstLine="0"/>
        <w:rPr>
          <w:color w:val="000000"/>
          <w:sz w:val="20"/>
          <w:szCs w:val="20"/>
        </w:rPr>
      </w:pPr>
      <w:r>
        <w:rPr>
          <w:rStyle w:val="FootnoteCharacters"/>
        </w:rPr>
        <w:endnoteRef/>
      </w:r>
      <w:r>
        <w:rPr>
          <w:color w:val="000000"/>
          <w:sz w:val="20"/>
          <w:szCs w:val="20"/>
        </w:rPr>
        <w:t xml:space="preserve"> </w:t>
      </w:r>
      <w:r w:rsidR="00695312" w:rsidRPr="00695312">
        <w:rPr>
          <w:color w:val="000000"/>
          <w:sz w:val="20"/>
          <w:szCs w:val="20"/>
        </w:rPr>
        <w:t>The "Reading Wars" are the definitive example. Schools spent decades using Whole Language and Balanced Literacy curricula despite cognitive science consistently disproving their effectiveness. A series of investigative reports by American Public Media forced the public reckoning.</w:t>
      </w:r>
    </w:p>
    <w:p w14:paraId="3D470E40" w14:textId="1C4936A2" w:rsidR="00E25CED" w:rsidRDefault="00E25CED">
      <w:pPr>
        <w:spacing w:line="240" w:lineRule="auto"/>
        <w:ind w:firstLine="0"/>
        <w:rPr>
          <w:color w:val="000000"/>
          <w:sz w:val="20"/>
          <w:szCs w:val="20"/>
        </w:rPr>
      </w:pPr>
    </w:p>
    <w:p w14:paraId="69FA739B" w14:textId="4299C080" w:rsidR="00E25CED" w:rsidRDefault="00E25CED">
      <w:pPr>
        <w:spacing w:line="240" w:lineRule="auto"/>
        <w:ind w:firstLine="0"/>
        <w:rPr>
          <w:color w:val="000000"/>
          <w:sz w:val="20"/>
          <w:szCs w:val="20"/>
        </w:rPr>
      </w:pPr>
      <w:r>
        <w:rPr>
          <w:color w:val="000000"/>
          <w:sz w:val="20"/>
          <w:szCs w:val="20"/>
        </w:rPr>
        <w:t xml:space="preserve">Hanford, Emily. </w:t>
      </w:r>
      <w:r w:rsidR="00463E2E">
        <w:rPr>
          <w:color w:val="000000"/>
          <w:sz w:val="20"/>
          <w:szCs w:val="20"/>
        </w:rPr>
        <w:t>"</w:t>
      </w:r>
      <w:r>
        <w:rPr>
          <w:color w:val="000000"/>
          <w:sz w:val="20"/>
          <w:szCs w:val="20"/>
        </w:rPr>
        <w:t>Sold a Story: How Teaching Kids to Read Went So Wrong.</w:t>
      </w:r>
      <w:r w:rsidR="00463E2E">
        <w:rPr>
          <w:color w:val="000000"/>
          <w:sz w:val="20"/>
          <w:szCs w:val="20"/>
        </w:rPr>
        <w:t>"</w:t>
      </w:r>
      <w:r>
        <w:rPr>
          <w:color w:val="000000"/>
          <w:sz w:val="20"/>
          <w:szCs w:val="20"/>
        </w:rPr>
        <w:t xml:space="preserve"> APM Reports, October 20, 2022. </w:t>
      </w:r>
      <w:hyperlink r:id="rId103">
        <w:r>
          <w:rPr>
            <w:rStyle w:val="Hyperlink"/>
            <w:color w:val="467886"/>
            <w:sz w:val="20"/>
            <w:szCs w:val="20"/>
          </w:rPr>
          <w:t>https://features.apmreports.org/sold-a-story/</w:t>
        </w:r>
      </w:hyperlink>
      <w:r>
        <w:rPr>
          <w:color w:val="000000"/>
          <w:sz w:val="20"/>
          <w:szCs w:val="20"/>
        </w:rPr>
        <w:t>.</w:t>
      </w:r>
    </w:p>
    <w:p w14:paraId="4831F0A7" w14:textId="77777777" w:rsidR="00E25CED" w:rsidRDefault="00E25CED">
      <w:pPr>
        <w:spacing w:line="240" w:lineRule="auto"/>
        <w:ind w:firstLine="0"/>
        <w:rPr>
          <w:color w:val="000000"/>
          <w:sz w:val="20"/>
          <w:szCs w:val="20"/>
        </w:rPr>
      </w:pPr>
    </w:p>
    <w:p w14:paraId="3EEA0D5C" w14:textId="465B8CA5" w:rsidR="00E25CED" w:rsidRDefault="00E25CED">
      <w:pPr>
        <w:spacing w:line="240" w:lineRule="auto"/>
        <w:ind w:firstLine="0"/>
        <w:rPr>
          <w:color w:val="000000"/>
          <w:sz w:val="20"/>
          <w:szCs w:val="20"/>
        </w:rPr>
      </w:pPr>
      <w:r>
        <w:rPr>
          <w:color w:val="000000"/>
          <w:sz w:val="20"/>
          <w:szCs w:val="20"/>
        </w:rPr>
        <w:t xml:space="preserve">Castles, Anne, Kathleen Rastle, and Kate Nation. </w:t>
      </w:r>
      <w:r w:rsidR="00463E2E">
        <w:rPr>
          <w:color w:val="000000"/>
          <w:sz w:val="20"/>
          <w:szCs w:val="20"/>
        </w:rPr>
        <w:t>"</w:t>
      </w:r>
      <w:r>
        <w:rPr>
          <w:color w:val="000000"/>
          <w:sz w:val="20"/>
          <w:szCs w:val="20"/>
        </w:rPr>
        <w:t>Ending the Reading Wars: Reading Acquisition From Novice to Expert.</w:t>
      </w:r>
      <w:r w:rsidR="00463E2E">
        <w:rPr>
          <w:color w:val="000000"/>
          <w:sz w:val="20"/>
          <w:szCs w:val="20"/>
        </w:rPr>
        <w:t>"</w:t>
      </w:r>
      <w:r>
        <w:rPr>
          <w:color w:val="000000"/>
          <w:sz w:val="20"/>
          <w:szCs w:val="20"/>
        </w:rPr>
        <w:t xml:space="preserve"> Psychological Science in the Public Interest 19, no. 1 (2018): 5–51.</w:t>
      </w:r>
    </w:p>
    <w:p w14:paraId="340F6255" w14:textId="77777777" w:rsidR="00E25CED" w:rsidRDefault="00E25CED">
      <w:pPr>
        <w:spacing w:line="240" w:lineRule="auto"/>
        <w:ind w:firstLine="0"/>
        <w:rPr>
          <w:color w:val="000000"/>
          <w:sz w:val="20"/>
          <w:szCs w:val="20"/>
        </w:rPr>
      </w:pPr>
    </w:p>
    <w:p w14:paraId="4D3C1D89" w14:textId="54F6F0C8" w:rsidR="00E25CED" w:rsidRDefault="00E25CED">
      <w:pPr>
        <w:spacing w:line="240" w:lineRule="auto"/>
        <w:ind w:firstLine="0"/>
        <w:rPr>
          <w:color w:val="000000"/>
          <w:sz w:val="20"/>
          <w:szCs w:val="20"/>
        </w:rPr>
      </w:pPr>
      <w:r>
        <w:rPr>
          <w:color w:val="000000"/>
          <w:sz w:val="20"/>
          <w:szCs w:val="20"/>
        </w:rPr>
        <w:t xml:space="preserve">Stockard, Jean, Timothy W. Wood, Coughlin, Curby, and Rasplica Khoury. </w:t>
      </w:r>
      <w:r w:rsidR="00463E2E">
        <w:rPr>
          <w:color w:val="000000"/>
          <w:sz w:val="20"/>
          <w:szCs w:val="20"/>
        </w:rPr>
        <w:t>"</w:t>
      </w:r>
      <w:r>
        <w:rPr>
          <w:color w:val="000000"/>
          <w:sz w:val="20"/>
          <w:szCs w:val="20"/>
        </w:rPr>
        <w:t>The Effectiveness of Direct Instruction Curricula: A Meta-Analysis of a Half Century of Research.</w:t>
      </w:r>
      <w:r w:rsidR="00463E2E">
        <w:rPr>
          <w:color w:val="000000"/>
          <w:sz w:val="20"/>
          <w:szCs w:val="20"/>
        </w:rPr>
        <w:t>"</w:t>
      </w:r>
      <w:r>
        <w:rPr>
          <w:color w:val="000000"/>
          <w:sz w:val="20"/>
          <w:szCs w:val="20"/>
        </w:rPr>
        <w:t xml:space="preserve"> Review of Educational Research 88, no. 4 (2018): 479–507.</w:t>
      </w:r>
    </w:p>
    <w:p w14:paraId="59C1BB49" w14:textId="77777777" w:rsidR="00E25CED" w:rsidRDefault="00E25CED">
      <w:pPr>
        <w:spacing w:line="240" w:lineRule="auto"/>
        <w:ind w:firstLine="0"/>
        <w:rPr>
          <w:color w:val="000000"/>
          <w:sz w:val="20"/>
          <w:szCs w:val="20"/>
        </w:rPr>
      </w:pPr>
    </w:p>
  </w:endnote>
  <w:endnote w:id="71">
    <w:p w14:paraId="7E516091" w14:textId="77777777" w:rsidR="00695312" w:rsidRPr="00695312" w:rsidRDefault="00E25CED" w:rsidP="00695312">
      <w:pPr>
        <w:spacing w:line="240" w:lineRule="auto"/>
        <w:ind w:firstLine="0"/>
        <w:rPr>
          <w:color w:val="000000"/>
          <w:sz w:val="20"/>
          <w:szCs w:val="20"/>
        </w:rPr>
      </w:pPr>
      <w:r>
        <w:rPr>
          <w:rStyle w:val="FootnoteCharacters"/>
        </w:rPr>
        <w:endnoteRef/>
      </w:r>
      <w:r>
        <w:rPr>
          <w:color w:val="000000"/>
          <w:sz w:val="20"/>
          <w:szCs w:val="20"/>
        </w:rPr>
        <w:t xml:space="preserve"> </w:t>
      </w:r>
      <w:r w:rsidR="00695312" w:rsidRPr="00695312">
        <w:rPr>
          <w:color w:val="000000"/>
          <w:sz w:val="20"/>
          <w:szCs w:val="20"/>
        </w:rPr>
        <w:t>The CBO estimated a $15 federal minimum wage would cost over a million jobs. The University of Washington's evaluation of the Seattle increase documented reduced hours for low-income workers.</w:t>
      </w:r>
    </w:p>
    <w:p w14:paraId="00A9474E" w14:textId="12F2866D" w:rsidR="00E25CED" w:rsidRDefault="00E25CED">
      <w:pPr>
        <w:spacing w:line="240" w:lineRule="auto"/>
        <w:ind w:firstLine="0"/>
        <w:rPr>
          <w:color w:val="000000"/>
          <w:sz w:val="20"/>
          <w:szCs w:val="20"/>
        </w:rPr>
      </w:pPr>
    </w:p>
    <w:p w14:paraId="792122D2" w14:textId="77777777" w:rsidR="00E25CED" w:rsidRDefault="00E25CED">
      <w:pPr>
        <w:spacing w:line="240" w:lineRule="auto"/>
        <w:ind w:firstLine="0"/>
        <w:rPr>
          <w:color w:val="000000"/>
          <w:sz w:val="20"/>
          <w:szCs w:val="20"/>
        </w:rPr>
      </w:pPr>
      <w:r>
        <w:rPr>
          <w:color w:val="000000"/>
          <w:sz w:val="20"/>
          <w:szCs w:val="20"/>
        </w:rPr>
        <w:t>Congressional Budget Office. The Budgetary Effects of the Raise the Wage Act of 2021. Washington, D.C.: CBO, February 2021.</w:t>
      </w:r>
    </w:p>
    <w:p w14:paraId="0741C7EE" w14:textId="77777777" w:rsidR="00E25CED" w:rsidRDefault="00E25CED">
      <w:pPr>
        <w:spacing w:line="240" w:lineRule="auto"/>
        <w:ind w:firstLine="0"/>
        <w:rPr>
          <w:color w:val="000000"/>
          <w:sz w:val="20"/>
          <w:szCs w:val="20"/>
        </w:rPr>
      </w:pPr>
    </w:p>
    <w:p w14:paraId="52164EA2" w14:textId="3343965B" w:rsidR="00E25CED" w:rsidRDefault="00E25CED">
      <w:pPr>
        <w:spacing w:line="240" w:lineRule="auto"/>
        <w:ind w:firstLine="0"/>
        <w:rPr>
          <w:color w:val="000000"/>
          <w:sz w:val="20"/>
          <w:szCs w:val="20"/>
        </w:rPr>
      </w:pPr>
      <w:r>
        <w:rPr>
          <w:color w:val="000000"/>
          <w:sz w:val="20"/>
          <w:szCs w:val="20"/>
        </w:rPr>
        <w:t xml:space="preserve">Jardim, Ekaterina, et al. </w:t>
      </w:r>
      <w:r w:rsidR="00463E2E">
        <w:rPr>
          <w:color w:val="000000"/>
          <w:sz w:val="20"/>
          <w:szCs w:val="20"/>
        </w:rPr>
        <w:t>"</w:t>
      </w:r>
      <w:r>
        <w:rPr>
          <w:color w:val="000000"/>
          <w:sz w:val="20"/>
          <w:szCs w:val="20"/>
        </w:rPr>
        <w:t>Minimum Wage Increases, Wages, and Low-Wage Employment: Evidence from Seattle.</w:t>
      </w:r>
      <w:r w:rsidR="00463E2E">
        <w:rPr>
          <w:color w:val="000000"/>
          <w:sz w:val="20"/>
          <w:szCs w:val="20"/>
        </w:rPr>
        <w:t>"</w:t>
      </w:r>
      <w:r>
        <w:rPr>
          <w:color w:val="000000"/>
          <w:sz w:val="20"/>
          <w:szCs w:val="20"/>
        </w:rPr>
        <w:t xml:space="preserve"> American Economic Journal: Economic Policy 14, no. 2 (2022): 263–314.</w:t>
      </w:r>
    </w:p>
    <w:p w14:paraId="4AE8A9A3" w14:textId="77777777" w:rsidR="00E25CED" w:rsidRDefault="00E25CED">
      <w:pPr>
        <w:spacing w:line="240" w:lineRule="auto"/>
        <w:ind w:firstLine="0"/>
        <w:rPr>
          <w:color w:val="000000"/>
          <w:sz w:val="20"/>
          <w:szCs w:val="20"/>
        </w:rPr>
      </w:pPr>
    </w:p>
  </w:endnote>
  <w:endnote w:id="72">
    <w:p w14:paraId="636872FC" w14:textId="77777777" w:rsidR="00695312" w:rsidRPr="00695312" w:rsidRDefault="00E25CED" w:rsidP="00695312">
      <w:pPr>
        <w:spacing w:line="240" w:lineRule="auto"/>
        <w:ind w:firstLine="0"/>
        <w:rPr>
          <w:color w:val="000000"/>
          <w:sz w:val="20"/>
          <w:szCs w:val="20"/>
        </w:rPr>
      </w:pPr>
      <w:r>
        <w:rPr>
          <w:rStyle w:val="FootnoteCharacters"/>
        </w:rPr>
        <w:endnoteRef/>
      </w:r>
      <w:r>
        <w:rPr>
          <w:color w:val="000000"/>
          <w:sz w:val="20"/>
          <w:szCs w:val="20"/>
        </w:rPr>
        <w:t xml:space="preserve"> </w:t>
      </w:r>
      <w:r w:rsidR="00695312" w:rsidRPr="00695312">
        <w:rPr>
          <w:color w:val="000000"/>
          <w:sz w:val="20"/>
          <w:szCs w:val="20"/>
        </w:rPr>
        <w:t>Experimental work supports a "stress-induced deliberation-to-intuition" model in which stress biases people away from analytic reasoning toward faster, heuristic responses. Attention studies find a corresponding "attentional threat advantage" under stress.</w:t>
      </w:r>
    </w:p>
    <w:p w14:paraId="2A3CA1CA" w14:textId="39102163" w:rsidR="00E25CED" w:rsidRDefault="00E25CED">
      <w:pPr>
        <w:spacing w:line="240" w:lineRule="auto"/>
        <w:ind w:firstLine="0"/>
        <w:rPr>
          <w:color w:val="000000"/>
          <w:sz w:val="20"/>
          <w:szCs w:val="20"/>
        </w:rPr>
      </w:pPr>
    </w:p>
    <w:p w14:paraId="731786B7" w14:textId="4FEF57ED" w:rsidR="00E25CED" w:rsidRDefault="00E25CED">
      <w:pPr>
        <w:spacing w:line="240" w:lineRule="auto"/>
        <w:ind w:firstLine="0"/>
        <w:rPr>
          <w:color w:val="000000"/>
          <w:sz w:val="20"/>
          <w:szCs w:val="20"/>
        </w:rPr>
      </w:pPr>
      <w:r>
        <w:rPr>
          <w:color w:val="000000"/>
          <w:sz w:val="20"/>
          <w:szCs w:val="20"/>
        </w:rPr>
        <w:t xml:space="preserve">Starcke, Katrin, and Matthias Brand. </w:t>
      </w:r>
      <w:r w:rsidR="00463E2E">
        <w:rPr>
          <w:color w:val="000000"/>
          <w:sz w:val="20"/>
          <w:szCs w:val="20"/>
        </w:rPr>
        <w:t>"</w:t>
      </w:r>
      <w:r>
        <w:rPr>
          <w:color w:val="000000"/>
          <w:sz w:val="20"/>
          <w:szCs w:val="20"/>
        </w:rPr>
        <w:t>Decision Making Under Stress: A Selective Review.</w:t>
      </w:r>
      <w:r w:rsidR="00463E2E">
        <w:rPr>
          <w:color w:val="000000"/>
          <w:sz w:val="20"/>
          <w:szCs w:val="20"/>
        </w:rPr>
        <w:t>"</w:t>
      </w:r>
      <w:r>
        <w:rPr>
          <w:color w:val="000000"/>
          <w:sz w:val="20"/>
          <w:szCs w:val="20"/>
        </w:rPr>
        <w:t> Neuroscience and Biobehavioral Reviews 36, no. 4 (2012): 1228–1248. </w:t>
      </w:r>
      <w:hyperlink r:id="rId104">
        <w:r>
          <w:rPr>
            <w:rStyle w:val="Hyperlink"/>
            <w:color w:val="467886"/>
            <w:sz w:val="20"/>
            <w:szCs w:val="20"/>
          </w:rPr>
          <w:t>https://doi.org/10.1016/j.neubiorev.2012.02.003.</w:t>
        </w:r>
      </w:hyperlink>
      <w:r>
        <w:rPr>
          <w:color w:val="000000"/>
          <w:sz w:val="20"/>
          <w:szCs w:val="20"/>
        </w:rPr>
        <w:t>​</w:t>
      </w:r>
    </w:p>
    <w:p w14:paraId="68980D7E" w14:textId="77777777" w:rsidR="00E25CED" w:rsidRDefault="00E25CED">
      <w:pPr>
        <w:spacing w:line="240" w:lineRule="auto"/>
        <w:ind w:firstLine="0"/>
        <w:rPr>
          <w:color w:val="000000"/>
          <w:sz w:val="20"/>
          <w:szCs w:val="20"/>
        </w:rPr>
      </w:pPr>
    </w:p>
    <w:p w14:paraId="2C4A9415" w14:textId="08D67F71" w:rsidR="00E25CED" w:rsidRDefault="00E25CED">
      <w:pPr>
        <w:spacing w:line="240" w:lineRule="auto"/>
        <w:ind w:firstLine="0"/>
        <w:rPr>
          <w:color w:val="000000"/>
          <w:sz w:val="20"/>
          <w:szCs w:val="20"/>
        </w:rPr>
      </w:pPr>
      <w:r>
        <w:rPr>
          <w:color w:val="000000"/>
          <w:sz w:val="20"/>
          <w:szCs w:val="20"/>
        </w:rPr>
        <w:t xml:space="preserve">Yu, Rongjun. </w:t>
      </w:r>
      <w:r w:rsidR="00463E2E">
        <w:rPr>
          <w:color w:val="000000"/>
          <w:sz w:val="20"/>
          <w:szCs w:val="20"/>
        </w:rPr>
        <w:t>"</w:t>
      </w:r>
      <w:r>
        <w:rPr>
          <w:color w:val="000000"/>
          <w:sz w:val="20"/>
          <w:szCs w:val="20"/>
        </w:rPr>
        <w:t>Stress potentiates decision biases: A stress induced deliberation-to-intuition (SIDI) model.</w:t>
      </w:r>
      <w:r w:rsidR="00463E2E">
        <w:rPr>
          <w:color w:val="000000"/>
          <w:sz w:val="20"/>
          <w:szCs w:val="20"/>
        </w:rPr>
        <w:t>"</w:t>
      </w:r>
      <w:r>
        <w:rPr>
          <w:color w:val="000000"/>
          <w:sz w:val="20"/>
          <w:szCs w:val="20"/>
        </w:rPr>
        <w:t xml:space="preserve"> </w:t>
      </w:r>
      <w:r>
        <w:rPr>
          <w:i/>
          <w:iCs/>
          <w:color w:val="000000"/>
          <w:sz w:val="20"/>
          <w:szCs w:val="20"/>
        </w:rPr>
        <w:t>Neurobiology of Stress</w:t>
      </w:r>
      <w:r>
        <w:rPr>
          <w:color w:val="000000"/>
          <w:sz w:val="20"/>
          <w:szCs w:val="20"/>
        </w:rPr>
        <w:t xml:space="preserve"> 3 (2016): 83–95.</w:t>
      </w:r>
    </w:p>
    <w:p w14:paraId="441FC664" w14:textId="77777777" w:rsidR="00E25CED" w:rsidRDefault="00E25CED">
      <w:pPr>
        <w:spacing w:line="240" w:lineRule="auto"/>
        <w:ind w:firstLine="0"/>
        <w:rPr>
          <w:color w:val="000000"/>
          <w:sz w:val="20"/>
          <w:szCs w:val="20"/>
        </w:rPr>
      </w:pPr>
    </w:p>
    <w:p w14:paraId="120ABF3A" w14:textId="67010A84" w:rsidR="00E25CED" w:rsidRDefault="00E25CED">
      <w:pPr>
        <w:spacing w:line="240" w:lineRule="auto"/>
        <w:ind w:firstLine="0"/>
        <w:rPr>
          <w:color w:val="000000"/>
          <w:sz w:val="20"/>
          <w:szCs w:val="20"/>
        </w:rPr>
      </w:pPr>
      <w:r>
        <w:rPr>
          <w:color w:val="000000"/>
          <w:sz w:val="20"/>
          <w:szCs w:val="20"/>
        </w:rPr>
        <w:t xml:space="preserve">Bar-Haim, Yair, et al. </w:t>
      </w:r>
      <w:r w:rsidR="00463E2E">
        <w:rPr>
          <w:color w:val="000000"/>
          <w:sz w:val="20"/>
          <w:szCs w:val="20"/>
        </w:rPr>
        <w:t>"</w:t>
      </w:r>
      <w:r>
        <w:rPr>
          <w:color w:val="000000"/>
          <w:sz w:val="20"/>
          <w:szCs w:val="20"/>
        </w:rPr>
        <w:t>Threat-Related Attentional Bias in Anxious and Nonanxious Individuals: A Meta-Analytic Study.</w:t>
      </w:r>
      <w:r w:rsidR="00463E2E">
        <w:rPr>
          <w:color w:val="000000"/>
          <w:sz w:val="20"/>
          <w:szCs w:val="20"/>
        </w:rPr>
        <w:t>"</w:t>
      </w:r>
      <w:r>
        <w:rPr>
          <w:color w:val="000000"/>
          <w:sz w:val="20"/>
          <w:szCs w:val="20"/>
        </w:rPr>
        <w:t> Psychological Bulletin 133, no. 1 (2007): 1–24. </w:t>
      </w:r>
      <w:hyperlink r:id="rId105">
        <w:r>
          <w:rPr>
            <w:rStyle w:val="Hyperlink"/>
            <w:color w:val="467886"/>
            <w:sz w:val="20"/>
            <w:szCs w:val="20"/>
          </w:rPr>
          <w:t>https://doi.org/10.1037/0033-2909.133.1.1.</w:t>
        </w:r>
      </w:hyperlink>
      <w:r>
        <w:rPr>
          <w:color w:val="000000"/>
          <w:sz w:val="20"/>
          <w:szCs w:val="20"/>
        </w:rPr>
        <w:t>​</w:t>
      </w:r>
    </w:p>
    <w:p w14:paraId="0F3FE511" w14:textId="77777777" w:rsidR="00E25CED" w:rsidRDefault="00E25CED">
      <w:pPr>
        <w:spacing w:line="240" w:lineRule="auto"/>
        <w:ind w:firstLine="0"/>
        <w:rPr>
          <w:color w:val="000000"/>
          <w:sz w:val="20"/>
          <w:szCs w:val="20"/>
        </w:rPr>
      </w:pPr>
    </w:p>
  </w:endnote>
  <w:endnote w:id="73">
    <w:p w14:paraId="46DA89CE" w14:textId="77777777" w:rsidR="00695312" w:rsidRPr="00695312" w:rsidRDefault="00E25CED" w:rsidP="00695312">
      <w:pPr>
        <w:spacing w:line="240" w:lineRule="auto"/>
        <w:ind w:firstLine="0"/>
        <w:rPr>
          <w:color w:val="000000"/>
          <w:sz w:val="20"/>
          <w:szCs w:val="20"/>
        </w:rPr>
      </w:pPr>
      <w:r>
        <w:rPr>
          <w:rStyle w:val="FootnoteCharacters"/>
        </w:rPr>
        <w:endnoteRef/>
      </w:r>
      <w:r>
        <w:rPr>
          <w:color w:val="000000"/>
          <w:sz w:val="20"/>
          <w:szCs w:val="20"/>
        </w:rPr>
        <w:t xml:space="preserve"> </w:t>
      </w:r>
      <w:r w:rsidR="00695312" w:rsidRPr="00695312">
        <w:rPr>
          <w:color w:val="000000"/>
          <w:sz w:val="20"/>
          <w:szCs w:val="20"/>
        </w:rPr>
        <w:t>fMRI research found that when politically important beliefs were challenged, activity increased in brain regions associated with self-representation and threat processing, including the amygdala and insula, a pattern consistent with the brain treating identity-challenges as threats.</w:t>
      </w:r>
    </w:p>
    <w:p w14:paraId="34175EE6" w14:textId="48E58E62" w:rsidR="00E25CED" w:rsidRDefault="00E25CED">
      <w:pPr>
        <w:spacing w:line="240" w:lineRule="auto"/>
        <w:ind w:firstLine="0"/>
        <w:rPr>
          <w:color w:val="000000"/>
          <w:sz w:val="20"/>
          <w:szCs w:val="20"/>
        </w:rPr>
      </w:pPr>
    </w:p>
    <w:p w14:paraId="7FA07D03" w14:textId="419369C8" w:rsidR="00E25CED" w:rsidRDefault="00E25CED">
      <w:pPr>
        <w:spacing w:line="240" w:lineRule="auto"/>
        <w:ind w:firstLine="0"/>
        <w:rPr>
          <w:color w:val="000000"/>
          <w:sz w:val="20"/>
          <w:szCs w:val="20"/>
        </w:rPr>
      </w:pPr>
      <w:r>
        <w:rPr>
          <w:color w:val="000000"/>
          <w:sz w:val="20"/>
          <w:szCs w:val="20"/>
        </w:rPr>
        <w:t xml:space="preserve">Kaplan, Jonas T., Sarah I. Gimbel, and Sam Harris. </w:t>
      </w:r>
      <w:r w:rsidR="00463E2E">
        <w:rPr>
          <w:color w:val="000000"/>
          <w:sz w:val="20"/>
          <w:szCs w:val="20"/>
        </w:rPr>
        <w:t>"</w:t>
      </w:r>
      <w:r>
        <w:rPr>
          <w:color w:val="000000"/>
          <w:sz w:val="20"/>
          <w:szCs w:val="20"/>
        </w:rPr>
        <w:t>Neural Correlates of Maintaining One</w:t>
      </w:r>
      <w:r w:rsidR="00463E2E">
        <w:rPr>
          <w:color w:val="000000"/>
          <w:sz w:val="20"/>
          <w:szCs w:val="20"/>
        </w:rPr>
        <w:t>'</w:t>
      </w:r>
      <w:r>
        <w:rPr>
          <w:color w:val="000000"/>
          <w:sz w:val="20"/>
          <w:szCs w:val="20"/>
        </w:rPr>
        <w:t>s Political Beliefs in the Face of Counterevidence.</w:t>
      </w:r>
      <w:r w:rsidR="00463E2E">
        <w:rPr>
          <w:color w:val="000000"/>
          <w:sz w:val="20"/>
          <w:szCs w:val="20"/>
        </w:rPr>
        <w:t>"</w:t>
      </w:r>
      <w:r>
        <w:rPr>
          <w:color w:val="000000"/>
          <w:sz w:val="20"/>
          <w:szCs w:val="20"/>
        </w:rPr>
        <w:t> Scientific Reports 7, no. 1 (2016). </w:t>
      </w:r>
      <w:hyperlink r:id="rId106">
        <w:r>
          <w:rPr>
            <w:rStyle w:val="Hyperlink"/>
            <w:color w:val="467886"/>
            <w:sz w:val="20"/>
            <w:szCs w:val="20"/>
          </w:rPr>
          <w:t>https://doi.org/10.1038/srep39589.</w:t>
        </w:r>
      </w:hyperlink>
      <w:r>
        <w:rPr>
          <w:color w:val="000000"/>
          <w:sz w:val="20"/>
          <w:szCs w:val="20"/>
        </w:rPr>
        <w:t>​</w:t>
      </w:r>
    </w:p>
    <w:p w14:paraId="4AE8C5AA" w14:textId="77777777" w:rsidR="00E25CED" w:rsidRDefault="00E25CED">
      <w:pPr>
        <w:spacing w:line="240" w:lineRule="auto"/>
        <w:ind w:firstLine="0"/>
        <w:rPr>
          <w:color w:val="000000"/>
          <w:sz w:val="20"/>
          <w:szCs w:val="20"/>
        </w:rPr>
      </w:pPr>
    </w:p>
    <w:p w14:paraId="1CAEE411" w14:textId="5A1F14E6" w:rsidR="00E25CED" w:rsidRDefault="00E25CED">
      <w:pPr>
        <w:spacing w:line="240" w:lineRule="auto"/>
        <w:ind w:firstLine="0"/>
        <w:rPr>
          <w:color w:val="000000"/>
          <w:sz w:val="20"/>
          <w:szCs w:val="20"/>
        </w:rPr>
      </w:pPr>
      <w:r>
        <w:rPr>
          <w:color w:val="000000"/>
          <w:sz w:val="20"/>
          <w:szCs w:val="20"/>
        </w:rPr>
        <w:t xml:space="preserve">Banich, Marie T., et al. </w:t>
      </w:r>
      <w:r w:rsidR="00463E2E">
        <w:rPr>
          <w:color w:val="000000"/>
          <w:sz w:val="20"/>
          <w:szCs w:val="20"/>
        </w:rPr>
        <w:t>"</w:t>
      </w:r>
      <w:r>
        <w:rPr>
          <w:color w:val="000000"/>
          <w:sz w:val="20"/>
          <w:szCs w:val="20"/>
        </w:rPr>
        <w:t>Trust in Information, Political Identity and the Brain.</w:t>
      </w:r>
      <w:r w:rsidR="00463E2E">
        <w:rPr>
          <w:color w:val="000000"/>
          <w:sz w:val="20"/>
          <w:szCs w:val="20"/>
        </w:rPr>
        <w:t>"</w:t>
      </w:r>
      <w:r>
        <w:rPr>
          <w:color w:val="000000"/>
          <w:sz w:val="20"/>
          <w:szCs w:val="20"/>
        </w:rPr>
        <w:t> Philosophical Transactions of the Royal Society B 376, no. 1822 (2021). </w:t>
      </w:r>
      <w:hyperlink r:id="rId107">
        <w:r>
          <w:rPr>
            <w:rStyle w:val="Hyperlink"/>
            <w:color w:val="467886"/>
            <w:sz w:val="20"/>
            <w:szCs w:val="20"/>
          </w:rPr>
          <w:t>https://doi.org/10.1098/rstb.2020.0138.</w:t>
        </w:r>
      </w:hyperlink>
      <w:r>
        <w:rPr>
          <w:color w:val="000000"/>
          <w:sz w:val="20"/>
          <w:szCs w:val="20"/>
        </w:rPr>
        <w:t>​</w:t>
      </w:r>
    </w:p>
    <w:p w14:paraId="7C700FD4" w14:textId="77777777" w:rsidR="00E25CED" w:rsidRDefault="00E25CED">
      <w:pPr>
        <w:spacing w:line="240" w:lineRule="auto"/>
        <w:ind w:firstLine="0"/>
        <w:rPr>
          <w:color w:val="000000"/>
          <w:sz w:val="20"/>
          <w:szCs w:val="20"/>
        </w:rPr>
      </w:pPr>
    </w:p>
  </w:endnote>
  <w:endnote w:id="74">
    <w:p w14:paraId="721C25EF" w14:textId="77777777" w:rsidR="00E25CED" w:rsidRDefault="00E25CED">
      <w:pPr>
        <w:spacing w:line="240" w:lineRule="auto"/>
        <w:ind w:firstLine="0"/>
        <w:rPr>
          <w:color w:val="000000"/>
          <w:sz w:val="20"/>
          <w:szCs w:val="20"/>
        </w:rPr>
      </w:pPr>
      <w:r>
        <w:rPr>
          <w:rStyle w:val="FootnoteCharacters"/>
        </w:rPr>
        <w:endnoteRef/>
      </w:r>
      <w:r>
        <w:rPr>
          <w:color w:val="000000"/>
          <w:sz w:val="20"/>
          <w:szCs w:val="20"/>
        </w:rPr>
        <w:t xml:space="preserve"> Research on belief maintenance and decision-making under threat indicates that when individuals confront challenges to strongly held beliefs or make decisions under stress, activity in prefrontal regions associated with controlled, deliberative processing can diminish, while limbic structures involved in emotional and threat processing, including the amygdala, become more engaged. In the political-belief fMRI study, resistance to changing beliefs correlated with increased activation in emotion- and self-related regions (insula, amygdala, and parts of the default mode network) and decreased activation in orbitofrontal cortex, suggesting a shift away from flexible evaluation toward emotionally driven maintenance of prior views. Broader neurocognitive models of stress and threat processing describe how heightened amygdala reactivity can bias processing toward rapid threat detection while downregulating some prefrontal functions involved in nuanced reasoning and cognitive control. While the precise pattern can vary by task and region, the converging evidence supports the general idea that under perceived threat, emotional/threat circuitry like the amygdala becomes more active and prefrontal regions supporting nuanced reasoning can become less dominant in guiding behavior.​</w:t>
      </w:r>
    </w:p>
    <w:p w14:paraId="3CE82DA6" w14:textId="77777777" w:rsidR="00E25CED" w:rsidRDefault="00E25CED">
      <w:pPr>
        <w:spacing w:line="240" w:lineRule="auto"/>
        <w:ind w:firstLine="0"/>
        <w:rPr>
          <w:color w:val="000000"/>
          <w:sz w:val="20"/>
          <w:szCs w:val="20"/>
        </w:rPr>
      </w:pPr>
    </w:p>
    <w:p w14:paraId="322BFB78" w14:textId="7EB7A250" w:rsidR="00E25CED" w:rsidRDefault="00E25CED">
      <w:pPr>
        <w:spacing w:line="240" w:lineRule="auto"/>
        <w:ind w:firstLine="0"/>
        <w:rPr>
          <w:color w:val="000000"/>
          <w:sz w:val="20"/>
          <w:szCs w:val="20"/>
        </w:rPr>
      </w:pPr>
      <w:r>
        <w:rPr>
          <w:color w:val="000000"/>
          <w:sz w:val="20"/>
          <w:szCs w:val="20"/>
        </w:rPr>
        <w:t xml:space="preserve">Kaplan, Jonas T., Sarah I. Gimbel, and Sam Harris. </w:t>
      </w:r>
      <w:r w:rsidR="00463E2E">
        <w:rPr>
          <w:color w:val="000000"/>
          <w:sz w:val="20"/>
          <w:szCs w:val="20"/>
        </w:rPr>
        <w:t>"</w:t>
      </w:r>
      <w:r>
        <w:rPr>
          <w:color w:val="000000"/>
          <w:sz w:val="20"/>
          <w:szCs w:val="20"/>
        </w:rPr>
        <w:t>Neural Correlates of Maintaining One</w:t>
      </w:r>
      <w:r w:rsidR="00463E2E">
        <w:rPr>
          <w:color w:val="000000"/>
          <w:sz w:val="20"/>
          <w:szCs w:val="20"/>
        </w:rPr>
        <w:t>'</w:t>
      </w:r>
      <w:r>
        <w:rPr>
          <w:color w:val="000000"/>
          <w:sz w:val="20"/>
          <w:szCs w:val="20"/>
        </w:rPr>
        <w:t>s Political Beliefs in the Face of Counterevidence.</w:t>
      </w:r>
      <w:r w:rsidR="00463E2E">
        <w:rPr>
          <w:color w:val="000000"/>
          <w:sz w:val="20"/>
          <w:szCs w:val="20"/>
        </w:rPr>
        <w:t>"</w:t>
      </w:r>
      <w:r>
        <w:rPr>
          <w:color w:val="000000"/>
          <w:sz w:val="20"/>
          <w:szCs w:val="20"/>
        </w:rPr>
        <w:t> </w:t>
      </w:r>
      <w:r>
        <w:rPr>
          <w:i/>
          <w:iCs/>
          <w:color w:val="000000"/>
          <w:sz w:val="20"/>
          <w:szCs w:val="20"/>
        </w:rPr>
        <w:t>Scientific Reports</w:t>
      </w:r>
      <w:r>
        <w:rPr>
          <w:color w:val="000000"/>
          <w:sz w:val="20"/>
          <w:szCs w:val="20"/>
        </w:rPr>
        <w:t> 7, no. 1 (2016). </w:t>
      </w:r>
      <w:hyperlink r:id="rId108">
        <w:r>
          <w:rPr>
            <w:rStyle w:val="Hyperlink"/>
            <w:b/>
            <w:bCs/>
            <w:color w:val="467886"/>
            <w:sz w:val="20"/>
            <w:szCs w:val="20"/>
          </w:rPr>
          <w:t>https://doi.org/10.1038/srep39589.</w:t>
        </w:r>
      </w:hyperlink>
      <w:r>
        <w:rPr>
          <w:color w:val="000000"/>
          <w:sz w:val="20"/>
          <w:szCs w:val="20"/>
        </w:rPr>
        <w:t>​</w:t>
      </w:r>
    </w:p>
    <w:p w14:paraId="5C5AECFB" w14:textId="77777777" w:rsidR="00E25CED" w:rsidRDefault="00E25CED">
      <w:pPr>
        <w:spacing w:line="240" w:lineRule="auto"/>
        <w:ind w:firstLine="0"/>
        <w:rPr>
          <w:color w:val="000000"/>
          <w:sz w:val="20"/>
          <w:szCs w:val="20"/>
        </w:rPr>
      </w:pPr>
    </w:p>
    <w:p w14:paraId="2742307A" w14:textId="687E70E5" w:rsidR="00E25CED" w:rsidRDefault="00E25CED">
      <w:pPr>
        <w:spacing w:line="240" w:lineRule="auto"/>
        <w:ind w:firstLine="0"/>
        <w:rPr>
          <w:color w:val="000000"/>
          <w:sz w:val="20"/>
          <w:szCs w:val="20"/>
        </w:rPr>
      </w:pPr>
      <w:r>
        <w:rPr>
          <w:color w:val="000000"/>
          <w:sz w:val="20"/>
          <w:szCs w:val="20"/>
        </w:rPr>
        <w:t xml:space="preserve">Gerchen, Martin F., and Benjamin Straube. </w:t>
      </w:r>
      <w:r w:rsidR="00463E2E">
        <w:rPr>
          <w:color w:val="000000"/>
          <w:sz w:val="20"/>
          <w:szCs w:val="20"/>
        </w:rPr>
        <w:t>"</w:t>
      </w:r>
      <w:r>
        <w:rPr>
          <w:color w:val="000000"/>
          <w:sz w:val="20"/>
          <w:szCs w:val="20"/>
        </w:rPr>
        <w:t>The Truth Is in There: Belief Processes in the Human Brain.</w:t>
      </w:r>
      <w:r w:rsidR="00463E2E">
        <w:rPr>
          <w:color w:val="000000"/>
          <w:sz w:val="20"/>
          <w:szCs w:val="20"/>
        </w:rPr>
        <w:t>"</w:t>
      </w:r>
      <w:r>
        <w:rPr>
          <w:color w:val="000000"/>
          <w:sz w:val="20"/>
          <w:szCs w:val="20"/>
        </w:rPr>
        <w:t> </w:t>
      </w:r>
      <w:r>
        <w:rPr>
          <w:i/>
          <w:iCs/>
          <w:color w:val="000000"/>
          <w:sz w:val="20"/>
          <w:szCs w:val="20"/>
        </w:rPr>
        <w:t>Psychophysiology</w:t>
      </w:r>
      <w:r>
        <w:rPr>
          <w:color w:val="000000"/>
          <w:sz w:val="20"/>
          <w:szCs w:val="20"/>
        </w:rPr>
        <w:t> 61, no. 7 (2024): e14561. </w:t>
      </w:r>
      <w:hyperlink r:id="rId109">
        <w:r>
          <w:rPr>
            <w:rStyle w:val="Hyperlink"/>
            <w:b/>
            <w:bCs/>
            <w:color w:val="467886"/>
            <w:sz w:val="20"/>
            <w:szCs w:val="20"/>
          </w:rPr>
          <w:t>https://doi.org/10.1111/psyp.14561.</w:t>
        </w:r>
      </w:hyperlink>
      <w:r>
        <w:rPr>
          <w:color w:val="000000"/>
          <w:sz w:val="20"/>
          <w:szCs w:val="20"/>
        </w:rPr>
        <w:t>​</w:t>
      </w:r>
    </w:p>
    <w:p w14:paraId="314A8340" w14:textId="77777777" w:rsidR="00E25CED" w:rsidRDefault="00E25CED">
      <w:pPr>
        <w:spacing w:line="240" w:lineRule="auto"/>
        <w:ind w:firstLine="0"/>
        <w:rPr>
          <w:color w:val="000000"/>
          <w:sz w:val="20"/>
          <w:szCs w:val="20"/>
        </w:rPr>
      </w:pPr>
    </w:p>
    <w:p w14:paraId="1299FA4E" w14:textId="70858832" w:rsidR="00E25CED" w:rsidRDefault="00E25CED">
      <w:pPr>
        <w:spacing w:line="240" w:lineRule="auto"/>
        <w:ind w:firstLine="0"/>
        <w:rPr>
          <w:color w:val="000000"/>
          <w:sz w:val="20"/>
          <w:szCs w:val="20"/>
        </w:rPr>
      </w:pPr>
      <w:r>
        <w:rPr>
          <w:color w:val="000000"/>
          <w:sz w:val="20"/>
          <w:szCs w:val="20"/>
        </w:rPr>
        <w:t xml:space="preserve">Robinson, Oliver J., et al. </w:t>
      </w:r>
      <w:r w:rsidR="00463E2E">
        <w:rPr>
          <w:color w:val="000000"/>
          <w:sz w:val="20"/>
          <w:szCs w:val="20"/>
        </w:rPr>
        <w:t>"</w:t>
      </w:r>
      <w:r>
        <w:rPr>
          <w:color w:val="000000"/>
          <w:sz w:val="20"/>
          <w:szCs w:val="20"/>
        </w:rPr>
        <w:t>The Influence of Stress on Attentional Bias to Threat: An Angry Face Dot-Probe Study.</w:t>
      </w:r>
      <w:r w:rsidR="00463E2E">
        <w:rPr>
          <w:color w:val="000000"/>
          <w:sz w:val="20"/>
          <w:szCs w:val="20"/>
        </w:rPr>
        <w:t>"</w:t>
      </w:r>
      <w:r>
        <w:rPr>
          <w:color w:val="000000"/>
          <w:sz w:val="20"/>
          <w:szCs w:val="20"/>
        </w:rPr>
        <w:t> </w:t>
      </w:r>
      <w:r>
        <w:rPr>
          <w:i/>
          <w:iCs/>
          <w:color w:val="000000"/>
          <w:sz w:val="20"/>
          <w:szCs w:val="20"/>
        </w:rPr>
        <w:t>Biological Psychology</w:t>
      </w:r>
      <w:r>
        <w:rPr>
          <w:color w:val="000000"/>
          <w:sz w:val="20"/>
          <w:szCs w:val="20"/>
        </w:rPr>
        <w:t> 76, no. 3 (2007): 163–169. </w:t>
      </w:r>
      <w:hyperlink r:id="rId110">
        <w:r>
          <w:rPr>
            <w:rStyle w:val="Hyperlink"/>
            <w:b/>
            <w:bCs/>
            <w:color w:val="467886"/>
            <w:sz w:val="20"/>
            <w:szCs w:val="20"/>
          </w:rPr>
          <w:t>https://doi.org/10.1016/j.biopsycho.2007.07.002.</w:t>
        </w:r>
      </w:hyperlink>
      <w:r>
        <w:rPr>
          <w:color w:val="000000"/>
          <w:sz w:val="20"/>
          <w:szCs w:val="20"/>
        </w:rPr>
        <w:t>​</w:t>
      </w:r>
    </w:p>
    <w:p w14:paraId="382443D3" w14:textId="77777777" w:rsidR="00E25CED" w:rsidRDefault="00E25CED">
      <w:pPr>
        <w:spacing w:line="240" w:lineRule="auto"/>
        <w:ind w:firstLine="0"/>
        <w:rPr>
          <w:color w:val="000000"/>
          <w:sz w:val="20"/>
          <w:szCs w:val="20"/>
        </w:rPr>
      </w:pPr>
    </w:p>
    <w:p w14:paraId="624AC60C" w14:textId="5FD454AC" w:rsidR="00E25CED" w:rsidRDefault="00E25CED">
      <w:pPr>
        <w:spacing w:line="240" w:lineRule="auto"/>
        <w:ind w:firstLine="0"/>
        <w:rPr>
          <w:color w:val="000000"/>
          <w:sz w:val="20"/>
          <w:szCs w:val="20"/>
        </w:rPr>
      </w:pPr>
      <w:r>
        <w:rPr>
          <w:color w:val="000000"/>
          <w:sz w:val="20"/>
          <w:szCs w:val="20"/>
        </w:rPr>
        <w:t xml:space="preserve">Yu, Rongjun. </w:t>
      </w:r>
      <w:r w:rsidR="00463E2E">
        <w:rPr>
          <w:color w:val="000000"/>
          <w:sz w:val="20"/>
          <w:szCs w:val="20"/>
        </w:rPr>
        <w:t>"</w:t>
      </w:r>
      <w:r>
        <w:rPr>
          <w:color w:val="000000"/>
          <w:sz w:val="20"/>
          <w:szCs w:val="20"/>
        </w:rPr>
        <w:t>Stress potentiates decision biases: A stress induced deliberation-to-intuition (SIDI) model.</w:t>
      </w:r>
      <w:r w:rsidR="00463E2E">
        <w:rPr>
          <w:color w:val="000000"/>
          <w:sz w:val="20"/>
          <w:szCs w:val="20"/>
        </w:rPr>
        <w:t>"</w:t>
      </w:r>
      <w:r>
        <w:rPr>
          <w:color w:val="000000"/>
          <w:sz w:val="20"/>
          <w:szCs w:val="20"/>
        </w:rPr>
        <w:t xml:space="preserve"> </w:t>
      </w:r>
      <w:r>
        <w:rPr>
          <w:i/>
          <w:iCs/>
          <w:color w:val="000000"/>
          <w:sz w:val="20"/>
          <w:szCs w:val="20"/>
        </w:rPr>
        <w:t>Neurobiology of Stress</w:t>
      </w:r>
      <w:r>
        <w:rPr>
          <w:color w:val="000000"/>
          <w:sz w:val="20"/>
          <w:szCs w:val="20"/>
        </w:rPr>
        <w:t xml:space="preserve"> 3 (2016): 83–95.</w:t>
      </w:r>
    </w:p>
    <w:p w14:paraId="699CB6BD" w14:textId="77777777" w:rsidR="00E25CED" w:rsidRDefault="00E25CED">
      <w:pPr>
        <w:spacing w:line="240" w:lineRule="auto"/>
        <w:ind w:firstLine="0"/>
        <w:rPr>
          <w:color w:val="000000"/>
          <w:sz w:val="20"/>
          <w:szCs w:val="20"/>
        </w:rPr>
      </w:pPr>
    </w:p>
    <w:p w14:paraId="3C1B5E95" w14:textId="63D70511" w:rsidR="00E25CED" w:rsidRDefault="00463E2E">
      <w:pPr>
        <w:spacing w:line="240" w:lineRule="auto"/>
        <w:ind w:firstLine="0"/>
        <w:rPr>
          <w:color w:val="000000"/>
          <w:sz w:val="20"/>
          <w:szCs w:val="20"/>
        </w:rPr>
      </w:pPr>
      <w:r>
        <w:rPr>
          <w:color w:val="000000"/>
          <w:sz w:val="20"/>
          <w:szCs w:val="20"/>
        </w:rPr>
        <w:t>"</w:t>
      </w:r>
      <w:r w:rsidR="00E25CED">
        <w:rPr>
          <w:color w:val="000000"/>
          <w:sz w:val="20"/>
          <w:szCs w:val="20"/>
        </w:rPr>
        <w:t>The Brain Treats Questions About Beliefs Like Physical Threats. Can This Explain Why Politics Gets So Heated?</w:t>
      </w:r>
      <w:r>
        <w:rPr>
          <w:color w:val="000000"/>
          <w:sz w:val="20"/>
          <w:szCs w:val="20"/>
        </w:rPr>
        <w:t>"</w:t>
      </w:r>
      <w:r w:rsidR="00E25CED">
        <w:rPr>
          <w:color w:val="000000"/>
          <w:sz w:val="20"/>
          <w:szCs w:val="20"/>
        </w:rPr>
        <w:t> </w:t>
      </w:r>
      <w:r w:rsidR="00E25CED">
        <w:rPr>
          <w:i/>
          <w:iCs/>
          <w:color w:val="000000"/>
          <w:sz w:val="20"/>
          <w:szCs w:val="20"/>
        </w:rPr>
        <w:t>Massive Science</w:t>
      </w:r>
      <w:r w:rsidR="00E25CED">
        <w:rPr>
          <w:color w:val="000000"/>
          <w:sz w:val="20"/>
          <w:szCs w:val="20"/>
        </w:rPr>
        <w:t>, January 10, 2018. </w:t>
      </w:r>
      <w:hyperlink r:id="rId111">
        <w:r w:rsidR="00E25CED">
          <w:rPr>
            <w:rStyle w:val="Hyperlink"/>
            <w:b/>
            <w:bCs/>
            <w:color w:val="467886"/>
            <w:sz w:val="20"/>
            <w:szCs w:val="20"/>
          </w:rPr>
          <w:t>https://massivesci.com/articles/brain-political-beliefs-reaction-politics/.</w:t>
        </w:r>
      </w:hyperlink>
      <w:r w:rsidR="00E25CED">
        <w:rPr>
          <w:color w:val="000000"/>
          <w:sz w:val="20"/>
          <w:szCs w:val="20"/>
        </w:rPr>
        <w:t>​</w:t>
      </w:r>
    </w:p>
    <w:p w14:paraId="01083F84" w14:textId="77777777" w:rsidR="00E25CED" w:rsidRDefault="00E25CED">
      <w:pPr>
        <w:spacing w:line="240" w:lineRule="auto"/>
        <w:ind w:firstLine="0"/>
        <w:rPr>
          <w:color w:val="000000"/>
          <w:sz w:val="20"/>
          <w:szCs w:val="20"/>
        </w:rPr>
      </w:pPr>
    </w:p>
  </w:endnote>
  <w:endnote w:id="75">
    <w:p w14:paraId="34796613" w14:textId="1921C58A" w:rsidR="00E25CED" w:rsidRDefault="00E25CED">
      <w:pPr>
        <w:spacing w:line="240" w:lineRule="auto"/>
        <w:ind w:firstLine="0"/>
        <w:rPr>
          <w:color w:val="000000"/>
          <w:sz w:val="20"/>
          <w:szCs w:val="20"/>
        </w:rPr>
      </w:pPr>
      <w:r>
        <w:rPr>
          <w:rStyle w:val="FootnoteCharacters"/>
        </w:rPr>
        <w:endnoteRef/>
      </w:r>
      <w:r>
        <w:rPr>
          <w:color w:val="000000"/>
          <w:sz w:val="20"/>
          <w:szCs w:val="20"/>
        </w:rPr>
        <w:t xml:space="preserve"> The </w:t>
      </w:r>
      <w:r w:rsidR="00463E2E">
        <w:rPr>
          <w:color w:val="000000"/>
          <w:sz w:val="20"/>
          <w:szCs w:val="20"/>
        </w:rPr>
        <w:t>"</w:t>
      </w:r>
      <w:r>
        <w:rPr>
          <w:color w:val="000000"/>
          <w:sz w:val="20"/>
          <w:szCs w:val="20"/>
        </w:rPr>
        <w:t>backfire effect</w:t>
      </w:r>
      <w:r w:rsidR="00463E2E">
        <w:rPr>
          <w:color w:val="000000"/>
          <w:sz w:val="20"/>
          <w:szCs w:val="20"/>
        </w:rPr>
        <w:t>"</w:t>
      </w:r>
      <w:r>
        <w:rPr>
          <w:color w:val="000000"/>
          <w:sz w:val="20"/>
          <w:szCs w:val="20"/>
        </w:rPr>
        <w:t xml:space="preserve"> describes cases where correcting misinformation or challenging a belief leads to stronger endorsement of the original misconception, and it has been documented in some experimental and field studies, particularly in politically charged domains. However, large-scale meta-analytic and multi-study work now suggests that strong backfire effects are relatively rare; on average, corrections tend to move beliefs modestly in the intended direction, though motivated reasoning and identity threat can still limit attitude change. Contemporary reviews therefore treat backfire effects as possible but not typical outcomes, emphasizing that factors such as issue salience, prior strength of belief, and how corrections are framed (e.g., affirming values vs. attacking identity) influence whether people dig in more deeply or update their views. For a general-audience treatment, it is accurate to say that under some conditions, especially when identity is threatened, attempts at correction can backfire by increasing commitment, but this should be framed as an important risk rather than a universal pattern.​</w:t>
      </w:r>
    </w:p>
    <w:p w14:paraId="304DA672" w14:textId="77777777" w:rsidR="00E25CED" w:rsidRDefault="00E25CED">
      <w:pPr>
        <w:spacing w:line="240" w:lineRule="auto"/>
        <w:ind w:firstLine="0"/>
        <w:rPr>
          <w:color w:val="000000"/>
          <w:sz w:val="20"/>
          <w:szCs w:val="20"/>
        </w:rPr>
      </w:pPr>
    </w:p>
    <w:p w14:paraId="2DF72397" w14:textId="0F2661C7" w:rsidR="00E25CED" w:rsidRDefault="00E25CED">
      <w:pPr>
        <w:spacing w:line="240" w:lineRule="auto"/>
        <w:ind w:firstLine="0"/>
        <w:rPr>
          <w:color w:val="000000"/>
          <w:sz w:val="20"/>
          <w:szCs w:val="20"/>
        </w:rPr>
      </w:pPr>
      <w:r>
        <w:rPr>
          <w:color w:val="000000"/>
          <w:sz w:val="20"/>
          <w:szCs w:val="20"/>
        </w:rPr>
        <w:t xml:space="preserve">Swire-Thompson, Briony, et al. </w:t>
      </w:r>
      <w:r w:rsidR="00463E2E">
        <w:rPr>
          <w:color w:val="000000"/>
          <w:sz w:val="20"/>
          <w:szCs w:val="20"/>
        </w:rPr>
        <w:t>"</w:t>
      </w:r>
      <w:r>
        <w:rPr>
          <w:color w:val="000000"/>
          <w:sz w:val="20"/>
          <w:szCs w:val="20"/>
        </w:rPr>
        <w:t>The Backfire Effect After Correcting Misinformation Is Strongly Context Dependent.</w:t>
      </w:r>
      <w:r w:rsidR="00463E2E">
        <w:rPr>
          <w:color w:val="000000"/>
          <w:sz w:val="20"/>
          <w:szCs w:val="20"/>
        </w:rPr>
        <w:t>"</w:t>
      </w:r>
      <w:r>
        <w:rPr>
          <w:color w:val="000000"/>
          <w:sz w:val="20"/>
          <w:szCs w:val="20"/>
        </w:rPr>
        <w:t> </w:t>
      </w:r>
      <w:r>
        <w:rPr>
          <w:i/>
          <w:iCs/>
          <w:color w:val="000000"/>
          <w:sz w:val="20"/>
          <w:szCs w:val="20"/>
        </w:rPr>
        <w:t>Psychological Science</w:t>
      </w:r>
      <w:r>
        <w:rPr>
          <w:color w:val="000000"/>
          <w:sz w:val="20"/>
          <w:szCs w:val="20"/>
        </w:rPr>
        <w:t> 31, no. 6 (2020): 1–16. </w:t>
      </w:r>
      <w:hyperlink r:id="rId112">
        <w:r>
          <w:rPr>
            <w:rStyle w:val="Hyperlink"/>
            <w:b/>
            <w:bCs/>
            <w:color w:val="467886"/>
            <w:sz w:val="20"/>
            <w:szCs w:val="20"/>
          </w:rPr>
          <w:t>https://doi.org/10.1177/0956797620902386.</w:t>
        </w:r>
      </w:hyperlink>
      <w:r>
        <w:rPr>
          <w:color w:val="000000"/>
          <w:sz w:val="20"/>
          <w:szCs w:val="20"/>
        </w:rPr>
        <w:t>​</w:t>
      </w:r>
    </w:p>
    <w:p w14:paraId="7D1D3493" w14:textId="77777777" w:rsidR="00E25CED" w:rsidRDefault="00E25CED">
      <w:pPr>
        <w:spacing w:line="240" w:lineRule="auto"/>
        <w:ind w:firstLine="0"/>
        <w:rPr>
          <w:color w:val="000000"/>
          <w:sz w:val="20"/>
          <w:szCs w:val="20"/>
        </w:rPr>
      </w:pPr>
    </w:p>
    <w:p w14:paraId="6476F65B" w14:textId="155C1614" w:rsidR="00E25CED" w:rsidRDefault="00E25CED">
      <w:pPr>
        <w:spacing w:line="240" w:lineRule="auto"/>
        <w:ind w:firstLine="0"/>
        <w:rPr>
          <w:color w:val="000000"/>
          <w:sz w:val="20"/>
          <w:szCs w:val="20"/>
        </w:rPr>
      </w:pPr>
      <w:r>
        <w:rPr>
          <w:color w:val="000000"/>
          <w:sz w:val="20"/>
          <w:szCs w:val="20"/>
        </w:rPr>
        <w:t xml:space="preserve">Wood, Thomas, and Ethan Porter. </w:t>
      </w:r>
      <w:r w:rsidR="00463E2E">
        <w:rPr>
          <w:color w:val="000000"/>
          <w:sz w:val="20"/>
          <w:szCs w:val="20"/>
        </w:rPr>
        <w:t>"</w:t>
      </w:r>
      <w:r>
        <w:rPr>
          <w:color w:val="000000"/>
          <w:sz w:val="20"/>
          <w:szCs w:val="20"/>
        </w:rPr>
        <w:t>The Elusive Backfire Effect: Mass Attitudes</w:t>
      </w:r>
      <w:r w:rsidR="00463E2E">
        <w:rPr>
          <w:color w:val="000000"/>
          <w:sz w:val="20"/>
          <w:szCs w:val="20"/>
        </w:rPr>
        <w:t>'</w:t>
      </w:r>
      <w:r>
        <w:rPr>
          <w:color w:val="000000"/>
          <w:sz w:val="20"/>
          <w:szCs w:val="20"/>
        </w:rPr>
        <w:t xml:space="preserve"> Steadfast Factual Adherence.</w:t>
      </w:r>
      <w:r w:rsidR="00463E2E">
        <w:rPr>
          <w:color w:val="000000"/>
          <w:sz w:val="20"/>
          <w:szCs w:val="20"/>
        </w:rPr>
        <w:t>"</w:t>
      </w:r>
      <w:r>
        <w:rPr>
          <w:color w:val="000000"/>
          <w:sz w:val="20"/>
          <w:szCs w:val="20"/>
        </w:rPr>
        <w:t> </w:t>
      </w:r>
      <w:r>
        <w:rPr>
          <w:i/>
          <w:iCs/>
          <w:color w:val="000000"/>
          <w:sz w:val="20"/>
          <w:szCs w:val="20"/>
        </w:rPr>
        <w:t>Political Behavior</w:t>
      </w:r>
      <w:r>
        <w:rPr>
          <w:color w:val="000000"/>
          <w:sz w:val="20"/>
          <w:szCs w:val="20"/>
        </w:rPr>
        <w:t> 41, no. 1 (2019): 135–163. </w:t>
      </w:r>
      <w:hyperlink r:id="rId113">
        <w:r>
          <w:rPr>
            <w:rStyle w:val="Hyperlink"/>
            <w:b/>
            <w:bCs/>
            <w:color w:val="467886"/>
            <w:sz w:val="20"/>
            <w:szCs w:val="20"/>
          </w:rPr>
          <w:t>https://doi.org/10.1007/s11109-018-9443-y.</w:t>
        </w:r>
      </w:hyperlink>
      <w:r>
        <w:rPr>
          <w:color w:val="000000"/>
          <w:sz w:val="20"/>
          <w:szCs w:val="20"/>
        </w:rPr>
        <w:t>​</w:t>
      </w:r>
    </w:p>
    <w:p w14:paraId="42D5E889" w14:textId="77777777" w:rsidR="00E25CED" w:rsidRDefault="00E25CED">
      <w:pPr>
        <w:spacing w:line="240" w:lineRule="auto"/>
        <w:ind w:firstLine="0"/>
        <w:rPr>
          <w:color w:val="000000"/>
          <w:sz w:val="20"/>
          <w:szCs w:val="20"/>
        </w:rPr>
      </w:pPr>
    </w:p>
    <w:p w14:paraId="2346A3B1" w14:textId="72BCB932" w:rsidR="00E25CED" w:rsidRDefault="00E25CED">
      <w:pPr>
        <w:spacing w:line="240" w:lineRule="auto"/>
        <w:ind w:firstLine="0"/>
        <w:rPr>
          <w:color w:val="000000"/>
          <w:sz w:val="20"/>
          <w:szCs w:val="20"/>
        </w:rPr>
      </w:pPr>
      <w:r>
        <w:rPr>
          <w:color w:val="000000"/>
          <w:sz w:val="20"/>
          <w:szCs w:val="20"/>
        </w:rPr>
        <w:t xml:space="preserve">Ecker, Ullrich K. H., Stephan Lewandowsky, and John Cook. </w:t>
      </w:r>
      <w:r w:rsidR="00463E2E">
        <w:rPr>
          <w:color w:val="000000"/>
          <w:sz w:val="20"/>
          <w:szCs w:val="20"/>
        </w:rPr>
        <w:t>"</w:t>
      </w:r>
      <w:r>
        <w:rPr>
          <w:color w:val="000000"/>
          <w:sz w:val="20"/>
          <w:szCs w:val="20"/>
        </w:rPr>
        <w:t xml:space="preserve">Beyond Misinformation: Understanding and Coping with the </w:t>
      </w:r>
      <w:r w:rsidR="00463E2E">
        <w:rPr>
          <w:color w:val="000000"/>
          <w:sz w:val="20"/>
          <w:szCs w:val="20"/>
        </w:rPr>
        <w:t>'</w:t>
      </w:r>
      <w:r>
        <w:rPr>
          <w:color w:val="000000"/>
          <w:sz w:val="20"/>
          <w:szCs w:val="20"/>
        </w:rPr>
        <w:t>Post-Truth</w:t>
      </w:r>
      <w:r w:rsidR="00463E2E">
        <w:rPr>
          <w:color w:val="000000"/>
          <w:sz w:val="20"/>
          <w:szCs w:val="20"/>
        </w:rPr>
        <w:t>'</w:t>
      </w:r>
      <w:r>
        <w:rPr>
          <w:color w:val="000000"/>
          <w:sz w:val="20"/>
          <w:szCs w:val="20"/>
        </w:rPr>
        <w:t xml:space="preserve"> Era.</w:t>
      </w:r>
      <w:r w:rsidR="00463E2E">
        <w:rPr>
          <w:color w:val="000000"/>
          <w:sz w:val="20"/>
          <w:szCs w:val="20"/>
        </w:rPr>
        <w:t>"</w:t>
      </w:r>
      <w:r>
        <w:rPr>
          <w:color w:val="000000"/>
          <w:sz w:val="20"/>
          <w:szCs w:val="20"/>
        </w:rPr>
        <w:t> </w:t>
      </w:r>
      <w:r>
        <w:rPr>
          <w:i/>
          <w:iCs/>
          <w:color w:val="000000"/>
          <w:sz w:val="20"/>
          <w:szCs w:val="20"/>
        </w:rPr>
        <w:t>Journal of Applied Research in Memory and Cognition</w:t>
      </w:r>
      <w:r>
        <w:rPr>
          <w:color w:val="000000"/>
          <w:sz w:val="20"/>
          <w:szCs w:val="20"/>
        </w:rPr>
        <w:t> 6, no. 4 (2017): 353–369. </w:t>
      </w:r>
      <w:hyperlink r:id="rId114">
        <w:r>
          <w:rPr>
            <w:rStyle w:val="Hyperlink"/>
            <w:b/>
            <w:bCs/>
            <w:color w:val="467886"/>
            <w:sz w:val="20"/>
            <w:szCs w:val="20"/>
          </w:rPr>
          <w:t>https://doi.org/10.1016/j.jarmac.2017.07.008.</w:t>
        </w:r>
      </w:hyperlink>
      <w:r>
        <w:rPr>
          <w:color w:val="000000"/>
          <w:sz w:val="20"/>
          <w:szCs w:val="20"/>
        </w:rPr>
        <w:t>​</w:t>
      </w:r>
    </w:p>
    <w:p w14:paraId="6802818F" w14:textId="77777777" w:rsidR="00E25CED" w:rsidRDefault="00E25CED">
      <w:pPr>
        <w:spacing w:line="240" w:lineRule="auto"/>
        <w:ind w:firstLine="0"/>
        <w:rPr>
          <w:color w:val="000000"/>
          <w:sz w:val="20"/>
          <w:szCs w:val="20"/>
        </w:rPr>
      </w:pPr>
    </w:p>
    <w:p w14:paraId="433136FF" w14:textId="23AED96F" w:rsidR="00E25CED" w:rsidRDefault="00463E2E">
      <w:pPr>
        <w:spacing w:line="240" w:lineRule="auto"/>
        <w:ind w:firstLine="0"/>
        <w:rPr>
          <w:color w:val="000000"/>
          <w:sz w:val="20"/>
          <w:szCs w:val="20"/>
        </w:rPr>
      </w:pPr>
      <w:r>
        <w:rPr>
          <w:color w:val="000000"/>
          <w:sz w:val="20"/>
          <w:szCs w:val="20"/>
        </w:rPr>
        <w:t>"</w:t>
      </w:r>
      <w:r w:rsidR="00E25CED">
        <w:rPr>
          <w:color w:val="000000"/>
          <w:sz w:val="20"/>
          <w:szCs w:val="20"/>
        </w:rPr>
        <w:t>The Prevalence of Backfire Effects After the Correction of Misinformation.</w:t>
      </w:r>
      <w:r>
        <w:rPr>
          <w:color w:val="000000"/>
          <w:sz w:val="20"/>
          <w:szCs w:val="20"/>
        </w:rPr>
        <w:t>"</w:t>
      </w:r>
      <w:r w:rsidR="00E25CED">
        <w:rPr>
          <w:color w:val="000000"/>
          <w:sz w:val="20"/>
          <w:szCs w:val="20"/>
        </w:rPr>
        <w:t xml:space="preserve"> NULab for Texts, Maps, and Networks, Northeastern University, January 4, 2021. </w:t>
      </w:r>
      <w:hyperlink r:id="rId115">
        <w:r w:rsidR="00E25CED">
          <w:rPr>
            <w:rStyle w:val="Hyperlink"/>
            <w:b/>
            <w:bCs/>
            <w:color w:val="467886"/>
            <w:sz w:val="20"/>
            <w:szCs w:val="20"/>
          </w:rPr>
          <w:t>https://cssh.northeastern.edu/nulab/backfire-effects/.</w:t>
        </w:r>
      </w:hyperlink>
      <w:r w:rsidR="00E25CED">
        <w:rPr>
          <w:color w:val="000000"/>
          <w:sz w:val="20"/>
          <w:szCs w:val="20"/>
        </w:rPr>
        <w:t>​</w:t>
      </w:r>
    </w:p>
    <w:p w14:paraId="5217ABA1" w14:textId="77777777" w:rsidR="00E25CED" w:rsidRDefault="00E25CED">
      <w:pPr>
        <w:spacing w:line="240" w:lineRule="auto"/>
        <w:ind w:firstLine="0"/>
        <w:rPr>
          <w:color w:val="000000"/>
          <w:sz w:val="20"/>
          <w:szCs w:val="20"/>
        </w:rPr>
      </w:pPr>
    </w:p>
    <w:p w14:paraId="712014E7" w14:textId="54DCDEE1" w:rsidR="00E25CED" w:rsidRDefault="00E25CED">
      <w:pPr>
        <w:spacing w:line="240" w:lineRule="auto"/>
        <w:ind w:firstLine="0"/>
        <w:rPr>
          <w:color w:val="000000"/>
          <w:sz w:val="20"/>
          <w:szCs w:val="20"/>
        </w:rPr>
      </w:pPr>
      <w:r>
        <w:rPr>
          <w:color w:val="000000"/>
          <w:sz w:val="20"/>
          <w:szCs w:val="20"/>
        </w:rPr>
        <w:t xml:space="preserve">Nyhan, Brendan, and Jason Reifler. </w:t>
      </w:r>
      <w:r w:rsidR="00463E2E">
        <w:rPr>
          <w:color w:val="000000"/>
          <w:sz w:val="20"/>
          <w:szCs w:val="20"/>
        </w:rPr>
        <w:t>"</w:t>
      </w:r>
      <w:r>
        <w:rPr>
          <w:color w:val="000000"/>
          <w:sz w:val="20"/>
          <w:szCs w:val="20"/>
        </w:rPr>
        <w:t>When Corrections Fail: The Persistence of Political Misperceptions.</w:t>
      </w:r>
      <w:r w:rsidR="00463E2E">
        <w:rPr>
          <w:color w:val="000000"/>
          <w:sz w:val="20"/>
          <w:szCs w:val="20"/>
        </w:rPr>
        <w:t>"</w:t>
      </w:r>
      <w:r>
        <w:rPr>
          <w:color w:val="000000"/>
          <w:sz w:val="20"/>
          <w:szCs w:val="20"/>
        </w:rPr>
        <w:t> </w:t>
      </w:r>
      <w:r>
        <w:rPr>
          <w:i/>
          <w:iCs/>
          <w:color w:val="000000"/>
          <w:sz w:val="20"/>
          <w:szCs w:val="20"/>
        </w:rPr>
        <w:t>Political Behavior</w:t>
      </w:r>
      <w:r>
        <w:rPr>
          <w:color w:val="000000"/>
          <w:sz w:val="20"/>
          <w:szCs w:val="20"/>
        </w:rPr>
        <w:t> 32, no. 2 (2010): 303–330. </w:t>
      </w:r>
      <w:hyperlink r:id="rId116">
        <w:r>
          <w:rPr>
            <w:rStyle w:val="Hyperlink"/>
            <w:b/>
            <w:bCs/>
            <w:color w:val="467886"/>
            <w:sz w:val="20"/>
            <w:szCs w:val="20"/>
          </w:rPr>
          <w:t>https://doi.org/10.1007/s11109-010-9112-2.</w:t>
        </w:r>
      </w:hyperlink>
      <w:r>
        <w:rPr>
          <w:color w:val="000000"/>
          <w:sz w:val="20"/>
          <w:szCs w:val="20"/>
        </w:rPr>
        <w:t>​</w:t>
      </w:r>
    </w:p>
    <w:p w14:paraId="76CEE4D1" w14:textId="77777777" w:rsidR="00E25CED" w:rsidRDefault="00E25CED">
      <w:pPr>
        <w:spacing w:line="240" w:lineRule="auto"/>
        <w:ind w:firstLine="0"/>
        <w:rPr>
          <w:color w:val="000000"/>
          <w:sz w:val="20"/>
          <w:szCs w:val="20"/>
        </w:rPr>
      </w:pPr>
    </w:p>
  </w:endnote>
  <w:endnote w:id="76">
    <w:p w14:paraId="01716F58" w14:textId="5F8F93E1" w:rsidR="00E25CED" w:rsidRDefault="00E25CED">
      <w:pPr>
        <w:spacing w:line="240" w:lineRule="auto"/>
        <w:ind w:firstLine="0"/>
        <w:rPr>
          <w:color w:val="000000"/>
          <w:sz w:val="20"/>
          <w:szCs w:val="20"/>
        </w:rPr>
      </w:pPr>
      <w:r>
        <w:rPr>
          <w:rStyle w:val="FootnoteCharacters"/>
        </w:rPr>
        <w:endnoteRef/>
      </w:r>
      <w:r>
        <w:rPr>
          <w:color w:val="000000"/>
          <w:sz w:val="20"/>
          <w:szCs w:val="20"/>
        </w:rPr>
        <w:t xml:space="preserve"> Kahneman, Daniel, and Amos Tversky. </w:t>
      </w:r>
      <w:r w:rsidR="00463E2E">
        <w:rPr>
          <w:color w:val="000000"/>
          <w:sz w:val="20"/>
          <w:szCs w:val="20"/>
        </w:rPr>
        <w:t>"</w:t>
      </w:r>
      <w:r>
        <w:rPr>
          <w:color w:val="000000"/>
          <w:sz w:val="20"/>
          <w:szCs w:val="20"/>
        </w:rPr>
        <w:t>Intuitive Prediction: Biases and Corrective Procedures.</w:t>
      </w:r>
      <w:r w:rsidR="00463E2E">
        <w:rPr>
          <w:color w:val="000000"/>
          <w:sz w:val="20"/>
          <w:szCs w:val="20"/>
        </w:rPr>
        <w:t>"</w:t>
      </w:r>
      <w:r>
        <w:rPr>
          <w:color w:val="000000"/>
          <w:sz w:val="20"/>
          <w:szCs w:val="20"/>
        </w:rPr>
        <w:t xml:space="preserve"> Chapter. In </w:t>
      </w:r>
      <w:r>
        <w:rPr>
          <w:i/>
          <w:iCs/>
          <w:color w:val="000000"/>
          <w:sz w:val="20"/>
          <w:szCs w:val="20"/>
        </w:rPr>
        <w:t>Judgment under Uncertainty: Heuristics and Biases</w:t>
      </w:r>
      <w:r>
        <w:rPr>
          <w:color w:val="000000"/>
          <w:sz w:val="20"/>
          <w:szCs w:val="20"/>
        </w:rPr>
        <w:t>, edited by Daniel Kahneman, Paul Slovic, and Amos Tversky, 414–21. Cambridge: Cambridge University Press, 1982.</w:t>
      </w:r>
    </w:p>
    <w:p w14:paraId="2D19C8ED" w14:textId="77777777" w:rsidR="00E25CED" w:rsidRDefault="00E25CED">
      <w:pPr>
        <w:spacing w:line="240" w:lineRule="auto"/>
        <w:ind w:firstLine="0"/>
        <w:rPr>
          <w:color w:val="000000"/>
          <w:sz w:val="20"/>
          <w:szCs w:val="20"/>
        </w:rPr>
      </w:pPr>
    </w:p>
  </w:endnote>
  <w:endnote w:id="77">
    <w:p w14:paraId="339F1234" w14:textId="77777777" w:rsidR="00695312" w:rsidRPr="00695312" w:rsidRDefault="00E25CED" w:rsidP="00695312">
      <w:pPr>
        <w:spacing w:line="240" w:lineRule="auto"/>
        <w:ind w:firstLine="0"/>
        <w:rPr>
          <w:color w:val="000000"/>
          <w:sz w:val="20"/>
          <w:szCs w:val="20"/>
        </w:rPr>
      </w:pPr>
      <w:r>
        <w:rPr>
          <w:rStyle w:val="FootnoteCharacters"/>
        </w:rPr>
        <w:endnoteRef/>
      </w:r>
      <w:r>
        <w:rPr>
          <w:color w:val="000000"/>
          <w:sz w:val="20"/>
          <w:szCs w:val="20"/>
        </w:rPr>
        <w:t xml:space="preserve"> </w:t>
      </w:r>
      <w:r w:rsidR="00695312" w:rsidRPr="00695312">
        <w:rPr>
          <w:color w:val="000000"/>
          <w:sz w:val="20"/>
          <w:szCs w:val="20"/>
        </w:rPr>
        <w:t>Bank lending is pro-cyclical: it expands during upswings and contracts sharply in downturns, leaving households with elevated debt-to-income ratios at the onset of slowdowns. U.S. historical data confirm the pattern across 125 years of boom-bust cycles.</w:t>
      </w:r>
    </w:p>
    <w:p w14:paraId="52F81F8D" w14:textId="788A309A" w:rsidR="00E25CED" w:rsidRDefault="00E25CED">
      <w:pPr>
        <w:spacing w:line="240" w:lineRule="auto"/>
        <w:ind w:firstLine="0"/>
        <w:rPr>
          <w:color w:val="000000"/>
          <w:sz w:val="20"/>
          <w:szCs w:val="20"/>
        </w:rPr>
      </w:pPr>
    </w:p>
    <w:p w14:paraId="13DF3320" w14:textId="64CF5E4E" w:rsidR="00E25CED" w:rsidRDefault="00E25CED">
      <w:pPr>
        <w:spacing w:line="240" w:lineRule="auto"/>
        <w:ind w:firstLine="0"/>
        <w:rPr>
          <w:color w:val="000000"/>
          <w:sz w:val="20"/>
          <w:szCs w:val="20"/>
        </w:rPr>
      </w:pPr>
      <w:r>
        <w:rPr>
          <w:color w:val="000000"/>
          <w:sz w:val="20"/>
          <w:szCs w:val="20"/>
        </w:rPr>
        <w:t xml:space="preserve">Mian, Atif, Amir Sufi, and Emil Verner. </w:t>
      </w:r>
      <w:r w:rsidR="00463E2E">
        <w:rPr>
          <w:color w:val="000000"/>
          <w:sz w:val="20"/>
          <w:szCs w:val="20"/>
        </w:rPr>
        <w:t>"</w:t>
      </w:r>
      <w:r>
        <w:rPr>
          <w:color w:val="000000"/>
          <w:sz w:val="20"/>
          <w:szCs w:val="20"/>
        </w:rPr>
        <w:t>Household Debt and Business Cycles Worldwide.</w:t>
      </w:r>
      <w:r w:rsidR="00463E2E">
        <w:rPr>
          <w:color w:val="000000"/>
          <w:sz w:val="20"/>
          <w:szCs w:val="20"/>
        </w:rPr>
        <w:t>"</w:t>
      </w:r>
      <w:r>
        <w:rPr>
          <w:color w:val="000000"/>
          <w:sz w:val="20"/>
          <w:szCs w:val="20"/>
        </w:rPr>
        <w:t> </w:t>
      </w:r>
      <w:r>
        <w:rPr>
          <w:i/>
          <w:iCs/>
          <w:color w:val="000000"/>
          <w:sz w:val="20"/>
          <w:szCs w:val="20"/>
        </w:rPr>
        <w:t>Quarterly Journal of Economics</w:t>
      </w:r>
      <w:r>
        <w:rPr>
          <w:color w:val="000000"/>
          <w:sz w:val="20"/>
          <w:szCs w:val="20"/>
        </w:rPr>
        <w:t> 132, no. 4 (2017): 1755-1817. </w:t>
      </w:r>
      <w:hyperlink r:id="rId117">
        <w:r>
          <w:rPr>
            <w:rStyle w:val="Hyperlink"/>
            <w:b/>
            <w:bCs/>
            <w:color w:val="467886"/>
            <w:sz w:val="20"/>
            <w:szCs w:val="20"/>
          </w:rPr>
          <w:t>https://www.nber.org/papers/w21581.</w:t>
        </w:r>
      </w:hyperlink>
      <w:r>
        <w:rPr>
          <w:color w:val="000000"/>
          <w:sz w:val="20"/>
          <w:szCs w:val="20"/>
        </w:rPr>
        <w:t>​</w:t>
      </w:r>
    </w:p>
    <w:p w14:paraId="74B9105D" w14:textId="77777777" w:rsidR="00E25CED" w:rsidRDefault="00E25CED">
      <w:pPr>
        <w:spacing w:line="240" w:lineRule="auto"/>
        <w:ind w:firstLine="0"/>
        <w:rPr>
          <w:color w:val="000000"/>
          <w:sz w:val="20"/>
          <w:szCs w:val="20"/>
        </w:rPr>
      </w:pPr>
    </w:p>
    <w:p w14:paraId="7AB5B365" w14:textId="7E25812A" w:rsidR="00E25CED" w:rsidRDefault="00E25CED">
      <w:pPr>
        <w:spacing w:line="240" w:lineRule="auto"/>
        <w:ind w:firstLine="0"/>
        <w:rPr>
          <w:color w:val="000000"/>
          <w:sz w:val="20"/>
          <w:szCs w:val="20"/>
        </w:rPr>
      </w:pPr>
      <w:r>
        <w:rPr>
          <w:color w:val="000000"/>
          <w:sz w:val="20"/>
          <w:szCs w:val="20"/>
        </w:rPr>
        <w:t xml:space="preserve">U.S. Department of the Treasury. </w:t>
      </w:r>
      <w:r w:rsidR="00463E2E">
        <w:rPr>
          <w:color w:val="000000"/>
          <w:sz w:val="20"/>
          <w:szCs w:val="20"/>
        </w:rPr>
        <w:t>"</w:t>
      </w:r>
      <w:r>
        <w:rPr>
          <w:color w:val="000000"/>
          <w:sz w:val="20"/>
          <w:szCs w:val="20"/>
        </w:rPr>
        <w:t>Lending During Recessions.</w:t>
      </w:r>
      <w:r w:rsidR="00463E2E">
        <w:rPr>
          <w:color w:val="000000"/>
          <w:sz w:val="20"/>
          <w:szCs w:val="20"/>
        </w:rPr>
        <w:t>"</w:t>
      </w:r>
      <w:r>
        <w:rPr>
          <w:color w:val="000000"/>
          <w:sz w:val="20"/>
          <w:szCs w:val="20"/>
        </w:rPr>
        <w:t xml:space="preserve"> Research Summary, June 9, 2008. </w:t>
      </w:r>
      <w:hyperlink r:id="rId118">
        <w:r>
          <w:rPr>
            <w:rStyle w:val="Hyperlink"/>
            <w:b/>
            <w:bCs/>
            <w:color w:val="467886"/>
            <w:sz w:val="20"/>
            <w:szCs w:val="20"/>
          </w:rPr>
          <w:t>https://home.treasury.gov/system/files/136/Research%20summary%20080609.pdf</w:t>
        </w:r>
      </w:hyperlink>
    </w:p>
    <w:p w14:paraId="27B03463" w14:textId="77777777" w:rsidR="00E25CED" w:rsidRDefault="00E25CED">
      <w:pPr>
        <w:spacing w:line="240" w:lineRule="auto"/>
        <w:ind w:firstLine="0"/>
        <w:rPr>
          <w:color w:val="000000"/>
          <w:sz w:val="20"/>
          <w:szCs w:val="20"/>
        </w:rPr>
      </w:pPr>
    </w:p>
    <w:p w14:paraId="2DD675D6" w14:textId="47B02E07" w:rsidR="00E25CED" w:rsidRDefault="00E25CED">
      <w:pPr>
        <w:spacing w:line="240" w:lineRule="auto"/>
        <w:ind w:firstLine="0"/>
        <w:rPr>
          <w:color w:val="000000"/>
          <w:sz w:val="20"/>
          <w:szCs w:val="20"/>
        </w:rPr>
      </w:pPr>
      <w:r>
        <w:rPr>
          <w:color w:val="000000"/>
          <w:sz w:val="20"/>
          <w:szCs w:val="20"/>
        </w:rPr>
        <w:t xml:space="preserve">Jordà, Òscar, Moritz Schularick, and Alan M. Taylor. </w:t>
      </w:r>
      <w:r w:rsidR="00463E2E">
        <w:rPr>
          <w:color w:val="000000"/>
          <w:sz w:val="20"/>
          <w:szCs w:val="20"/>
        </w:rPr>
        <w:t>"</w:t>
      </w:r>
      <w:r>
        <w:rPr>
          <w:color w:val="000000"/>
          <w:sz w:val="20"/>
          <w:szCs w:val="20"/>
        </w:rPr>
        <w:t>The Total Risk of Bank Debt.</w:t>
      </w:r>
      <w:r w:rsidR="00463E2E">
        <w:rPr>
          <w:color w:val="000000"/>
          <w:sz w:val="20"/>
          <w:szCs w:val="20"/>
        </w:rPr>
        <w:t>"</w:t>
      </w:r>
      <w:r>
        <w:rPr>
          <w:color w:val="000000"/>
          <w:sz w:val="20"/>
          <w:szCs w:val="20"/>
        </w:rPr>
        <w:t xml:space="preserve"> National Bureau of Economic Research Working Paper 29966, 2022. </w:t>
      </w:r>
      <w:hyperlink r:id="rId119">
        <w:r>
          <w:rPr>
            <w:rStyle w:val="Hyperlink"/>
            <w:b/>
            <w:bCs/>
            <w:color w:val="467886"/>
            <w:sz w:val="20"/>
            <w:szCs w:val="20"/>
          </w:rPr>
          <w:t>https://www.nber.org/papers/w29966.</w:t>
        </w:r>
      </w:hyperlink>
      <w:r>
        <w:rPr>
          <w:color w:val="000000"/>
          <w:sz w:val="20"/>
          <w:szCs w:val="20"/>
        </w:rPr>
        <w:t>​</w:t>
      </w:r>
    </w:p>
    <w:p w14:paraId="3263BD85" w14:textId="77777777" w:rsidR="00E25CED" w:rsidRDefault="00E25CED">
      <w:pPr>
        <w:spacing w:line="240" w:lineRule="auto"/>
        <w:ind w:firstLine="0"/>
        <w:rPr>
          <w:color w:val="000000"/>
          <w:sz w:val="20"/>
          <w:szCs w:val="20"/>
        </w:rPr>
      </w:pPr>
    </w:p>
  </w:endnote>
  <w:endnote w:id="78">
    <w:p w14:paraId="376A5848" w14:textId="429FCDD2" w:rsidR="00E25CED" w:rsidRDefault="00E25CED">
      <w:pPr>
        <w:spacing w:line="240" w:lineRule="auto"/>
        <w:ind w:firstLine="0"/>
        <w:rPr>
          <w:color w:val="000000"/>
          <w:sz w:val="20"/>
          <w:szCs w:val="20"/>
        </w:rPr>
      </w:pPr>
      <w:r>
        <w:rPr>
          <w:rStyle w:val="FootnoteCharacters"/>
        </w:rPr>
        <w:endnoteRef/>
      </w:r>
      <w:r>
        <w:rPr>
          <w:color w:val="000000"/>
          <w:sz w:val="20"/>
          <w:szCs w:val="20"/>
        </w:rPr>
        <w:t xml:space="preserve"> Economic research on Baumol</w:t>
      </w:r>
      <w:r w:rsidR="00463E2E">
        <w:rPr>
          <w:color w:val="000000"/>
          <w:sz w:val="20"/>
          <w:szCs w:val="20"/>
        </w:rPr>
        <w:t>'</w:t>
      </w:r>
      <w:r>
        <w:rPr>
          <w:color w:val="000000"/>
          <w:sz w:val="20"/>
          <w:szCs w:val="20"/>
        </w:rPr>
        <w:t>s cost disease explains why labor-intensive service sectors such as healthcare and education tend to see prices rise faster than productivity and, over time, faster than broad wage growth. Surveyed economists broadly agree that rising productivity in manufacturing pushes the relative cost of these services up, even without quality improvements, which translates into persistent cost pressures on households. Empirically, U.S. data show that medical spending and employer health costs have grown substantially faster than workers</w:t>
      </w:r>
      <w:r w:rsidR="00463E2E">
        <w:rPr>
          <w:color w:val="000000"/>
          <w:sz w:val="20"/>
          <w:szCs w:val="20"/>
        </w:rPr>
        <w:t>'</w:t>
      </w:r>
      <w:r>
        <w:rPr>
          <w:color w:val="000000"/>
          <w:sz w:val="20"/>
          <w:szCs w:val="20"/>
        </w:rPr>
        <w:t xml:space="preserve"> wages over recent decades, while rents, home prices, and college costs have all increased more rapidly than incomes, especially for younger workers. For households, this means that a </w:t>
      </w:r>
      <w:r w:rsidR="00463E2E">
        <w:rPr>
          <w:color w:val="000000"/>
          <w:sz w:val="20"/>
          <w:szCs w:val="20"/>
        </w:rPr>
        <w:t>"</w:t>
      </w:r>
      <w:r>
        <w:rPr>
          <w:color w:val="000000"/>
          <w:sz w:val="20"/>
          <w:szCs w:val="20"/>
        </w:rPr>
        <w:t>normal</w:t>
      </w:r>
      <w:r w:rsidR="00463E2E">
        <w:rPr>
          <w:color w:val="000000"/>
          <w:sz w:val="20"/>
          <w:szCs w:val="20"/>
        </w:rPr>
        <w:t>"</w:t>
      </w:r>
      <w:r>
        <w:rPr>
          <w:color w:val="000000"/>
          <w:sz w:val="20"/>
          <w:szCs w:val="20"/>
        </w:rPr>
        <w:t xml:space="preserve"> middle-class lifestyle absorbs a growing share of income just to stand still, so even modest lifestyle inflation can outpace earnings and translate into ongoing financial stress.​</w:t>
      </w:r>
    </w:p>
    <w:p w14:paraId="05C98825" w14:textId="77777777" w:rsidR="00E25CED" w:rsidRDefault="00E25CED">
      <w:pPr>
        <w:spacing w:line="240" w:lineRule="auto"/>
        <w:ind w:firstLine="0"/>
        <w:rPr>
          <w:color w:val="000000"/>
          <w:sz w:val="20"/>
          <w:szCs w:val="20"/>
        </w:rPr>
      </w:pPr>
    </w:p>
    <w:p w14:paraId="1F789995" w14:textId="06A9F41A" w:rsidR="00E25CED" w:rsidRDefault="00E25CED">
      <w:pPr>
        <w:spacing w:line="240" w:lineRule="auto"/>
        <w:ind w:firstLine="0"/>
        <w:rPr>
          <w:color w:val="000000"/>
          <w:sz w:val="20"/>
          <w:szCs w:val="20"/>
        </w:rPr>
      </w:pPr>
      <w:r>
        <w:rPr>
          <w:color w:val="000000"/>
          <w:sz w:val="20"/>
          <w:szCs w:val="20"/>
        </w:rPr>
        <w:t xml:space="preserve">Baumol, William J., and William G. Bowen. </w:t>
      </w:r>
      <w:r w:rsidR="00463E2E">
        <w:rPr>
          <w:color w:val="000000"/>
          <w:sz w:val="20"/>
          <w:szCs w:val="20"/>
        </w:rPr>
        <w:t>"</w:t>
      </w:r>
      <w:r>
        <w:rPr>
          <w:color w:val="000000"/>
          <w:sz w:val="20"/>
          <w:szCs w:val="20"/>
        </w:rPr>
        <w:t>On the Performing Arts: The Anatomy of Their Economic Problems.</w:t>
      </w:r>
      <w:r w:rsidR="00463E2E">
        <w:rPr>
          <w:color w:val="000000"/>
          <w:sz w:val="20"/>
          <w:szCs w:val="20"/>
        </w:rPr>
        <w:t>"</w:t>
      </w:r>
      <w:r>
        <w:rPr>
          <w:color w:val="000000"/>
          <w:sz w:val="20"/>
          <w:szCs w:val="20"/>
        </w:rPr>
        <w:t xml:space="preserve"> American Economic Review 55, no. 2 (1965): 495–502.</w:t>
      </w:r>
    </w:p>
    <w:p w14:paraId="70A8AE0F" w14:textId="77777777" w:rsidR="00E25CED" w:rsidRDefault="00E25CED">
      <w:pPr>
        <w:spacing w:line="240" w:lineRule="auto"/>
        <w:ind w:firstLine="0"/>
        <w:rPr>
          <w:color w:val="000000"/>
          <w:sz w:val="20"/>
          <w:szCs w:val="20"/>
        </w:rPr>
      </w:pPr>
    </w:p>
    <w:p w14:paraId="122A79DA" w14:textId="4C4515DB" w:rsidR="00E25CED" w:rsidRDefault="00E25CED">
      <w:pPr>
        <w:spacing w:line="240" w:lineRule="auto"/>
        <w:ind w:firstLine="0"/>
        <w:rPr>
          <w:color w:val="000000"/>
          <w:sz w:val="20"/>
          <w:szCs w:val="20"/>
        </w:rPr>
      </w:pPr>
      <w:r>
        <w:rPr>
          <w:color w:val="000000"/>
          <w:sz w:val="20"/>
          <w:szCs w:val="20"/>
        </w:rPr>
        <w:t xml:space="preserve">Romer, David. </w:t>
      </w:r>
      <w:r w:rsidR="00463E2E">
        <w:rPr>
          <w:color w:val="000000"/>
          <w:sz w:val="20"/>
          <w:szCs w:val="20"/>
        </w:rPr>
        <w:t>"</w:t>
      </w:r>
      <w:r>
        <w:rPr>
          <w:color w:val="000000"/>
          <w:sz w:val="20"/>
          <w:szCs w:val="20"/>
        </w:rPr>
        <w:t>Diagnosing William Baumol</w:t>
      </w:r>
      <w:r w:rsidR="00463E2E">
        <w:rPr>
          <w:color w:val="000000"/>
          <w:sz w:val="20"/>
          <w:szCs w:val="20"/>
        </w:rPr>
        <w:t>'</w:t>
      </w:r>
      <w:r>
        <w:rPr>
          <w:color w:val="000000"/>
          <w:sz w:val="20"/>
          <w:szCs w:val="20"/>
        </w:rPr>
        <w:t>s Cost Disease.</w:t>
      </w:r>
      <w:r w:rsidR="00463E2E">
        <w:rPr>
          <w:color w:val="000000"/>
          <w:sz w:val="20"/>
          <w:szCs w:val="20"/>
        </w:rPr>
        <w:t>"</w:t>
      </w:r>
      <w:r>
        <w:rPr>
          <w:color w:val="000000"/>
          <w:sz w:val="20"/>
          <w:szCs w:val="20"/>
        </w:rPr>
        <w:t xml:space="preserve"> Chicago Booth Review, October 24, 2019. </w:t>
      </w:r>
      <w:hyperlink r:id="rId120">
        <w:r>
          <w:rPr>
            <w:rStyle w:val="Hyperlink"/>
            <w:color w:val="467886"/>
            <w:sz w:val="20"/>
            <w:szCs w:val="20"/>
          </w:rPr>
          <w:t>https://www.chicagobooth.edu/review/diagnosing-william-baumols-cost-disease</w:t>
        </w:r>
      </w:hyperlink>
      <w:r>
        <w:rPr>
          <w:color w:val="000000"/>
          <w:sz w:val="20"/>
          <w:szCs w:val="20"/>
        </w:rPr>
        <w:t>.</w:t>
      </w:r>
    </w:p>
    <w:p w14:paraId="0291522D" w14:textId="77777777" w:rsidR="00E25CED" w:rsidRDefault="00E25CED">
      <w:pPr>
        <w:spacing w:line="240" w:lineRule="auto"/>
        <w:ind w:firstLine="0"/>
        <w:rPr>
          <w:color w:val="000000"/>
          <w:sz w:val="20"/>
          <w:szCs w:val="20"/>
        </w:rPr>
      </w:pPr>
    </w:p>
    <w:p w14:paraId="1C0A41BF" w14:textId="3783DB9A" w:rsidR="00E25CED" w:rsidRDefault="00463E2E">
      <w:pPr>
        <w:spacing w:line="240" w:lineRule="auto"/>
        <w:ind w:firstLine="0"/>
        <w:rPr>
          <w:color w:val="000000"/>
          <w:sz w:val="20"/>
          <w:szCs w:val="20"/>
        </w:rPr>
      </w:pPr>
      <w:r>
        <w:rPr>
          <w:color w:val="000000"/>
          <w:sz w:val="20"/>
          <w:szCs w:val="20"/>
        </w:rPr>
        <w:t>"</w:t>
      </w:r>
      <w:r w:rsidR="00E25CED">
        <w:rPr>
          <w:color w:val="000000"/>
          <w:sz w:val="20"/>
          <w:szCs w:val="20"/>
        </w:rPr>
        <w:t>How Does Medical Inflation Compare to Inflation in the Rest of the Economy?</w:t>
      </w:r>
      <w:r>
        <w:rPr>
          <w:color w:val="000000"/>
          <w:sz w:val="20"/>
          <w:szCs w:val="20"/>
        </w:rPr>
        <w:t>"</w:t>
      </w:r>
      <w:r w:rsidR="00E25CED">
        <w:rPr>
          <w:color w:val="000000"/>
          <w:sz w:val="20"/>
          <w:szCs w:val="20"/>
        </w:rPr>
        <w:t xml:space="preserve"> Peterson–KFF Health System Tracker, Accessed January 2, 2026. </w:t>
      </w:r>
      <w:hyperlink r:id="rId121">
        <w:r w:rsidR="00E25CED">
          <w:rPr>
            <w:rStyle w:val="Hyperlink"/>
            <w:color w:val="467886"/>
            <w:sz w:val="20"/>
            <w:szCs w:val="20"/>
          </w:rPr>
          <w:t>https://www.healthsystemtracker.org/brief/how-does-medical-inflation-compare-to-inflation-in-the-rest-of-the-economy/</w:t>
        </w:r>
      </w:hyperlink>
      <w:r w:rsidR="00E25CED">
        <w:rPr>
          <w:color w:val="000000"/>
          <w:sz w:val="20"/>
          <w:szCs w:val="20"/>
        </w:rPr>
        <w:t>.</w:t>
      </w:r>
    </w:p>
    <w:p w14:paraId="5088F51C" w14:textId="77777777" w:rsidR="00E25CED" w:rsidRDefault="00E25CED">
      <w:pPr>
        <w:spacing w:line="240" w:lineRule="auto"/>
        <w:ind w:firstLine="0"/>
        <w:rPr>
          <w:color w:val="000000"/>
          <w:sz w:val="20"/>
          <w:szCs w:val="20"/>
        </w:rPr>
      </w:pPr>
    </w:p>
    <w:p w14:paraId="313010E9" w14:textId="2014E2C6" w:rsidR="00E25CED" w:rsidRDefault="00E25CED">
      <w:pPr>
        <w:spacing w:line="240" w:lineRule="auto"/>
        <w:ind w:firstLine="0"/>
        <w:rPr>
          <w:color w:val="000000"/>
          <w:sz w:val="20"/>
          <w:szCs w:val="20"/>
        </w:rPr>
      </w:pPr>
      <w:r>
        <w:rPr>
          <w:color w:val="000000"/>
          <w:sz w:val="20"/>
          <w:szCs w:val="20"/>
        </w:rPr>
        <w:t xml:space="preserve">Ganguli, Ishani, Zirui Song, and coauthors. </w:t>
      </w:r>
      <w:r w:rsidR="00463E2E">
        <w:rPr>
          <w:color w:val="000000"/>
          <w:sz w:val="20"/>
          <w:szCs w:val="20"/>
        </w:rPr>
        <w:t>"</w:t>
      </w:r>
      <w:r>
        <w:rPr>
          <w:color w:val="000000"/>
          <w:sz w:val="20"/>
          <w:szCs w:val="20"/>
        </w:rPr>
        <w:t>Employer-Sponsored Health Insurance Premium Cost Growth and Wage Stagnation.</w:t>
      </w:r>
      <w:r w:rsidR="00463E2E">
        <w:rPr>
          <w:color w:val="000000"/>
          <w:sz w:val="20"/>
          <w:szCs w:val="20"/>
        </w:rPr>
        <w:t>"</w:t>
      </w:r>
      <w:r>
        <w:rPr>
          <w:color w:val="000000"/>
          <w:sz w:val="20"/>
          <w:szCs w:val="20"/>
        </w:rPr>
        <w:t xml:space="preserve"> JAMA Network Open 7, no. 1 (2024): e2351644. </w:t>
      </w:r>
      <w:hyperlink r:id="rId122">
        <w:r>
          <w:rPr>
            <w:rStyle w:val="Hyperlink"/>
            <w:color w:val="467886"/>
            <w:sz w:val="20"/>
            <w:szCs w:val="20"/>
          </w:rPr>
          <w:t>https://jamanetwork.com/journals/jamanetworkopen/fullarticle/2813927</w:t>
        </w:r>
      </w:hyperlink>
      <w:r>
        <w:rPr>
          <w:color w:val="000000"/>
          <w:sz w:val="20"/>
          <w:szCs w:val="20"/>
        </w:rPr>
        <w:t>.</w:t>
      </w:r>
    </w:p>
    <w:p w14:paraId="1C05770A" w14:textId="77777777" w:rsidR="00E25CED" w:rsidRDefault="00E25CED">
      <w:pPr>
        <w:spacing w:line="240" w:lineRule="auto"/>
        <w:ind w:firstLine="0"/>
        <w:rPr>
          <w:color w:val="000000"/>
          <w:sz w:val="20"/>
          <w:szCs w:val="20"/>
        </w:rPr>
      </w:pPr>
    </w:p>
    <w:p w14:paraId="18B47D8C" w14:textId="7D10F9FE" w:rsidR="00E25CED" w:rsidRDefault="00463E2E">
      <w:pPr>
        <w:spacing w:line="240" w:lineRule="auto"/>
        <w:ind w:firstLine="0"/>
        <w:rPr>
          <w:color w:val="000000"/>
          <w:sz w:val="20"/>
          <w:szCs w:val="20"/>
        </w:rPr>
      </w:pPr>
      <w:r>
        <w:rPr>
          <w:color w:val="000000"/>
          <w:sz w:val="20"/>
          <w:szCs w:val="20"/>
        </w:rPr>
        <w:t>"</w:t>
      </w:r>
      <w:r w:rsidR="00E25CED">
        <w:rPr>
          <w:color w:val="000000"/>
          <w:sz w:val="20"/>
          <w:szCs w:val="20"/>
        </w:rPr>
        <w:t>New Analysis of Large Employer Health Coverage: The Cost to Families for Health Coverage and Care.</w:t>
      </w:r>
      <w:r>
        <w:rPr>
          <w:color w:val="000000"/>
          <w:sz w:val="20"/>
          <w:szCs w:val="20"/>
        </w:rPr>
        <w:t>"</w:t>
      </w:r>
      <w:r w:rsidR="00E25CED">
        <w:rPr>
          <w:color w:val="000000"/>
          <w:sz w:val="20"/>
          <w:szCs w:val="20"/>
        </w:rPr>
        <w:t xml:space="preserve"> KFF, August 14, 2019. </w:t>
      </w:r>
      <w:hyperlink r:id="rId123">
        <w:r w:rsidR="00E25CED">
          <w:rPr>
            <w:rStyle w:val="Hyperlink"/>
            <w:color w:val="467886"/>
            <w:sz w:val="20"/>
            <w:szCs w:val="20"/>
          </w:rPr>
          <w:t>https://www.kff.org/health-costs/press-release/new-analysis-of-large-employer-health-coverage-the-cost-to-families-for-health-coverage-and-care/</w:t>
        </w:r>
      </w:hyperlink>
      <w:r w:rsidR="00E25CED">
        <w:rPr>
          <w:color w:val="000000"/>
          <w:sz w:val="20"/>
          <w:szCs w:val="20"/>
        </w:rPr>
        <w:t>.</w:t>
      </w:r>
    </w:p>
    <w:p w14:paraId="5F411F33" w14:textId="77777777" w:rsidR="00E25CED" w:rsidRDefault="00E25CED">
      <w:pPr>
        <w:spacing w:line="240" w:lineRule="auto"/>
        <w:ind w:firstLine="0"/>
        <w:rPr>
          <w:color w:val="000000"/>
          <w:sz w:val="20"/>
          <w:szCs w:val="20"/>
        </w:rPr>
      </w:pPr>
    </w:p>
    <w:p w14:paraId="6056E255" w14:textId="11E6CE7D" w:rsidR="00E25CED" w:rsidRDefault="00E25CED">
      <w:pPr>
        <w:spacing w:line="240" w:lineRule="auto"/>
        <w:ind w:firstLine="0"/>
        <w:rPr>
          <w:color w:val="000000"/>
          <w:sz w:val="20"/>
          <w:szCs w:val="20"/>
        </w:rPr>
      </w:pPr>
      <w:r>
        <w:rPr>
          <w:color w:val="000000"/>
          <w:sz w:val="20"/>
          <w:szCs w:val="20"/>
        </w:rPr>
        <w:t xml:space="preserve">U.S. Department of the Treasury. </w:t>
      </w:r>
      <w:r w:rsidR="00463E2E">
        <w:rPr>
          <w:color w:val="000000"/>
          <w:sz w:val="20"/>
          <w:szCs w:val="20"/>
        </w:rPr>
        <w:t>"</w:t>
      </w:r>
      <w:r>
        <w:rPr>
          <w:color w:val="000000"/>
          <w:sz w:val="20"/>
          <w:szCs w:val="20"/>
        </w:rPr>
        <w:t>Rent, House Prices, and Demographics.</w:t>
      </w:r>
      <w:r w:rsidR="00463E2E">
        <w:rPr>
          <w:color w:val="000000"/>
          <w:sz w:val="20"/>
          <w:szCs w:val="20"/>
        </w:rPr>
        <w:t>"</w:t>
      </w:r>
      <w:r>
        <w:rPr>
          <w:color w:val="000000"/>
          <w:sz w:val="20"/>
          <w:szCs w:val="20"/>
        </w:rPr>
        <w:t xml:space="preserve"> August 6, 2024. </w:t>
      </w:r>
      <w:hyperlink r:id="rId124">
        <w:r>
          <w:rPr>
            <w:rStyle w:val="Hyperlink"/>
            <w:color w:val="467886"/>
            <w:sz w:val="20"/>
            <w:szCs w:val="20"/>
          </w:rPr>
          <w:t>https://home.treasury.gov/news/featured-stories/rent-house-prices-and-demographics</w:t>
        </w:r>
      </w:hyperlink>
      <w:r>
        <w:rPr>
          <w:color w:val="000000"/>
          <w:sz w:val="20"/>
          <w:szCs w:val="20"/>
        </w:rPr>
        <w:t>.</w:t>
      </w:r>
    </w:p>
    <w:p w14:paraId="0035CBEC" w14:textId="77777777" w:rsidR="00E25CED" w:rsidRDefault="00E25CED">
      <w:pPr>
        <w:spacing w:line="240" w:lineRule="auto"/>
        <w:ind w:firstLine="0"/>
        <w:rPr>
          <w:color w:val="000000"/>
          <w:sz w:val="20"/>
          <w:szCs w:val="20"/>
        </w:rPr>
      </w:pPr>
    </w:p>
    <w:p w14:paraId="2ADCC592" w14:textId="4597B182" w:rsidR="00E25CED" w:rsidRDefault="00E25CED">
      <w:pPr>
        <w:spacing w:line="240" w:lineRule="auto"/>
        <w:ind w:firstLine="0"/>
        <w:rPr>
          <w:color w:val="000000"/>
          <w:sz w:val="20"/>
          <w:szCs w:val="20"/>
        </w:rPr>
      </w:pPr>
      <w:r>
        <w:rPr>
          <w:color w:val="000000"/>
          <w:sz w:val="20"/>
          <w:szCs w:val="20"/>
        </w:rPr>
        <w:t xml:space="preserve">Hess, Abigail Johnson. </w:t>
      </w:r>
      <w:r w:rsidR="00463E2E">
        <w:rPr>
          <w:color w:val="000000"/>
          <w:sz w:val="20"/>
          <w:szCs w:val="20"/>
        </w:rPr>
        <w:t>"</w:t>
      </w:r>
      <w:r>
        <w:rPr>
          <w:color w:val="000000"/>
          <w:sz w:val="20"/>
          <w:szCs w:val="20"/>
        </w:rPr>
        <w:t>College Costs Have Increased by 169% Since 1980—but Pay for Young Workers Is Up by Just 19%.</w:t>
      </w:r>
      <w:r w:rsidR="00463E2E">
        <w:rPr>
          <w:color w:val="000000"/>
          <w:sz w:val="20"/>
          <w:szCs w:val="20"/>
        </w:rPr>
        <w:t>"</w:t>
      </w:r>
      <w:r>
        <w:rPr>
          <w:color w:val="000000"/>
          <w:sz w:val="20"/>
          <w:szCs w:val="20"/>
        </w:rPr>
        <w:t xml:space="preserve"> CNBC, November 2, 2021. </w:t>
      </w:r>
      <w:hyperlink r:id="rId125">
        <w:r>
          <w:rPr>
            <w:rStyle w:val="Hyperlink"/>
            <w:color w:val="467886"/>
            <w:sz w:val="20"/>
            <w:szCs w:val="20"/>
          </w:rPr>
          <w:t>https://www.cnbc.com/2021/11/02/the-gap-in-college-costs-and-earnings-for-young-workers-since-1980.html</w:t>
        </w:r>
      </w:hyperlink>
      <w:r>
        <w:rPr>
          <w:color w:val="000000"/>
          <w:sz w:val="20"/>
          <w:szCs w:val="20"/>
        </w:rPr>
        <w:t>.</w:t>
      </w:r>
    </w:p>
    <w:p w14:paraId="72944BA7" w14:textId="77777777" w:rsidR="00E25CED" w:rsidRDefault="00E25CED">
      <w:pPr>
        <w:spacing w:line="240" w:lineRule="auto"/>
        <w:ind w:firstLine="0"/>
        <w:rPr>
          <w:color w:val="000000"/>
          <w:sz w:val="20"/>
          <w:szCs w:val="20"/>
        </w:rPr>
      </w:pPr>
    </w:p>
    <w:p w14:paraId="3E27372F" w14:textId="73D71079" w:rsidR="00E25CED" w:rsidRDefault="00463E2E">
      <w:pPr>
        <w:spacing w:line="240" w:lineRule="auto"/>
        <w:ind w:firstLine="0"/>
        <w:rPr>
          <w:color w:val="000000"/>
          <w:sz w:val="20"/>
          <w:szCs w:val="20"/>
        </w:rPr>
      </w:pPr>
      <w:r>
        <w:rPr>
          <w:color w:val="000000"/>
          <w:sz w:val="20"/>
          <w:szCs w:val="20"/>
        </w:rPr>
        <w:t>"</w:t>
      </w:r>
      <w:r w:rsidR="00E25CED">
        <w:rPr>
          <w:color w:val="000000"/>
          <w:sz w:val="20"/>
          <w:szCs w:val="20"/>
        </w:rPr>
        <w:t>The Price of College Is Rising Faster Than Wages for People With Degrees.</w:t>
      </w:r>
      <w:r>
        <w:rPr>
          <w:color w:val="000000"/>
          <w:sz w:val="20"/>
          <w:szCs w:val="20"/>
        </w:rPr>
        <w:t>"</w:t>
      </w:r>
      <w:r w:rsidR="00E25CED">
        <w:rPr>
          <w:color w:val="000000"/>
          <w:sz w:val="20"/>
          <w:szCs w:val="20"/>
        </w:rPr>
        <w:t xml:space="preserve"> USAFacts, May 17, 2021. </w:t>
      </w:r>
      <w:hyperlink r:id="rId126">
        <w:r w:rsidR="00E25CED">
          <w:rPr>
            <w:rStyle w:val="Hyperlink"/>
            <w:color w:val="467886"/>
            <w:sz w:val="20"/>
            <w:szCs w:val="20"/>
          </w:rPr>
          <w:t>https://usafacts.org/articles/is-college-worth-it-the-price-of-college-is-rising-faster-than-wages-for-people-with-degrees/</w:t>
        </w:r>
      </w:hyperlink>
      <w:r w:rsidR="00E25CED">
        <w:rPr>
          <w:color w:val="000000"/>
          <w:sz w:val="20"/>
          <w:szCs w:val="20"/>
        </w:rPr>
        <w:t>.</w:t>
      </w:r>
    </w:p>
    <w:p w14:paraId="017CE71C" w14:textId="77777777" w:rsidR="00E25CED" w:rsidRDefault="00E25CED">
      <w:pPr>
        <w:spacing w:line="240" w:lineRule="auto"/>
        <w:ind w:firstLine="0"/>
        <w:rPr>
          <w:color w:val="000000"/>
          <w:sz w:val="20"/>
          <w:szCs w:val="20"/>
        </w:rPr>
      </w:pPr>
    </w:p>
  </w:endnote>
  <w:endnote w:id="79">
    <w:p w14:paraId="366A9FFF" w14:textId="77777777" w:rsidR="00DD5E59" w:rsidRPr="00DD5E59" w:rsidRDefault="00E25CED" w:rsidP="00DD5E59">
      <w:pPr>
        <w:spacing w:line="240" w:lineRule="auto"/>
        <w:ind w:firstLine="0"/>
        <w:rPr>
          <w:color w:val="000000"/>
          <w:sz w:val="20"/>
          <w:szCs w:val="20"/>
        </w:rPr>
      </w:pPr>
      <w:r>
        <w:rPr>
          <w:rStyle w:val="FootnoteCharacters"/>
        </w:rPr>
        <w:endnoteRef/>
      </w:r>
      <w:r>
        <w:rPr>
          <w:color w:val="000000"/>
          <w:sz w:val="20"/>
          <w:szCs w:val="20"/>
        </w:rPr>
        <w:t xml:space="preserve"> </w:t>
      </w:r>
      <w:r w:rsidR="00DD5E59" w:rsidRPr="00DD5E59">
        <w:rPr>
          <w:color w:val="000000"/>
          <w:sz w:val="20"/>
          <w:szCs w:val="20"/>
        </w:rPr>
        <w:t xml:space="preserve">The phenomenon of fabricated citations in AI-generated text has become a significant concern in academic and professional contexts. A peer-reviewed study published in </w:t>
      </w:r>
      <w:r w:rsidR="00DD5E59" w:rsidRPr="00DD5E59">
        <w:rPr>
          <w:i/>
          <w:iCs/>
          <w:color w:val="000000"/>
          <w:sz w:val="20"/>
          <w:szCs w:val="20"/>
        </w:rPr>
        <w:t>Scientific Reports</w:t>
      </w:r>
      <w:r w:rsidR="00DD5E59" w:rsidRPr="00DD5E59">
        <w:rPr>
          <w:color w:val="000000"/>
          <w:sz w:val="20"/>
          <w:szCs w:val="20"/>
        </w:rPr>
        <w:t xml:space="preserve"> found that 64 percent of citations generated by ChatGPT were entirely fabricated, complete with plausible author names, journal titles, and DOIs that led nowhere. These fabricated citations have begun appearing in actual published papers, creating a kind of academic pollution: researchers at Deakin University found that nearly one in five AI-generated citations in mental health research were fake, with over half containing significant errors. Perhaps most troubling, </w:t>
      </w:r>
      <w:r w:rsidR="00DD5E59" w:rsidRPr="00DD5E59">
        <w:rPr>
          <w:i/>
          <w:iCs/>
          <w:color w:val="000000"/>
          <w:sz w:val="20"/>
          <w:szCs w:val="20"/>
        </w:rPr>
        <w:t>Rolling Stone</w:t>
      </w:r>
      <w:r w:rsidR="00DD5E59" w:rsidRPr="00DD5E59">
        <w:rPr>
          <w:color w:val="000000"/>
          <w:sz w:val="20"/>
          <w:szCs w:val="20"/>
        </w:rPr>
        <w:t xml:space="preserve"> documented cases where fabricated AI citations had been cited by other researchers, laundering invented sources into the scholarly record. The unreliability is not a temporary limitation being engineered away. Bender, Gebru, and colleagues described language models as "stochastic parrots" that produce fluent text by assembling statistical patterns from training data without any mechanism for checking outputs against reality. Systems optimized for fluent output have no internal means of distinguishing true from false, a constraint that persists regardless of model size or training data volume.</w:t>
      </w:r>
    </w:p>
    <w:p w14:paraId="7B816139" w14:textId="3388CFF5" w:rsidR="00E25CED" w:rsidRDefault="00E25CED">
      <w:pPr>
        <w:spacing w:line="240" w:lineRule="auto"/>
        <w:ind w:firstLine="0"/>
        <w:rPr>
          <w:b/>
          <w:bCs/>
          <w:color w:val="000000"/>
          <w:sz w:val="20"/>
          <w:szCs w:val="20"/>
        </w:rPr>
      </w:pPr>
    </w:p>
    <w:p w14:paraId="2D7BB7E0" w14:textId="3F73D658" w:rsidR="00E25CED" w:rsidRDefault="00E25CED">
      <w:pPr>
        <w:spacing w:line="240" w:lineRule="auto"/>
        <w:ind w:firstLine="0"/>
        <w:rPr>
          <w:color w:val="000000"/>
          <w:sz w:val="20"/>
          <w:szCs w:val="20"/>
        </w:rPr>
      </w:pPr>
      <w:r>
        <w:rPr>
          <w:color w:val="000000"/>
          <w:sz w:val="20"/>
          <w:szCs w:val="20"/>
        </w:rPr>
        <w:t xml:space="preserve">Cabanac, Guillaume, and Cyril Labbé. </w:t>
      </w:r>
      <w:r w:rsidR="00463E2E">
        <w:rPr>
          <w:color w:val="000000"/>
          <w:sz w:val="20"/>
          <w:szCs w:val="20"/>
        </w:rPr>
        <w:t>"</w:t>
      </w:r>
      <w:r>
        <w:rPr>
          <w:color w:val="000000"/>
          <w:sz w:val="20"/>
          <w:szCs w:val="20"/>
        </w:rPr>
        <w:t>Fabrication and errors in the bibliographic citations generated by ChatGPT.</w:t>
      </w:r>
      <w:r w:rsidR="00463E2E">
        <w:rPr>
          <w:color w:val="000000"/>
          <w:sz w:val="20"/>
          <w:szCs w:val="20"/>
        </w:rPr>
        <w:t>"</w:t>
      </w:r>
      <w:r>
        <w:rPr>
          <w:color w:val="000000"/>
          <w:sz w:val="20"/>
          <w:szCs w:val="20"/>
        </w:rPr>
        <w:t xml:space="preserve"> </w:t>
      </w:r>
      <w:r>
        <w:rPr>
          <w:i/>
          <w:iCs/>
          <w:color w:val="000000"/>
          <w:sz w:val="20"/>
          <w:szCs w:val="20"/>
        </w:rPr>
        <w:t>Scientific Reports</w:t>
      </w:r>
      <w:r>
        <w:rPr>
          <w:color w:val="000000"/>
          <w:sz w:val="20"/>
          <w:szCs w:val="20"/>
        </w:rPr>
        <w:t xml:space="preserve"> 13, no. 14045 (August 2023). </w:t>
      </w:r>
      <w:hyperlink r:id="rId127">
        <w:r>
          <w:rPr>
            <w:rStyle w:val="Hyperlink"/>
            <w:color w:val="467886"/>
            <w:sz w:val="20"/>
            <w:szCs w:val="20"/>
          </w:rPr>
          <w:t>https://www.nature.com/articles/s41598-023-41032-5</w:t>
        </w:r>
      </w:hyperlink>
    </w:p>
    <w:p w14:paraId="7E49E310" w14:textId="77777777" w:rsidR="00E25CED" w:rsidRDefault="00E25CED">
      <w:pPr>
        <w:spacing w:line="240" w:lineRule="auto"/>
        <w:ind w:firstLine="0"/>
        <w:rPr>
          <w:color w:val="000000"/>
          <w:sz w:val="20"/>
          <w:szCs w:val="20"/>
        </w:rPr>
      </w:pPr>
    </w:p>
    <w:p w14:paraId="7398E315" w14:textId="4F3EE085" w:rsidR="00E25CED" w:rsidRDefault="00E25CED">
      <w:pPr>
        <w:spacing w:line="240" w:lineRule="auto"/>
        <w:ind w:firstLine="0"/>
        <w:rPr>
          <w:color w:val="000000"/>
          <w:sz w:val="20"/>
          <w:szCs w:val="20"/>
        </w:rPr>
      </w:pPr>
      <w:r>
        <w:rPr>
          <w:color w:val="000000"/>
          <w:sz w:val="20"/>
          <w:szCs w:val="20"/>
        </w:rPr>
        <w:t xml:space="preserve">Linardon, Jake, et al. </w:t>
      </w:r>
      <w:r w:rsidR="00463E2E">
        <w:rPr>
          <w:color w:val="000000"/>
          <w:sz w:val="20"/>
          <w:szCs w:val="20"/>
        </w:rPr>
        <w:t>"</w:t>
      </w:r>
      <w:r>
        <w:rPr>
          <w:color w:val="000000"/>
          <w:sz w:val="20"/>
          <w:szCs w:val="20"/>
        </w:rPr>
        <w:t>Influence of Topic Familiarity and Prompt Specificity on Citation Fabrication in Mental Health Research Using Large Language Models.</w:t>
      </w:r>
      <w:r w:rsidR="00463E2E">
        <w:rPr>
          <w:color w:val="000000"/>
          <w:sz w:val="20"/>
          <w:szCs w:val="20"/>
        </w:rPr>
        <w:t>"</w:t>
      </w:r>
      <w:r>
        <w:rPr>
          <w:color w:val="000000"/>
          <w:sz w:val="20"/>
          <w:szCs w:val="20"/>
        </w:rPr>
        <w:t xml:space="preserve"> </w:t>
      </w:r>
      <w:r>
        <w:rPr>
          <w:i/>
          <w:iCs/>
          <w:color w:val="000000"/>
          <w:sz w:val="20"/>
          <w:szCs w:val="20"/>
        </w:rPr>
        <w:t>JMIR Mental Health</w:t>
      </w:r>
      <w:r>
        <w:rPr>
          <w:color w:val="000000"/>
          <w:sz w:val="20"/>
          <w:szCs w:val="20"/>
        </w:rPr>
        <w:t xml:space="preserve">, November 2025. Via EurekAlert: </w:t>
      </w:r>
      <w:hyperlink r:id="rId128">
        <w:r>
          <w:rPr>
            <w:rStyle w:val="Hyperlink"/>
            <w:color w:val="467886"/>
            <w:sz w:val="20"/>
            <w:szCs w:val="20"/>
          </w:rPr>
          <w:t>https://www.eurekalert.org/news-releases/1106130</w:t>
        </w:r>
      </w:hyperlink>
    </w:p>
    <w:p w14:paraId="4B4C89A6" w14:textId="77777777" w:rsidR="00E25CED" w:rsidRDefault="00E25CED">
      <w:pPr>
        <w:spacing w:line="240" w:lineRule="auto"/>
        <w:ind w:firstLine="0"/>
        <w:rPr>
          <w:color w:val="000000"/>
          <w:sz w:val="20"/>
          <w:szCs w:val="20"/>
        </w:rPr>
      </w:pPr>
    </w:p>
    <w:p w14:paraId="52498A3B" w14:textId="19FB9A97" w:rsidR="00E25CED" w:rsidRDefault="00E25CED">
      <w:pPr>
        <w:spacing w:line="240" w:lineRule="auto"/>
        <w:ind w:firstLine="0"/>
        <w:rPr>
          <w:color w:val="000000"/>
          <w:sz w:val="20"/>
          <w:szCs w:val="20"/>
        </w:rPr>
      </w:pPr>
      <w:r>
        <w:rPr>
          <w:color w:val="000000"/>
          <w:sz w:val="20"/>
          <w:szCs w:val="20"/>
        </w:rPr>
        <w:t xml:space="preserve">Dickson, E.J. </w:t>
      </w:r>
      <w:r w:rsidR="00463E2E">
        <w:rPr>
          <w:color w:val="000000"/>
          <w:sz w:val="20"/>
          <w:szCs w:val="20"/>
        </w:rPr>
        <w:t>"</w:t>
      </w:r>
      <w:r>
        <w:rPr>
          <w:color w:val="000000"/>
          <w:sz w:val="20"/>
          <w:szCs w:val="20"/>
        </w:rPr>
        <w:t>AI Chatbots Are Poisoning Research Archives With Fake Citations.</w:t>
      </w:r>
      <w:r w:rsidR="00463E2E">
        <w:rPr>
          <w:color w:val="000000"/>
          <w:sz w:val="20"/>
          <w:szCs w:val="20"/>
        </w:rPr>
        <w:t>"</w:t>
      </w:r>
      <w:r>
        <w:rPr>
          <w:color w:val="000000"/>
          <w:sz w:val="20"/>
          <w:szCs w:val="20"/>
        </w:rPr>
        <w:t xml:space="preserve"> </w:t>
      </w:r>
      <w:r>
        <w:rPr>
          <w:i/>
          <w:iCs/>
          <w:color w:val="000000"/>
          <w:sz w:val="20"/>
          <w:szCs w:val="20"/>
        </w:rPr>
        <w:t>Rolling Stone</w:t>
      </w:r>
      <w:r>
        <w:rPr>
          <w:color w:val="000000"/>
          <w:sz w:val="20"/>
          <w:szCs w:val="20"/>
        </w:rPr>
        <w:t xml:space="preserve">, December 17, 2025. </w:t>
      </w:r>
      <w:hyperlink r:id="rId129">
        <w:r>
          <w:rPr>
            <w:rStyle w:val="Hyperlink"/>
            <w:color w:val="467886"/>
            <w:sz w:val="20"/>
            <w:szCs w:val="20"/>
          </w:rPr>
          <w:t>https://www.rollingstone.com/culture/culture-features/ai-chatbot-journal-research-fake-citations-1235485484</w:t>
        </w:r>
      </w:hyperlink>
    </w:p>
    <w:p w14:paraId="6A48ECF9" w14:textId="77777777" w:rsidR="00E25CED" w:rsidRDefault="00E25CED">
      <w:pPr>
        <w:spacing w:line="240" w:lineRule="auto"/>
        <w:ind w:firstLine="0"/>
        <w:rPr>
          <w:color w:val="000000"/>
          <w:sz w:val="20"/>
          <w:szCs w:val="20"/>
        </w:rPr>
      </w:pPr>
    </w:p>
    <w:p w14:paraId="0AB7E9BF" w14:textId="44E102D1" w:rsidR="00E25CED" w:rsidRDefault="00463E2E">
      <w:pPr>
        <w:spacing w:line="240" w:lineRule="auto"/>
        <w:ind w:firstLine="0"/>
        <w:rPr>
          <w:color w:val="000000"/>
          <w:sz w:val="20"/>
          <w:szCs w:val="20"/>
        </w:rPr>
      </w:pPr>
      <w:r>
        <w:rPr>
          <w:color w:val="000000"/>
          <w:sz w:val="20"/>
          <w:szCs w:val="20"/>
        </w:rPr>
        <w:t>"</w:t>
      </w:r>
      <w:r w:rsidR="00E25CED">
        <w:rPr>
          <w:color w:val="000000"/>
          <w:sz w:val="20"/>
          <w:szCs w:val="20"/>
        </w:rPr>
        <w:t>Can researchers stop AI making up citations?</w:t>
      </w:r>
      <w:r>
        <w:rPr>
          <w:color w:val="000000"/>
          <w:sz w:val="20"/>
          <w:szCs w:val="20"/>
        </w:rPr>
        <w:t>"</w:t>
      </w:r>
      <w:r w:rsidR="00E25CED">
        <w:rPr>
          <w:color w:val="000000"/>
          <w:sz w:val="20"/>
          <w:szCs w:val="20"/>
        </w:rPr>
        <w:t xml:space="preserve"> </w:t>
      </w:r>
      <w:r w:rsidR="00E25CED">
        <w:rPr>
          <w:i/>
          <w:iCs/>
          <w:color w:val="000000"/>
          <w:sz w:val="20"/>
          <w:szCs w:val="20"/>
        </w:rPr>
        <w:t>Nature</w:t>
      </w:r>
      <w:r w:rsidR="00E25CED">
        <w:rPr>
          <w:color w:val="000000"/>
          <w:sz w:val="20"/>
          <w:szCs w:val="20"/>
        </w:rPr>
        <w:t xml:space="preserve">, September 2025. </w:t>
      </w:r>
      <w:hyperlink r:id="rId130">
        <w:r w:rsidR="00E25CED">
          <w:rPr>
            <w:rStyle w:val="Hyperlink"/>
            <w:color w:val="467886"/>
            <w:sz w:val="20"/>
            <w:szCs w:val="20"/>
          </w:rPr>
          <w:t>https://www.nature.com/articles/d41586-025-02853-8</w:t>
        </w:r>
      </w:hyperlink>
    </w:p>
    <w:p w14:paraId="4C8EFD55" w14:textId="77777777" w:rsidR="00E25CED" w:rsidRDefault="00E25CED">
      <w:pPr>
        <w:spacing w:line="240" w:lineRule="auto"/>
        <w:ind w:firstLine="0"/>
        <w:rPr>
          <w:color w:val="000000"/>
          <w:sz w:val="20"/>
          <w:szCs w:val="20"/>
        </w:rPr>
      </w:pPr>
    </w:p>
    <w:p w14:paraId="4886096F" w14:textId="77777777" w:rsidR="00DD5E59" w:rsidRPr="00DD5E59" w:rsidRDefault="00DD5E59" w:rsidP="00DD5E59">
      <w:pPr>
        <w:spacing w:line="240" w:lineRule="auto"/>
        <w:ind w:firstLine="0"/>
        <w:rPr>
          <w:color w:val="000000"/>
          <w:sz w:val="20"/>
          <w:szCs w:val="20"/>
        </w:rPr>
      </w:pPr>
      <w:r w:rsidRPr="00DD5E59">
        <w:rPr>
          <w:color w:val="000000"/>
          <w:sz w:val="20"/>
          <w:szCs w:val="20"/>
        </w:rPr>
        <w:t xml:space="preserve">Bender, Emily M., Timnit Gebru, Angelina McMillan-Major, and Shmargaret Shmitchell. "On the Dangers of Stochastic Parrots: Can Language Models Be Too Big?" In </w:t>
      </w:r>
      <w:r w:rsidRPr="00DD5E59">
        <w:rPr>
          <w:i/>
          <w:iCs/>
          <w:color w:val="000000"/>
          <w:sz w:val="20"/>
          <w:szCs w:val="20"/>
        </w:rPr>
        <w:t>Proceedings of the 2021 ACM Conference on Fairness, Accountability, and Transparency (FAccT '21)</w:t>
      </w:r>
      <w:r w:rsidRPr="00DD5E59">
        <w:rPr>
          <w:color w:val="000000"/>
          <w:sz w:val="20"/>
          <w:szCs w:val="20"/>
        </w:rPr>
        <w:t xml:space="preserve">, 610-623. Association for Computing Machinery, 2021. </w:t>
      </w:r>
      <w:hyperlink r:id="rId131" w:history="1">
        <w:r w:rsidRPr="00DD5E59">
          <w:rPr>
            <w:rStyle w:val="Hyperlink"/>
            <w:sz w:val="20"/>
            <w:szCs w:val="20"/>
          </w:rPr>
          <w:t>https://doi.org/10.1145/3442188.3445922</w:t>
        </w:r>
      </w:hyperlink>
    </w:p>
    <w:p w14:paraId="0A5BD756" w14:textId="77777777" w:rsidR="00DD5E59" w:rsidRDefault="00DD5E59">
      <w:pPr>
        <w:spacing w:line="240" w:lineRule="auto"/>
        <w:ind w:firstLine="0"/>
        <w:rPr>
          <w:color w:val="000000"/>
          <w:sz w:val="20"/>
          <w:szCs w:val="20"/>
        </w:rPr>
      </w:pPr>
    </w:p>
  </w:endnote>
  <w:endnote w:id="80">
    <w:p w14:paraId="04FB29EC" w14:textId="77777777" w:rsidR="00695312" w:rsidRPr="00695312" w:rsidRDefault="00E25CED" w:rsidP="00695312">
      <w:pPr>
        <w:spacing w:line="240" w:lineRule="auto"/>
        <w:ind w:firstLine="0"/>
        <w:rPr>
          <w:color w:val="000000"/>
          <w:sz w:val="20"/>
          <w:szCs w:val="20"/>
        </w:rPr>
      </w:pPr>
      <w:r>
        <w:rPr>
          <w:rStyle w:val="FootnoteCharacters"/>
        </w:rPr>
        <w:endnoteRef/>
      </w:r>
      <w:r>
        <w:rPr>
          <w:color w:val="000000"/>
          <w:sz w:val="20"/>
          <w:szCs w:val="20"/>
        </w:rPr>
        <w:t xml:space="preserve"> </w:t>
      </w:r>
      <w:r w:rsidR="00695312" w:rsidRPr="00695312">
        <w:rPr>
          <w:color w:val="000000"/>
          <w:sz w:val="20"/>
          <w:szCs w:val="20"/>
        </w:rPr>
        <w:t>In early 2024, an employee at a Hong Kong multinational transferred $25 million after a video call with AI-generated deepfakes of the company's executives. The FBI issued a formal alert on generative AI in financial fraud in December 2024. The World Economic Forum reported deepfake-enabled fraud surged 1,740 percent in North America between 2022 and 2023.</w:t>
      </w:r>
    </w:p>
    <w:p w14:paraId="300A846A" w14:textId="3283E86D" w:rsidR="00E25CED" w:rsidRDefault="00E25CED">
      <w:pPr>
        <w:spacing w:line="240" w:lineRule="auto"/>
        <w:ind w:firstLine="0"/>
        <w:rPr>
          <w:b/>
          <w:bCs/>
          <w:color w:val="000000"/>
          <w:sz w:val="20"/>
          <w:szCs w:val="20"/>
        </w:rPr>
      </w:pPr>
    </w:p>
    <w:p w14:paraId="1E8699B9" w14:textId="1F265CC9" w:rsidR="00E25CED" w:rsidRDefault="00E25CED">
      <w:pPr>
        <w:spacing w:line="240" w:lineRule="auto"/>
        <w:ind w:firstLine="0"/>
        <w:rPr>
          <w:color w:val="000000"/>
          <w:sz w:val="20"/>
          <w:szCs w:val="20"/>
        </w:rPr>
      </w:pPr>
      <w:r>
        <w:rPr>
          <w:color w:val="000000"/>
          <w:sz w:val="20"/>
          <w:szCs w:val="20"/>
        </w:rPr>
        <w:t xml:space="preserve">Chen, Heather. </w:t>
      </w:r>
      <w:r w:rsidR="00463E2E">
        <w:rPr>
          <w:color w:val="000000"/>
          <w:sz w:val="20"/>
          <w:szCs w:val="20"/>
        </w:rPr>
        <w:t>"</w:t>
      </w:r>
      <w:r>
        <w:rPr>
          <w:color w:val="000000"/>
          <w:sz w:val="20"/>
          <w:szCs w:val="20"/>
        </w:rPr>
        <w:t>Finance worker pays out $25 million after video call with deepfake 'chief financial officer.'</w:t>
      </w:r>
      <w:r w:rsidR="00463E2E">
        <w:rPr>
          <w:color w:val="000000"/>
          <w:sz w:val="20"/>
          <w:szCs w:val="20"/>
        </w:rPr>
        <w:t>"</w:t>
      </w:r>
      <w:r>
        <w:rPr>
          <w:color w:val="000000"/>
          <w:sz w:val="20"/>
          <w:szCs w:val="20"/>
        </w:rPr>
        <w:t xml:space="preserve"> CNN, February 4, 2024. </w:t>
      </w:r>
      <w:hyperlink r:id="rId132">
        <w:r>
          <w:rPr>
            <w:rStyle w:val="Hyperlink"/>
            <w:color w:val="467886"/>
            <w:sz w:val="20"/>
            <w:szCs w:val="20"/>
          </w:rPr>
          <w:t>https://www.cnn.com/2024/02/04/asia/deepfake-cfo-scam-hong-kong-intl-hnk/index.html</w:t>
        </w:r>
      </w:hyperlink>
    </w:p>
    <w:p w14:paraId="2CC3FF10" w14:textId="77777777" w:rsidR="00E25CED" w:rsidRDefault="00E25CED">
      <w:pPr>
        <w:spacing w:line="240" w:lineRule="auto"/>
        <w:ind w:firstLine="0"/>
        <w:rPr>
          <w:color w:val="000000"/>
          <w:sz w:val="20"/>
          <w:szCs w:val="20"/>
        </w:rPr>
      </w:pPr>
    </w:p>
    <w:p w14:paraId="761CCCC5" w14:textId="37805B9D" w:rsidR="00E25CED" w:rsidRDefault="00E25CED">
      <w:pPr>
        <w:spacing w:line="240" w:lineRule="auto"/>
        <w:ind w:firstLine="0"/>
        <w:rPr>
          <w:color w:val="000000"/>
          <w:sz w:val="20"/>
          <w:szCs w:val="20"/>
        </w:rPr>
      </w:pPr>
      <w:r>
        <w:rPr>
          <w:color w:val="000000"/>
          <w:sz w:val="20"/>
          <w:szCs w:val="20"/>
        </w:rPr>
        <w:t xml:space="preserve">Federal Bureau of Investigation. </w:t>
      </w:r>
      <w:r w:rsidR="00463E2E">
        <w:rPr>
          <w:color w:val="000000"/>
          <w:sz w:val="20"/>
          <w:szCs w:val="20"/>
        </w:rPr>
        <w:t>"</w:t>
      </w:r>
      <w:r>
        <w:rPr>
          <w:color w:val="000000"/>
          <w:sz w:val="20"/>
          <w:szCs w:val="20"/>
        </w:rPr>
        <w:t>Criminals Use Generative Artificial Intelligence to Facilitate Financial Fraud.</w:t>
      </w:r>
      <w:r w:rsidR="00463E2E">
        <w:rPr>
          <w:color w:val="000000"/>
          <w:sz w:val="20"/>
          <w:szCs w:val="20"/>
        </w:rPr>
        <w:t>"</w:t>
      </w:r>
      <w:r>
        <w:rPr>
          <w:color w:val="000000"/>
          <w:sz w:val="20"/>
          <w:szCs w:val="20"/>
        </w:rPr>
        <w:t xml:space="preserve"> IC3 Public Service Announcement, December 3, 2024. </w:t>
      </w:r>
      <w:hyperlink r:id="rId133">
        <w:r>
          <w:rPr>
            <w:rStyle w:val="Hyperlink"/>
            <w:color w:val="467886"/>
            <w:sz w:val="20"/>
            <w:szCs w:val="20"/>
          </w:rPr>
          <w:t>https://www.ic3.gov/PSA/2024/PSA241203</w:t>
        </w:r>
      </w:hyperlink>
    </w:p>
    <w:p w14:paraId="49E8981A" w14:textId="77777777" w:rsidR="00E25CED" w:rsidRDefault="00E25CED">
      <w:pPr>
        <w:spacing w:line="240" w:lineRule="auto"/>
        <w:ind w:firstLine="0"/>
        <w:rPr>
          <w:color w:val="000000"/>
          <w:sz w:val="20"/>
          <w:szCs w:val="20"/>
        </w:rPr>
      </w:pPr>
    </w:p>
    <w:p w14:paraId="7B200511" w14:textId="15F58015" w:rsidR="00E25CED" w:rsidRDefault="00E25CED">
      <w:pPr>
        <w:spacing w:line="240" w:lineRule="auto"/>
        <w:ind w:firstLine="0"/>
        <w:rPr>
          <w:color w:val="000000"/>
          <w:sz w:val="20"/>
          <w:szCs w:val="20"/>
        </w:rPr>
      </w:pPr>
      <w:r>
        <w:rPr>
          <w:color w:val="000000"/>
          <w:sz w:val="20"/>
          <w:szCs w:val="20"/>
        </w:rPr>
        <w:t xml:space="preserve">World Economic Forum. </w:t>
      </w:r>
      <w:r w:rsidR="00463E2E">
        <w:rPr>
          <w:color w:val="000000"/>
          <w:sz w:val="20"/>
          <w:szCs w:val="20"/>
        </w:rPr>
        <w:t>"</w:t>
      </w:r>
      <w:r>
        <w:rPr>
          <w:color w:val="000000"/>
          <w:sz w:val="20"/>
          <w:szCs w:val="20"/>
        </w:rPr>
        <w:t>Detecting dangerous AI is essential in the deepfake era.</w:t>
      </w:r>
      <w:r w:rsidR="00463E2E">
        <w:rPr>
          <w:color w:val="000000"/>
          <w:sz w:val="20"/>
          <w:szCs w:val="20"/>
        </w:rPr>
        <w:t>"</w:t>
      </w:r>
      <w:r>
        <w:rPr>
          <w:color w:val="000000"/>
          <w:sz w:val="20"/>
          <w:szCs w:val="20"/>
        </w:rPr>
        <w:t xml:space="preserve"> July 2025. </w:t>
      </w:r>
      <w:hyperlink r:id="rId134">
        <w:r>
          <w:rPr>
            <w:rStyle w:val="Hyperlink"/>
            <w:color w:val="467886"/>
            <w:sz w:val="20"/>
            <w:szCs w:val="20"/>
          </w:rPr>
          <w:t>https://www.weforum.org/stories/2025/07/why-detecting-dangerous-ai-is-key-to-keeping-trust-alive/</w:t>
        </w:r>
      </w:hyperlink>
    </w:p>
    <w:p w14:paraId="53087D13" w14:textId="77777777" w:rsidR="00E25CED" w:rsidRDefault="00E25CED">
      <w:pPr>
        <w:spacing w:line="240" w:lineRule="auto"/>
        <w:ind w:firstLine="0"/>
        <w:rPr>
          <w:color w:val="000000"/>
          <w:sz w:val="20"/>
          <w:szCs w:val="20"/>
        </w:rPr>
      </w:pPr>
    </w:p>
  </w:endnote>
  <w:endnote w:id="81">
    <w:p w14:paraId="69359248" w14:textId="77777777" w:rsidR="00270E11" w:rsidRDefault="00270E11" w:rsidP="00270E11">
      <w:pPr>
        <w:pStyle w:val="Endnotes"/>
      </w:pPr>
      <w:r>
        <w:rPr>
          <w:rStyle w:val="EndnoteReference"/>
        </w:rPr>
        <w:endnoteRef/>
      </w:r>
      <w:r>
        <w:t xml:space="preserve"> </w:t>
      </w:r>
      <w:r w:rsidRPr="00270E11">
        <w:t>The evidence so far does not support that symmetry. The Communications of the ACM study cited in this chapter's endnotes found that human detection of AI-generated content has fallen to roughly coin-flip accuracy. The World Economic Forum documented that detection systems lose 45 to 50 percent of their accuracy when moved from laboratory conditions to real-world deployment, a gap that generation tools do not face. Automated fact-checking tools like ClaimBuster work best on structured factual claims (political statements, statistical assertions) where a verified database exists to check against. They are far less effective against the kind of degradation this chapter describes: fabricated citations embedded in otherwise legitimate work, subtly misrepresented holdings inside real case law, plausible statistics with no underlying source. The verification tools are real and useful. They are not scaling at the same rate as the fabrication tools, and the categories of fabrication they struggle with are precisely the categories that do the most damage to the epistemic commons.</w:t>
      </w:r>
    </w:p>
    <w:p w14:paraId="56F06D73" w14:textId="77777777" w:rsidR="00270E11" w:rsidRPr="00270E11" w:rsidRDefault="00270E11" w:rsidP="00270E11">
      <w:pPr>
        <w:pStyle w:val="Endnotes"/>
      </w:pPr>
    </w:p>
    <w:p w14:paraId="4739D449" w14:textId="77777777" w:rsidR="00270E11" w:rsidRDefault="00270E11" w:rsidP="00270E11">
      <w:pPr>
        <w:pStyle w:val="Endnotes"/>
      </w:pPr>
      <w:r w:rsidRPr="00270E11">
        <w:t xml:space="preserve">Hassan, Naeemul, Fatma Arslan, Chengkai Li, and Mark Tremayne. "Toward Automated Fact-Checking: Detecting Check-Worthy Factual Claims by ClaimBuster." In </w:t>
      </w:r>
      <w:r w:rsidRPr="00270E11">
        <w:rPr>
          <w:i/>
          <w:iCs/>
        </w:rPr>
        <w:t>Proceedings of the 23rd ACM SIGKDD International Conference on Knowledge Discovery and Data Mining</w:t>
      </w:r>
      <w:r w:rsidRPr="00270E11">
        <w:t xml:space="preserve">, 2017. </w:t>
      </w:r>
      <w:hyperlink r:id="rId135" w:history="1">
        <w:r w:rsidRPr="00270E11">
          <w:rPr>
            <w:rStyle w:val="Hyperlink"/>
          </w:rPr>
          <w:t>https://doi.org/10.1145/3097983.3098131</w:t>
        </w:r>
      </w:hyperlink>
    </w:p>
    <w:p w14:paraId="0135632C" w14:textId="77777777" w:rsidR="00270E11" w:rsidRPr="00270E11" w:rsidRDefault="00270E11" w:rsidP="00270E11">
      <w:pPr>
        <w:pStyle w:val="Endnotes"/>
      </w:pPr>
    </w:p>
    <w:p w14:paraId="1091BF3A" w14:textId="77777777" w:rsidR="00270E11" w:rsidRPr="00270E11" w:rsidRDefault="00270E11" w:rsidP="00270E11">
      <w:pPr>
        <w:pStyle w:val="Endnotes"/>
      </w:pPr>
      <w:r w:rsidRPr="00270E11">
        <w:t xml:space="preserve">Full Fact. "Automated Fact Checking." </w:t>
      </w:r>
      <w:hyperlink r:id="rId136" w:history="1">
        <w:r w:rsidRPr="00270E11">
          <w:rPr>
            <w:rStyle w:val="Hyperlink"/>
          </w:rPr>
          <w:t>https://fullfact.org/about/automated/</w:t>
        </w:r>
      </w:hyperlink>
    </w:p>
    <w:p w14:paraId="74A9EAE2" w14:textId="4261CB38" w:rsidR="00270E11" w:rsidRDefault="00270E11">
      <w:pPr>
        <w:pStyle w:val="EndnoteText"/>
      </w:pPr>
    </w:p>
  </w:endnote>
  <w:endnote w:id="82">
    <w:p w14:paraId="349DC3FF" w14:textId="77777777" w:rsidR="00695312" w:rsidRPr="00695312" w:rsidRDefault="00E25CED" w:rsidP="00695312">
      <w:pPr>
        <w:spacing w:line="240" w:lineRule="auto"/>
        <w:ind w:firstLine="0"/>
        <w:rPr>
          <w:color w:val="000000"/>
          <w:sz w:val="20"/>
          <w:szCs w:val="20"/>
        </w:rPr>
      </w:pPr>
      <w:r>
        <w:rPr>
          <w:rStyle w:val="FootnoteCharacters"/>
        </w:rPr>
        <w:endnoteRef/>
      </w:r>
      <w:r>
        <w:rPr>
          <w:color w:val="000000"/>
          <w:sz w:val="20"/>
          <w:szCs w:val="20"/>
        </w:rPr>
        <w:t xml:space="preserve"> </w:t>
      </w:r>
      <w:r w:rsidR="00695312" w:rsidRPr="00695312">
        <w:rPr>
          <w:color w:val="000000"/>
          <w:sz w:val="20"/>
          <w:szCs w:val="20"/>
        </w:rPr>
        <w:t>Voice cloning now requires only 20 to 30 seconds of sample audio; reasonably convincing video deepfakes can be produced in under an hour using free software. CEPR researchers note that generative AI produces realistic synthetic media "at almost no cost."</w:t>
      </w:r>
    </w:p>
    <w:p w14:paraId="004436C8" w14:textId="2374D1E6" w:rsidR="00E25CED" w:rsidRDefault="00E25CED">
      <w:pPr>
        <w:spacing w:line="240" w:lineRule="auto"/>
        <w:ind w:firstLine="0"/>
        <w:rPr>
          <w:b/>
          <w:bCs/>
          <w:color w:val="000000"/>
          <w:sz w:val="20"/>
          <w:szCs w:val="20"/>
        </w:rPr>
      </w:pPr>
    </w:p>
    <w:p w14:paraId="53F64988" w14:textId="36D52785" w:rsidR="00E25CED" w:rsidRDefault="00E25CED">
      <w:pPr>
        <w:spacing w:line="240" w:lineRule="auto"/>
        <w:ind w:firstLine="0"/>
        <w:rPr>
          <w:color w:val="000000"/>
          <w:sz w:val="20"/>
          <w:szCs w:val="20"/>
        </w:rPr>
      </w:pPr>
      <w:r>
        <w:rPr>
          <w:color w:val="000000"/>
          <w:sz w:val="20"/>
          <w:szCs w:val="20"/>
        </w:rPr>
        <w:t xml:space="preserve">CEPR VoxEU. </w:t>
      </w:r>
      <w:r w:rsidR="00463E2E">
        <w:rPr>
          <w:color w:val="000000"/>
          <w:sz w:val="20"/>
          <w:szCs w:val="20"/>
        </w:rPr>
        <w:t>"</w:t>
      </w:r>
      <w:r>
        <w:rPr>
          <w:color w:val="000000"/>
          <w:sz w:val="20"/>
          <w:szCs w:val="20"/>
        </w:rPr>
        <w:t>AI misinformation and the value of trusted news.</w:t>
      </w:r>
      <w:r w:rsidR="00463E2E">
        <w:rPr>
          <w:color w:val="000000"/>
          <w:sz w:val="20"/>
          <w:szCs w:val="20"/>
        </w:rPr>
        <w:t>"</w:t>
      </w:r>
      <w:r>
        <w:rPr>
          <w:color w:val="000000"/>
          <w:sz w:val="20"/>
          <w:szCs w:val="20"/>
        </w:rPr>
        <w:t xml:space="preserve"> 2025. </w:t>
      </w:r>
      <w:hyperlink r:id="rId137">
        <w:r>
          <w:rPr>
            <w:rStyle w:val="Hyperlink"/>
            <w:color w:val="467886"/>
            <w:sz w:val="20"/>
            <w:szCs w:val="20"/>
          </w:rPr>
          <w:t>https://cepr.org/voxeu/columns/ai-misinformation-and-value-trusted-news</w:t>
        </w:r>
      </w:hyperlink>
    </w:p>
    <w:p w14:paraId="2A6FCD10" w14:textId="77777777" w:rsidR="00E25CED" w:rsidRDefault="00E25CED">
      <w:pPr>
        <w:spacing w:line="240" w:lineRule="auto"/>
        <w:ind w:firstLine="0"/>
        <w:rPr>
          <w:color w:val="000000"/>
          <w:sz w:val="20"/>
          <w:szCs w:val="20"/>
        </w:rPr>
      </w:pPr>
    </w:p>
    <w:p w14:paraId="49433283" w14:textId="5BD006A4" w:rsidR="00E25CED" w:rsidRDefault="00E25CED">
      <w:pPr>
        <w:spacing w:line="240" w:lineRule="auto"/>
        <w:ind w:firstLine="0"/>
        <w:rPr>
          <w:color w:val="000000"/>
          <w:sz w:val="20"/>
          <w:szCs w:val="20"/>
        </w:rPr>
      </w:pPr>
      <w:r>
        <w:rPr>
          <w:color w:val="000000"/>
          <w:sz w:val="20"/>
          <w:szCs w:val="20"/>
        </w:rPr>
        <w:t xml:space="preserve">RAND Corporation. </w:t>
      </w:r>
      <w:r w:rsidR="00463E2E">
        <w:rPr>
          <w:color w:val="000000"/>
          <w:sz w:val="20"/>
          <w:szCs w:val="20"/>
        </w:rPr>
        <w:t>"</w:t>
      </w:r>
      <w:r>
        <w:rPr>
          <w:color w:val="000000"/>
          <w:sz w:val="20"/>
          <w:szCs w:val="20"/>
        </w:rPr>
        <w:t>Generative Artificial Intelligence Threats to Information Integrity and Potential Policy Responses.</w:t>
      </w:r>
      <w:r w:rsidR="00463E2E">
        <w:rPr>
          <w:color w:val="000000"/>
          <w:sz w:val="20"/>
          <w:szCs w:val="20"/>
        </w:rPr>
        <w:t>"</w:t>
      </w:r>
      <w:r>
        <w:rPr>
          <w:color w:val="000000"/>
          <w:sz w:val="20"/>
          <w:szCs w:val="20"/>
        </w:rPr>
        <w:t xml:space="preserve"> 2024. </w:t>
      </w:r>
      <w:hyperlink r:id="rId138">
        <w:r>
          <w:rPr>
            <w:rStyle w:val="Hyperlink"/>
            <w:color w:val="467886"/>
            <w:sz w:val="20"/>
            <w:szCs w:val="20"/>
          </w:rPr>
          <w:t>https://www.rand.org/content/dam/rand/pubs/perspectives/PEA3000/PEA3089-1/RAND_PEA3089-1.pdf</w:t>
        </w:r>
      </w:hyperlink>
    </w:p>
    <w:p w14:paraId="237FF0BD" w14:textId="77777777" w:rsidR="00E25CED" w:rsidRDefault="00E25CED">
      <w:pPr>
        <w:spacing w:line="240" w:lineRule="auto"/>
        <w:ind w:firstLine="0"/>
        <w:rPr>
          <w:color w:val="000000"/>
          <w:sz w:val="20"/>
          <w:szCs w:val="20"/>
        </w:rPr>
      </w:pPr>
    </w:p>
  </w:endnote>
  <w:endnote w:id="83">
    <w:p w14:paraId="602D96B3" w14:textId="77777777" w:rsidR="008C660C" w:rsidRPr="008C660C" w:rsidRDefault="00E25CED" w:rsidP="008C660C">
      <w:pPr>
        <w:spacing w:line="240" w:lineRule="auto"/>
        <w:ind w:firstLine="0"/>
        <w:rPr>
          <w:color w:val="000000"/>
          <w:sz w:val="20"/>
          <w:szCs w:val="20"/>
        </w:rPr>
      </w:pPr>
      <w:r>
        <w:rPr>
          <w:rStyle w:val="FootnoteCharacters"/>
        </w:rPr>
        <w:endnoteRef/>
      </w:r>
      <w:r>
        <w:rPr>
          <w:color w:val="000000"/>
          <w:sz w:val="20"/>
          <w:szCs w:val="20"/>
        </w:rPr>
        <w:t xml:space="preserve"> </w:t>
      </w:r>
      <w:r w:rsidR="008C660C" w:rsidRPr="008C660C">
        <w:rPr>
          <w:color w:val="000000"/>
          <w:sz w:val="20"/>
          <w:szCs w:val="20"/>
        </w:rPr>
        <w:t>Imperva's 2025 report found automated bot traffic constitutes 51 percent of all web traffic. An analysis of Facebook content found over 40 percent of long-form posts showed markers of AI generation by late 2024. The International AI Safety Report 2026 documented detection accuracy barely better than chance.</w:t>
      </w:r>
    </w:p>
    <w:p w14:paraId="77DEDC13" w14:textId="4FFB4DEF" w:rsidR="00E25CED" w:rsidRDefault="00E25CED">
      <w:pPr>
        <w:spacing w:line="240" w:lineRule="auto"/>
        <w:ind w:firstLine="0"/>
        <w:rPr>
          <w:b/>
          <w:bCs/>
          <w:color w:val="000000"/>
          <w:sz w:val="20"/>
          <w:szCs w:val="20"/>
        </w:rPr>
      </w:pPr>
    </w:p>
    <w:p w14:paraId="3BADCCE6" w14:textId="34BD0195" w:rsidR="00E25CED" w:rsidRDefault="00E25CED">
      <w:pPr>
        <w:spacing w:line="240" w:lineRule="auto"/>
        <w:ind w:firstLine="0"/>
        <w:rPr>
          <w:color w:val="000000"/>
          <w:sz w:val="20"/>
          <w:szCs w:val="20"/>
        </w:rPr>
      </w:pPr>
      <w:r>
        <w:rPr>
          <w:color w:val="000000"/>
          <w:sz w:val="20"/>
          <w:szCs w:val="20"/>
        </w:rPr>
        <w:t xml:space="preserve">Imperva. </w:t>
      </w:r>
      <w:r w:rsidR="00463E2E">
        <w:rPr>
          <w:color w:val="000000"/>
          <w:sz w:val="20"/>
          <w:szCs w:val="20"/>
        </w:rPr>
        <w:t>"</w:t>
      </w:r>
      <w:r>
        <w:rPr>
          <w:color w:val="000000"/>
          <w:sz w:val="20"/>
          <w:szCs w:val="20"/>
        </w:rPr>
        <w:t>Bad Bot Report 2025.</w:t>
      </w:r>
      <w:r w:rsidR="00463E2E">
        <w:rPr>
          <w:color w:val="000000"/>
          <w:sz w:val="20"/>
          <w:szCs w:val="20"/>
        </w:rPr>
        <w:t>"</w:t>
      </w:r>
      <w:r>
        <w:rPr>
          <w:color w:val="000000"/>
          <w:sz w:val="20"/>
          <w:szCs w:val="20"/>
        </w:rPr>
        <w:t xml:space="preserve"> April 2025. Reported via Malwarebytes: </w:t>
      </w:r>
      <w:hyperlink r:id="rId139">
        <w:r>
          <w:rPr>
            <w:rStyle w:val="Hyperlink"/>
            <w:color w:val="467886"/>
            <w:sz w:val="20"/>
            <w:szCs w:val="20"/>
          </w:rPr>
          <w:t>https://www.malwarebytes.com/blog/news/2025/05/the-bots-are-winning</w:t>
        </w:r>
      </w:hyperlink>
    </w:p>
    <w:p w14:paraId="159A611C" w14:textId="77777777" w:rsidR="00E25CED" w:rsidRDefault="00E25CED">
      <w:pPr>
        <w:spacing w:line="240" w:lineRule="auto"/>
        <w:ind w:firstLine="0"/>
        <w:rPr>
          <w:color w:val="000000"/>
          <w:sz w:val="20"/>
          <w:szCs w:val="20"/>
        </w:rPr>
      </w:pPr>
    </w:p>
    <w:p w14:paraId="5E8C2292" w14:textId="5C817F1A" w:rsidR="00E25CED" w:rsidRDefault="00E25CED">
      <w:pPr>
        <w:spacing w:line="240" w:lineRule="auto"/>
        <w:ind w:firstLine="0"/>
        <w:rPr>
          <w:color w:val="000000"/>
          <w:sz w:val="20"/>
          <w:szCs w:val="20"/>
        </w:rPr>
      </w:pPr>
      <w:r>
        <w:rPr>
          <w:color w:val="000000"/>
          <w:sz w:val="20"/>
          <w:szCs w:val="20"/>
        </w:rPr>
        <w:t xml:space="preserve">Stan Ventures. </w:t>
      </w:r>
      <w:r w:rsidR="00463E2E">
        <w:rPr>
          <w:color w:val="000000"/>
          <w:sz w:val="20"/>
          <w:szCs w:val="20"/>
        </w:rPr>
        <w:t>"</w:t>
      </w:r>
      <w:r>
        <w:rPr>
          <w:color w:val="000000"/>
          <w:sz w:val="20"/>
          <w:szCs w:val="20"/>
        </w:rPr>
        <w:t>Facebook Flooded with AI: Over 40% of Posts Are Machine Generated.</w:t>
      </w:r>
      <w:r w:rsidR="00463E2E">
        <w:rPr>
          <w:color w:val="000000"/>
          <w:sz w:val="20"/>
          <w:szCs w:val="20"/>
        </w:rPr>
        <w:t>"</w:t>
      </w:r>
      <w:r>
        <w:rPr>
          <w:color w:val="000000"/>
          <w:sz w:val="20"/>
          <w:szCs w:val="20"/>
        </w:rPr>
        <w:t xml:space="preserve"> October 2025. </w:t>
      </w:r>
      <w:hyperlink r:id="rId140">
        <w:r>
          <w:rPr>
            <w:rStyle w:val="Hyperlink"/>
            <w:color w:val="467886"/>
            <w:sz w:val="20"/>
            <w:szCs w:val="20"/>
          </w:rPr>
          <w:t>https://www.stanventures.com/news/facebook-flooded-with-ai-over-40-of-posts-are-machine-generated-1847/</w:t>
        </w:r>
      </w:hyperlink>
    </w:p>
    <w:p w14:paraId="41172C1B" w14:textId="77777777" w:rsidR="00E25CED" w:rsidRDefault="00E25CED">
      <w:pPr>
        <w:spacing w:line="240" w:lineRule="auto"/>
        <w:ind w:firstLine="0"/>
        <w:rPr>
          <w:color w:val="000000"/>
          <w:sz w:val="20"/>
          <w:szCs w:val="20"/>
        </w:rPr>
      </w:pPr>
    </w:p>
    <w:p w14:paraId="3103E552" w14:textId="77777777" w:rsidR="00E25CED" w:rsidRDefault="00E25CED">
      <w:pPr>
        <w:spacing w:line="240" w:lineRule="auto"/>
        <w:ind w:firstLine="0"/>
        <w:rPr>
          <w:color w:val="000000"/>
          <w:sz w:val="20"/>
          <w:szCs w:val="20"/>
        </w:rPr>
      </w:pPr>
      <w:r>
        <w:rPr>
          <w:color w:val="000000"/>
          <w:sz w:val="20"/>
          <w:szCs w:val="20"/>
        </w:rPr>
        <w:t xml:space="preserve">International AI Safety Report 2026. February 2026. </w:t>
      </w:r>
      <w:hyperlink r:id="rId141">
        <w:r>
          <w:rPr>
            <w:rStyle w:val="Hyperlink"/>
            <w:color w:val="467886"/>
            <w:sz w:val="20"/>
            <w:szCs w:val="20"/>
          </w:rPr>
          <w:t>https://internationalaisafetyreport.org/publication/international-ai-safety-report-2026</w:t>
        </w:r>
      </w:hyperlink>
    </w:p>
    <w:p w14:paraId="38F7ADEE" w14:textId="77777777" w:rsidR="00E25CED" w:rsidRDefault="00E25CED">
      <w:pPr>
        <w:spacing w:line="240" w:lineRule="auto"/>
        <w:ind w:firstLine="0"/>
        <w:rPr>
          <w:color w:val="000000"/>
          <w:sz w:val="20"/>
          <w:szCs w:val="20"/>
        </w:rPr>
      </w:pPr>
    </w:p>
  </w:endnote>
  <w:endnote w:id="84">
    <w:p w14:paraId="274676AB" w14:textId="77777777" w:rsidR="008C660C" w:rsidRPr="008C660C" w:rsidRDefault="00E25CED" w:rsidP="008C660C">
      <w:pPr>
        <w:spacing w:line="240" w:lineRule="auto"/>
        <w:ind w:firstLine="0"/>
        <w:rPr>
          <w:color w:val="000000"/>
          <w:sz w:val="20"/>
          <w:szCs w:val="20"/>
        </w:rPr>
      </w:pPr>
      <w:r>
        <w:rPr>
          <w:rStyle w:val="FootnoteCharacters"/>
        </w:rPr>
        <w:endnoteRef/>
      </w:r>
      <w:r>
        <w:rPr>
          <w:color w:val="000000"/>
          <w:sz w:val="20"/>
          <w:szCs w:val="20"/>
        </w:rPr>
        <w:t xml:space="preserve"> </w:t>
      </w:r>
      <w:r w:rsidR="008C660C" w:rsidRPr="008C660C">
        <w:rPr>
          <w:color w:val="000000"/>
          <w:sz w:val="20"/>
          <w:szCs w:val="20"/>
        </w:rPr>
        <w:t>An NPR investigation documented AI-generated content published under fabricated bylines at Sports Illustrated, the Los Angeles Times, and other major outlets. When CNET published AI-written articles without disclosure, the Washington Post found significant factual errors. A 2025 University of Maryland study estimated roughly 9 percent of news content showed evidence of AI generation.</w:t>
      </w:r>
    </w:p>
    <w:p w14:paraId="549D65E1" w14:textId="554357BC" w:rsidR="00E25CED" w:rsidRDefault="00E25CED">
      <w:pPr>
        <w:spacing w:line="240" w:lineRule="auto"/>
        <w:ind w:firstLine="0"/>
        <w:rPr>
          <w:b/>
          <w:bCs/>
          <w:color w:val="000000"/>
          <w:sz w:val="20"/>
          <w:szCs w:val="20"/>
        </w:rPr>
      </w:pPr>
    </w:p>
    <w:p w14:paraId="355A596E" w14:textId="22C90FD7" w:rsidR="00E25CED" w:rsidRDefault="00E25CED">
      <w:pPr>
        <w:spacing w:line="240" w:lineRule="auto"/>
        <w:ind w:firstLine="0"/>
        <w:rPr>
          <w:color w:val="000000"/>
          <w:sz w:val="20"/>
          <w:szCs w:val="20"/>
        </w:rPr>
      </w:pPr>
      <w:r>
        <w:rPr>
          <w:color w:val="000000"/>
          <w:sz w:val="20"/>
          <w:szCs w:val="20"/>
        </w:rPr>
        <w:t xml:space="preserve">Fortino, Regina. </w:t>
      </w:r>
      <w:r w:rsidR="00463E2E">
        <w:rPr>
          <w:color w:val="000000"/>
          <w:sz w:val="20"/>
          <w:szCs w:val="20"/>
        </w:rPr>
        <w:t>"</w:t>
      </w:r>
      <w:r>
        <w:rPr>
          <w:color w:val="000000"/>
          <w:sz w:val="20"/>
          <w:szCs w:val="20"/>
        </w:rPr>
        <w:t>AI-generated articles are permeating major news publications.</w:t>
      </w:r>
      <w:r w:rsidR="00463E2E">
        <w:rPr>
          <w:color w:val="000000"/>
          <w:sz w:val="20"/>
          <w:szCs w:val="20"/>
        </w:rPr>
        <w:t>"</w:t>
      </w:r>
      <w:r>
        <w:rPr>
          <w:color w:val="000000"/>
          <w:sz w:val="20"/>
          <w:szCs w:val="20"/>
        </w:rPr>
        <w:t xml:space="preserve"> NPR, May 16, 2024. </w:t>
      </w:r>
      <w:hyperlink r:id="rId142">
        <w:r>
          <w:rPr>
            <w:rStyle w:val="Hyperlink"/>
            <w:color w:val="467886"/>
            <w:sz w:val="20"/>
            <w:szCs w:val="20"/>
          </w:rPr>
          <w:t>https://www.npr.org/2024/05/16/1251917136/ai-generated-articles-are-permeating-major-news-publications</w:t>
        </w:r>
      </w:hyperlink>
    </w:p>
    <w:p w14:paraId="6625B1FE" w14:textId="77777777" w:rsidR="00E25CED" w:rsidRDefault="00E25CED">
      <w:pPr>
        <w:spacing w:line="240" w:lineRule="auto"/>
        <w:ind w:firstLine="0"/>
        <w:rPr>
          <w:color w:val="000000"/>
          <w:sz w:val="20"/>
          <w:szCs w:val="20"/>
        </w:rPr>
      </w:pPr>
    </w:p>
    <w:p w14:paraId="6258B7CE" w14:textId="137EF5D8" w:rsidR="00E25CED" w:rsidRDefault="00E25CED">
      <w:pPr>
        <w:spacing w:line="240" w:lineRule="auto"/>
        <w:ind w:firstLine="0"/>
        <w:rPr>
          <w:color w:val="000000"/>
          <w:sz w:val="20"/>
          <w:szCs w:val="20"/>
        </w:rPr>
      </w:pPr>
      <w:r>
        <w:rPr>
          <w:color w:val="000000"/>
          <w:sz w:val="20"/>
          <w:szCs w:val="20"/>
        </w:rPr>
        <w:t xml:space="preserve">Farhi, Paul. </w:t>
      </w:r>
      <w:r w:rsidR="00463E2E">
        <w:rPr>
          <w:color w:val="000000"/>
          <w:sz w:val="20"/>
          <w:szCs w:val="20"/>
        </w:rPr>
        <w:t>"</w:t>
      </w:r>
      <w:r>
        <w:rPr>
          <w:color w:val="000000"/>
          <w:sz w:val="20"/>
          <w:szCs w:val="20"/>
        </w:rPr>
        <w:t>A news site used AI to write articles. It was a journalistic disaster.</w:t>
      </w:r>
      <w:r w:rsidR="00463E2E">
        <w:rPr>
          <w:color w:val="000000"/>
          <w:sz w:val="20"/>
          <w:szCs w:val="20"/>
        </w:rPr>
        <w:t>"</w:t>
      </w:r>
      <w:r>
        <w:rPr>
          <w:color w:val="000000"/>
          <w:sz w:val="20"/>
          <w:szCs w:val="20"/>
        </w:rPr>
        <w:t xml:space="preserve"> </w:t>
      </w:r>
      <w:r>
        <w:rPr>
          <w:i/>
          <w:iCs/>
          <w:color w:val="000000"/>
          <w:sz w:val="20"/>
          <w:szCs w:val="20"/>
        </w:rPr>
        <w:t>The Washington Post</w:t>
      </w:r>
      <w:r>
        <w:rPr>
          <w:color w:val="000000"/>
          <w:sz w:val="20"/>
          <w:szCs w:val="20"/>
        </w:rPr>
        <w:t xml:space="preserve">, January 17, 2023. </w:t>
      </w:r>
      <w:hyperlink r:id="rId143">
        <w:r>
          <w:rPr>
            <w:rStyle w:val="Hyperlink"/>
            <w:color w:val="467886"/>
            <w:sz w:val="20"/>
            <w:szCs w:val="20"/>
          </w:rPr>
          <w:t>https://www.washingtonpost.com/media/2023/01/17/cnet-ai-articles-journalism-corrections/</w:t>
        </w:r>
      </w:hyperlink>
    </w:p>
    <w:p w14:paraId="00905519" w14:textId="77777777" w:rsidR="00E25CED" w:rsidRDefault="00E25CED">
      <w:pPr>
        <w:spacing w:line="240" w:lineRule="auto"/>
        <w:ind w:firstLine="0"/>
        <w:rPr>
          <w:color w:val="000000"/>
          <w:sz w:val="20"/>
          <w:szCs w:val="20"/>
        </w:rPr>
      </w:pPr>
    </w:p>
  </w:endnote>
  <w:endnote w:id="85">
    <w:p w14:paraId="3679F300" w14:textId="77777777" w:rsidR="008C660C" w:rsidRPr="008C660C" w:rsidRDefault="00E25CED" w:rsidP="008C660C">
      <w:pPr>
        <w:spacing w:line="240" w:lineRule="auto"/>
        <w:ind w:firstLine="0"/>
        <w:rPr>
          <w:color w:val="000000"/>
          <w:sz w:val="20"/>
          <w:szCs w:val="20"/>
        </w:rPr>
      </w:pPr>
      <w:r>
        <w:rPr>
          <w:rStyle w:val="FootnoteCharacters"/>
        </w:rPr>
        <w:endnoteRef/>
      </w:r>
      <w:r>
        <w:rPr>
          <w:color w:val="000000"/>
          <w:sz w:val="20"/>
          <w:szCs w:val="20"/>
        </w:rPr>
        <w:t xml:space="preserve"> </w:t>
      </w:r>
      <w:r w:rsidR="008C660C" w:rsidRPr="008C660C">
        <w:rPr>
          <w:color w:val="000000"/>
          <w:sz w:val="20"/>
          <w:szCs w:val="20"/>
        </w:rPr>
        <w:t>The World Economic Forum ranked misinformation as the number one short-term risk to global stability in both 2024 and 2025, the first time any risk category claimed that position in consecutive years. The Reuters Institute's 2026 survey found widespread pessimism among editors about their ability to respond to synthetic media.</w:t>
      </w:r>
    </w:p>
    <w:p w14:paraId="4AF353F1" w14:textId="7F6C234F" w:rsidR="00E25CED" w:rsidRDefault="00E25CED">
      <w:pPr>
        <w:spacing w:line="240" w:lineRule="auto"/>
        <w:ind w:firstLine="0"/>
        <w:rPr>
          <w:b/>
          <w:bCs/>
          <w:color w:val="000000"/>
          <w:sz w:val="20"/>
          <w:szCs w:val="20"/>
        </w:rPr>
      </w:pPr>
    </w:p>
    <w:p w14:paraId="5FA2B1DB" w14:textId="39EC20BA" w:rsidR="00E25CED" w:rsidRDefault="00E25CED">
      <w:pPr>
        <w:spacing w:line="240" w:lineRule="auto"/>
        <w:ind w:firstLine="0"/>
        <w:rPr>
          <w:color w:val="000000"/>
          <w:sz w:val="20"/>
          <w:szCs w:val="20"/>
        </w:rPr>
      </w:pPr>
      <w:r>
        <w:rPr>
          <w:color w:val="000000"/>
          <w:sz w:val="20"/>
          <w:szCs w:val="20"/>
        </w:rPr>
        <w:t xml:space="preserve">World Economic Forum. </w:t>
      </w:r>
      <w:r w:rsidR="00463E2E">
        <w:rPr>
          <w:color w:val="000000"/>
          <w:sz w:val="20"/>
          <w:szCs w:val="20"/>
        </w:rPr>
        <w:t>"</w:t>
      </w:r>
      <w:r>
        <w:rPr>
          <w:color w:val="000000"/>
          <w:sz w:val="20"/>
          <w:szCs w:val="20"/>
        </w:rPr>
        <w:t>Global Risks Report 2024.</w:t>
      </w:r>
      <w:r w:rsidR="00463E2E">
        <w:rPr>
          <w:color w:val="000000"/>
          <w:sz w:val="20"/>
          <w:szCs w:val="20"/>
        </w:rPr>
        <w:t>"</w:t>
      </w:r>
      <w:r>
        <w:rPr>
          <w:color w:val="000000"/>
          <w:sz w:val="20"/>
          <w:szCs w:val="20"/>
        </w:rPr>
        <w:t xml:space="preserve"> January 2024. </w:t>
      </w:r>
      <w:hyperlink r:id="rId144">
        <w:r>
          <w:rPr>
            <w:rStyle w:val="Hyperlink"/>
            <w:color w:val="467886"/>
            <w:sz w:val="20"/>
            <w:szCs w:val="20"/>
          </w:rPr>
          <w:t>https://www.weforum.org/publications/global-risks-report-2024/</w:t>
        </w:r>
      </w:hyperlink>
    </w:p>
    <w:p w14:paraId="7F8E17CA" w14:textId="77777777" w:rsidR="00E25CED" w:rsidRDefault="00E25CED">
      <w:pPr>
        <w:spacing w:line="240" w:lineRule="auto"/>
        <w:ind w:firstLine="0"/>
        <w:rPr>
          <w:color w:val="000000"/>
          <w:sz w:val="20"/>
          <w:szCs w:val="20"/>
        </w:rPr>
      </w:pPr>
    </w:p>
    <w:p w14:paraId="09339C8B" w14:textId="31A80B39" w:rsidR="00E25CED" w:rsidRDefault="00E25CED">
      <w:pPr>
        <w:spacing w:line="240" w:lineRule="auto"/>
        <w:ind w:firstLine="0"/>
        <w:rPr>
          <w:color w:val="000000"/>
          <w:sz w:val="20"/>
          <w:szCs w:val="20"/>
        </w:rPr>
      </w:pPr>
      <w:r>
        <w:rPr>
          <w:color w:val="000000"/>
          <w:sz w:val="20"/>
          <w:szCs w:val="20"/>
        </w:rPr>
        <w:t xml:space="preserve">World Economic Forum. </w:t>
      </w:r>
      <w:r w:rsidR="00463E2E">
        <w:rPr>
          <w:color w:val="000000"/>
          <w:sz w:val="20"/>
          <w:szCs w:val="20"/>
        </w:rPr>
        <w:t>"</w:t>
      </w:r>
      <w:r>
        <w:rPr>
          <w:color w:val="000000"/>
          <w:sz w:val="20"/>
          <w:szCs w:val="20"/>
        </w:rPr>
        <w:t>Global Risks Report 2025.</w:t>
      </w:r>
      <w:r w:rsidR="00463E2E">
        <w:rPr>
          <w:color w:val="000000"/>
          <w:sz w:val="20"/>
          <w:szCs w:val="20"/>
        </w:rPr>
        <w:t>"</w:t>
      </w:r>
      <w:r>
        <w:rPr>
          <w:color w:val="000000"/>
          <w:sz w:val="20"/>
          <w:szCs w:val="20"/>
        </w:rPr>
        <w:t xml:space="preserve"> January 2025. </w:t>
      </w:r>
      <w:hyperlink r:id="rId145">
        <w:r>
          <w:rPr>
            <w:rStyle w:val="Hyperlink"/>
            <w:color w:val="467886"/>
            <w:sz w:val="20"/>
            <w:szCs w:val="20"/>
          </w:rPr>
          <w:t>https://www.weforum.org/publications/global-risks-report-2025/</w:t>
        </w:r>
      </w:hyperlink>
    </w:p>
    <w:p w14:paraId="1C09333A" w14:textId="77777777" w:rsidR="00E25CED" w:rsidRDefault="00E25CED">
      <w:pPr>
        <w:spacing w:line="240" w:lineRule="auto"/>
        <w:ind w:firstLine="0"/>
        <w:rPr>
          <w:color w:val="000000"/>
          <w:sz w:val="20"/>
          <w:szCs w:val="20"/>
        </w:rPr>
      </w:pPr>
    </w:p>
    <w:p w14:paraId="27FEEA6D" w14:textId="60A3A578" w:rsidR="00E25CED" w:rsidRDefault="00E25CED">
      <w:pPr>
        <w:spacing w:line="240" w:lineRule="auto"/>
        <w:ind w:firstLine="0"/>
        <w:rPr>
          <w:color w:val="000000"/>
          <w:sz w:val="20"/>
          <w:szCs w:val="20"/>
        </w:rPr>
      </w:pPr>
      <w:r>
        <w:rPr>
          <w:color w:val="000000"/>
          <w:sz w:val="20"/>
          <w:szCs w:val="20"/>
        </w:rPr>
        <w:t xml:space="preserve">Reuters Institute. </w:t>
      </w:r>
      <w:r w:rsidR="00463E2E">
        <w:rPr>
          <w:color w:val="000000"/>
          <w:sz w:val="20"/>
          <w:szCs w:val="20"/>
        </w:rPr>
        <w:t>"</w:t>
      </w:r>
      <w:r>
        <w:rPr>
          <w:color w:val="000000"/>
          <w:sz w:val="20"/>
          <w:szCs w:val="20"/>
        </w:rPr>
        <w:t>Journalism, media, and technology trends and predictions 2026.</w:t>
      </w:r>
      <w:r w:rsidR="00463E2E">
        <w:rPr>
          <w:color w:val="000000"/>
          <w:sz w:val="20"/>
          <w:szCs w:val="20"/>
        </w:rPr>
        <w:t>"</w:t>
      </w:r>
      <w:r>
        <w:rPr>
          <w:color w:val="000000"/>
          <w:sz w:val="20"/>
          <w:szCs w:val="20"/>
        </w:rPr>
        <w:t xml:space="preserve"> January 12, 2026. </w:t>
      </w:r>
      <w:hyperlink r:id="rId146">
        <w:r>
          <w:rPr>
            <w:rStyle w:val="Hyperlink"/>
            <w:color w:val="467886"/>
            <w:sz w:val="20"/>
            <w:szCs w:val="20"/>
          </w:rPr>
          <w:t>https://reutersinstitute.politics.ox.ac.uk/journalism-media-and-technology-trends-and-predictions-2026</w:t>
        </w:r>
      </w:hyperlink>
    </w:p>
    <w:p w14:paraId="79740D78" w14:textId="77777777" w:rsidR="00E25CED" w:rsidRDefault="00E25CED">
      <w:pPr>
        <w:spacing w:line="240" w:lineRule="auto"/>
        <w:ind w:firstLine="0"/>
        <w:rPr>
          <w:color w:val="000000"/>
          <w:sz w:val="20"/>
          <w:szCs w:val="20"/>
        </w:rPr>
      </w:pPr>
    </w:p>
  </w:endnote>
  <w:endnote w:id="86">
    <w:p w14:paraId="14664B99" w14:textId="77777777" w:rsidR="008C660C" w:rsidRPr="008C660C" w:rsidRDefault="00E25CED" w:rsidP="008C660C">
      <w:pPr>
        <w:spacing w:line="240" w:lineRule="auto"/>
        <w:ind w:firstLine="0"/>
        <w:rPr>
          <w:color w:val="000000"/>
          <w:sz w:val="20"/>
          <w:szCs w:val="20"/>
        </w:rPr>
      </w:pPr>
      <w:r>
        <w:rPr>
          <w:rStyle w:val="FootnoteCharacters"/>
        </w:rPr>
        <w:endnoteRef/>
      </w:r>
      <w:r>
        <w:rPr>
          <w:color w:val="000000"/>
          <w:sz w:val="20"/>
          <w:szCs w:val="20"/>
        </w:rPr>
        <w:t xml:space="preserve"> </w:t>
      </w:r>
      <w:r w:rsidR="008C660C" w:rsidRPr="008C660C">
        <w:rPr>
          <w:color w:val="000000"/>
          <w:sz w:val="20"/>
          <w:szCs w:val="20"/>
        </w:rPr>
        <w:t>Detection systems lose 45 to 50 percent of their accuracy when moved from laboratory conditions to real-world deployment, a gap generation tools do not face. Human detection of AI-generated content has fallen to roughly coin-flip accuracy even among trained evaluators.</w:t>
      </w:r>
    </w:p>
    <w:p w14:paraId="49188271" w14:textId="336EF843" w:rsidR="00E25CED" w:rsidRDefault="00E25CED">
      <w:pPr>
        <w:spacing w:line="240" w:lineRule="auto"/>
        <w:ind w:firstLine="0"/>
        <w:rPr>
          <w:b/>
          <w:bCs/>
          <w:color w:val="000000"/>
          <w:sz w:val="20"/>
          <w:szCs w:val="20"/>
        </w:rPr>
      </w:pPr>
    </w:p>
    <w:p w14:paraId="4C511147" w14:textId="64840D7B" w:rsidR="00E25CED" w:rsidRDefault="00E25CED">
      <w:pPr>
        <w:spacing w:line="240" w:lineRule="auto"/>
        <w:ind w:firstLine="0"/>
        <w:rPr>
          <w:color w:val="000000"/>
          <w:sz w:val="20"/>
          <w:szCs w:val="20"/>
        </w:rPr>
      </w:pPr>
      <w:r>
        <w:rPr>
          <w:color w:val="000000"/>
          <w:sz w:val="20"/>
          <w:szCs w:val="20"/>
        </w:rPr>
        <w:t xml:space="preserve">World Economic Forum. </w:t>
      </w:r>
      <w:r w:rsidR="00463E2E">
        <w:rPr>
          <w:color w:val="000000"/>
          <w:sz w:val="20"/>
          <w:szCs w:val="20"/>
        </w:rPr>
        <w:t>"</w:t>
      </w:r>
      <w:r>
        <w:rPr>
          <w:color w:val="000000"/>
          <w:sz w:val="20"/>
          <w:szCs w:val="20"/>
        </w:rPr>
        <w:t>Detecting dangerous AI is essential in the deepfake era.</w:t>
      </w:r>
      <w:r w:rsidR="00463E2E">
        <w:rPr>
          <w:color w:val="000000"/>
          <w:sz w:val="20"/>
          <w:szCs w:val="20"/>
        </w:rPr>
        <w:t>"</w:t>
      </w:r>
      <w:r>
        <w:rPr>
          <w:color w:val="000000"/>
          <w:sz w:val="20"/>
          <w:szCs w:val="20"/>
        </w:rPr>
        <w:t xml:space="preserve"> July 2025. </w:t>
      </w:r>
      <w:hyperlink r:id="rId147">
        <w:r>
          <w:rPr>
            <w:rStyle w:val="Hyperlink"/>
            <w:color w:val="467886"/>
            <w:sz w:val="20"/>
            <w:szCs w:val="20"/>
          </w:rPr>
          <w:t>https://www.weforum.org/stories/2025/07/why-detecting-dangerous-ai-is-key-to-keeping-trust-alive/</w:t>
        </w:r>
      </w:hyperlink>
    </w:p>
    <w:p w14:paraId="5D109DAB" w14:textId="77777777" w:rsidR="00E25CED" w:rsidRDefault="00E25CED">
      <w:pPr>
        <w:spacing w:line="240" w:lineRule="auto"/>
        <w:ind w:firstLine="0"/>
        <w:rPr>
          <w:color w:val="000000"/>
          <w:sz w:val="20"/>
          <w:szCs w:val="20"/>
        </w:rPr>
      </w:pPr>
    </w:p>
    <w:p w14:paraId="617D90E5" w14:textId="37D9B351" w:rsidR="00E25CED" w:rsidRDefault="00463E2E">
      <w:pPr>
        <w:spacing w:line="240" w:lineRule="auto"/>
        <w:ind w:firstLine="0"/>
        <w:rPr>
          <w:color w:val="000000"/>
          <w:sz w:val="20"/>
          <w:szCs w:val="20"/>
        </w:rPr>
      </w:pPr>
      <w:r>
        <w:rPr>
          <w:color w:val="000000"/>
          <w:sz w:val="20"/>
          <w:szCs w:val="20"/>
        </w:rPr>
        <w:t>"</w:t>
      </w:r>
      <w:r w:rsidR="00E25CED">
        <w:rPr>
          <w:color w:val="000000"/>
          <w:sz w:val="20"/>
          <w:szCs w:val="20"/>
        </w:rPr>
        <w:t>As Good as a Coin Toss: Human Detection of AI-Generated Content.</w:t>
      </w:r>
      <w:r>
        <w:rPr>
          <w:color w:val="000000"/>
          <w:sz w:val="20"/>
          <w:szCs w:val="20"/>
        </w:rPr>
        <w:t>"</w:t>
      </w:r>
      <w:r w:rsidR="00E25CED">
        <w:rPr>
          <w:color w:val="000000"/>
          <w:sz w:val="20"/>
          <w:szCs w:val="20"/>
        </w:rPr>
        <w:t xml:space="preserve"> </w:t>
      </w:r>
      <w:r w:rsidR="00E25CED">
        <w:rPr>
          <w:i/>
          <w:iCs/>
          <w:color w:val="000000"/>
          <w:sz w:val="20"/>
          <w:szCs w:val="20"/>
        </w:rPr>
        <w:t>Communications of the ACM</w:t>
      </w:r>
      <w:r w:rsidR="00E25CED">
        <w:rPr>
          <w:color w:val="000000"/>
          <w:sz w:val="20"/>
          <w:szCs w:val="20"/>
        </w:rPr>
        <w:t xml:space="preserve">, September 22, 2025. </w:t>
      </w:r>
      <w:hyperlink r:id="rId148">
        <w:r w:rsidR="00E25CED">
          <w:rPr>
            <w:rStyle w:val="Hyperlink"/>
            <w:color w:val="467886"/>
            <w:sz w:val="20"/>
            <w:szCs w:val="20"/>
          </w:rPr>
          <w:t>https://cacm.acm.org/research/as-good-as-a-coin-toss-human-detection-of-ai-generated-content</w:t>
        </w:r>
      </w:hyperlink>
    </w:p>
    <w:p w14:paraId="5E3B7758" w14:textId="77777777" w:rsidR="00E25CED" w:rsidRDefault="00E25CED" w:rsidP="008C660C">
      <w:pPr>
        <w:spacing w:line="240" w:lineRule="auto"/>
        <w:ind w:firstLine="0"/>
        <w:rPr>
          <w:color w:val="000000"/>
          <w:sz w:val="20"/>
          <w:szCs w:val="20"/>
        </w:rPr>
      </w:pPr>
    </w:p>
  </w:endnote>
  <w:endnote w:id="87">
    <w:p w14:paraId="2A5E4F00" w14:textId="767E69DC" w:rsidR="00E25CED" w:rsidRDefault="00E25CED">
      <w:pPr>
        <w:spacing w:line="240" w:lineRule="auto"/>
        <w:ind w:firstLine="0"/>
        <w:rPr>
          <w:color w:val="000000"/>
          <w:sz w:val="20"/>
          <w:szCs w:val="20"/>
        </w:rPr>
      </w:pPr>
      <w:r>
        <w:rPr>
          <w:rStyle w:val="FootnoteCharacters"/>
        </w:rPr>
        <w:endnoteRef/>
      </w:r>
      <w:r>
        <w:rPr>
          <w:color w:val="000000"/>
          <w:sz w:val="20"/>
          <w:szCs w:val="20"/>
        </w:rPr>
        <w:t xml:space="preserve"> The pattern of drug substitution under enforcement pressure is sometimes called the Iron Law of Prohibition, a principle holding that the more aggressively a substance is policed, the more potent its replacements become, because smuggling economics favor compact, high-value products. The opioid crisis followed the pattern with textbook clarity: researchers have documented a </w:t>
      </w:r>
      <w:r w:rsidR="00463E2E">
        <w:rPr>
          <w:color w:val="000000"/>
          <w:sz w:val="20"/>
          <w:szCs w:val="20"/>
        </w:rPr>
        <w:t>"</w:t>
      </w:r>
      <w:r>
        <w:rPr>
          <w:color w:val="000000"/>
          <w:sz w:val="20"/>
          <w:szCs w:val="20"/>
        </w:rPr>
        <w:t>triple wave</w:t>
      </w:r>
      <w:r w:rsidR="00463E2E">
        <w:rPr>
          <w:color w:val="000000"/>
          <w:sz w:val="20"/>
          <w:szCs w:val="20"/>
        </w:rPr>
        <w:t>"</w:t>
      </w:r>
      <w:r>
        <w:rPr>
          <w:color w:val="000000"/>
          <w:sz w:val="20"/>
          <w:szCs w:val="20"/>
        </w:rPr>
        <w:t xml:space="preserve"> progression from prescription opioids to heroin to illicitly manufactured fentanyl, each transition driven by supply-side disruption and each producing sharply higher overdose mortality. Fentanyl is roughly fifty times more potent than heroin and one hundred times more potent than morphine; a fatal dose can weigh less than two milligrams.</w:t>
      </w:r>
    </w:p>
    <w:p w14:paraId="7F097947" w14:textId="77777777" w:rsidR="00E25CED" w:rsidRDefault="00E25CED">
      <w:pPr>
        <w:spacing w:line="240" w:lineRule="auto"/>
        <w:ind w:firstLine="0"/>
        <w:rPr>
          <w:color w:val="000000"/>
          <w:sz w:val="20"/>
          <w:szCs w:val="20"/>
        </w:rPr>
      </w:pPr>
    </w:p>
    <w:p w14:paraId="297EA788" w14:textId="00ADAE23" w:rsidR="00E25CED" w:rsidRDefault="00E25CED">
      <w:pPr>
        <w:spacing w:line="240" w:lineRule="auto"/>
        <w:ind w:firstLine="0"/>
        <w:rPr>
          <w:color w:val="000000"/>
          <w:sz w:val="20"/>
          <w:szCs w:val="20"/>
        </w:rPr>
      </w:pPr>
      <w:r>
        <w:rPr>
          <w:color w:val="000000"/>
          <w:sz w:val="20"/>
          <w:szCs w:val="20"/>
        </w:rPr>
        <w:t xml:space="preserve">Beletsky, Leo, and Corey S. Davis. </w:t>
      </w:r>
      <w:r w:rsidR="00463E2E">
        <w:rPr>
          <w:color w:val="000000"/>
          <w:sz w:val="20"/>
          <w:szCs w:val="20"/>
        </w:rPr>
        <w:t>"</w:t>
      </w:r>
      <w:r>
        <w:rPr>
          <w:color w:val="000000"/>
          <w:sz w:val="20"/>
          <w:szCs w:val="20"/>
        </w:rPr>
        <w:t>Today's Fentanyl Crisis: Prohibition's Iron Law, Revisited.</w:t>
      </w:r>
      <w:r w:rsidR="00463E2E">
        <w:rPr>
          <w:color w:val="000000"/>
          <w:sz w:val="20"/>
          <w:szCs w:val="20"/>
        </w:rPr>
        <w:t>"</w:t>
      </w:r>
      <w:r>
        <w:rPr>
          <w:color w:val="000000"/>
          <w:sz w:val="20"/>
          <w:szCs w:val="20"/>
        </w:rPr>
        <w:t xml:space="preserve"> </w:t>
      </w:r>
      <w:r>
        <w:rPr>
          <w:i/>
          <w:iCs/>
          <w:color w:val="000000"/>
          <w:sz w:val="20"/>
          <w:szCs w:val="20"/>
        </w:rPr>
        <w:t>International Journal of Drug Policy</w:t>
      </w:r>
      <w:r>
        <w:rPr>
          <w:color w:val="000000"/>
          <w:sz w:val="20"/>
          <w:szCs w:val="20"/>
        </w:rPr>
        <w:t xml:space="preserve"> 46 (2017): 156–159.</w:t>
      </w:r>
    </w:p>
    <w:p w14:paraId="7AEDE74A" w14:textId="77777777" w:rsidR="00E25CED" w:rsidRDefault="00E25CED">
      <w:pPr>
        <w:spacing w:line="240" w:lineRule="auto"/>
        <w:ind w:firstLine="0"/>
        <w:rPr>
          <w:color w:val="000000"/>
          <w:sz w:val="20"/>
          <w:szCs w:val="20"/>
        </w:rPr>
      </w:pPr>
    </w:p>
    <w:p w14:paraId="13CF0EC0" w14:textId="2C226AF4" w:rsidR="00E25CED" w:rsidRDefault="00E25CED">
      <w:pPr>
        <w:spacing w:line="240" w:lineRule="auto"/>
        <w:ind w:firstLine="0"/>
        <w:rPr>
          <w:color w:val="000000"/>
          <w:sz w:val="20"/>
          <w:szCs w:val="20"/>
        </w:rPr>
      </w:pPr>
      <w:r>
        <w:rPr>
          <w:color w:val="000000"/>
          <w:sz w:val="20"/>
          <w:szCs w:val="20"/>
        </w:rPr>
        <w:t xml:space="preserve">Ciccarone, Daniel. </w:t>
      </w:r>
      <w:r w:rsidR="00463E2E">
        <w:rPr>
          <w:color w:val="000000"/>
          <w:sz w:val="20"/>
          <w:szCs w:val="20"/>
        </w:rPr>
        <w:t>"</w:t>
      </w:r>
      <w:r>
        <w:rPr>
          <w:color w:val="000000"/>
          <w:sz w:val="20"/>
          <w:szCs w:val="20"/>
        </w:rPr>
        <w:t>The Triple Wave Epidemic: Supply and Demand Drivers of the US Opioid Overdose Crisis.</w:t>
      </w:r>
      <w:r w:rsidR="00463E2E">
        <w:rPr>
          <w:color w:val="000000"/>
          <w:sz w:val="20"/>
          <w:szCs w:val="20"/>
        </w:rPr>
        <w:t>"</w:t>
      </w:r>
      <w:r>
        <w:rPr>
          <w:color w:val="000000"/>
          <w:sz w:val="20"/>
          <w:szCs w:val="20"/>
        </w:rPr>
        <w:t xml:space="preserve"> </w:t>
      </w:r>
      <w:r>
        <w:rPr>
          <w:i/>
          <w:iCs/>
          <w:color w:val="000000"/>
          <w:sz w:val="20"/>
          <w:szCs w:val="20"/>
        </w:rPr>
        <w:t>International Journal of Drug Policy</w:t>
      </w:r>
      <w:r>
        <w:rPr>
          <w:color w:val="000000"/>
          <w:sz w:val="20"/>
          <w:szCs w:val="20"/>
        </w:rPr>
        <w:t xml:space="preserve"> 71 (2019): 183–188.</w:t>
      </w:r>
    </w:p>
    <w:p w14:paraId="0975A1D0" w14:textId="77777777" w:rsidR="00E25CED" w:rsidRDefault="00E25CED">
      <w:pPr>
        <w:spacing w:line="240" w:lineRule="auto"/>
        <w:ind w:firstLine="0"/>
        <w:rPr>
          <w:color w:val="000000"/>
          <w:sz w:val="20"/>
          <w:szCs w:val="20"/>
        </w:rPr>
      </w:pPr>
    </w:p>
    <w:p w14:paraId="00CD55AC" w14:textId="73ECD0C2" w:rsidR="00E25CED" w:rsidRDefault="00E25CED">
      <w:pPr>
        <w:spacing w:line="240" w:lineRule="auto"/>
        <w:ind w:firstLine="0"/>
        <w:rPr>
          <w:color w:val="000000"/>
          <w:sz w:val="20"/>
          <w:szCs w:val="20"/>
        </w:rPr>
      </w:pPr>
      <w:r>
        <w:rPr>
          <w:color w:val="000000"/>
          <w:sz w:val="20"/>
          <w:szCs w:val="20"/>
        </w:rPr>
        <w:t xml:space="preserve">National Institute on Drug Abuse. </w:t>
      </w:r>
      <w:r w:rsidR="00463E2E">
        <w:rPr>
          <w:color w:val="000000"/>
          <w:sz w:val="20"/>
          <w:szCs w:val="20"/>
        </w:rPr>
        <w:t>"</w:t>
      </w:r>
      <w:r>
        <w:rPr>
          <w:color w:val="000000"/>
          <w:sz w:val="20"/>
          <w:szCs w:val="20"/>
        </w:rPr>
        <w:t>Fentanyl.</w:t>
      </w:r>
      <w:r w:rsidR="00463E2E">
        <w:rPr>
          <w:color w:val="000000"/>
          <w:sz w:val="20"/>
          <w:szCs w:val="20"/>
        </w:rPr>
        <w:t>"</w:t>
      </w:r>
      <w:r>
        <w:rPr>
          <w:color w:val="000000"/>
          <w:sz w:val="20"/>
          <w:szCs w:val="20"/>
        </w:rPr>
        <w:t xml:space="preserve"> National Institutes of Health. Accessed 2025. </w:t>
      </w:r>
      <w:hyperlink r:id="rId149">
        <w:r>
          <w:rPr>
            <w:rStyle w:val="Hyperlink"/>
            <w:color w:val="467886"/>
            <w:sz w:val="20"/>
            <w:szCs w:val="20"/>
          </w:rPr>
          <w:t>https://nida.nih.gov/research-topics/fentanyl</w:t>
        </w:r>
      </w:hyperlink>
      <w:r>
        <w:rPr>
          <w:color w:val="000000"/>
          <w:sz w:val="20"/>
          <w:szCs w:val="20"/>
        </w:rPr>
        <w:t>.</w:t>
      </w:r>
    </w:p>
    <w:p w14:paraId="605C684C" w14:textId="77777777" w:rsidR="00E25CED" w:rsidRDefault="00E25CED">
      <w:pPr>
        <w:spacing w:line="240" w:lineRule="auto"/>
        <w:ind w:firstLine="0"/>
        <w:rPr>
          <w:color w:val="000000"/>
          <w:sz w:val="20"/>
          <w:szCs w:val="20"/>
        </w:rPr>
      </w:pPr>
    </w:p>
  </w:endnote>
  <w:endnote w:id="88">
    <w:p w14:paraId="541A0A05" w14:textId="3EA9E684" w:rsidR="00E25CED" w:rsidRDefault="00E25CED">
      <w:pPr>
        <w:spacing w:line="240" w:lineRule="auto"/>
        <w:ind w:firstLine="0"/>
        <w:rPr>
          <w:color w:val="000000"/>
          <w:sz w:val="20"/>
          <w:szCs w:val="20"/>
        </w:rPr>
      </w:pPr>
      <w:r>
        <w:rPr>
          <w:rStyle w:val="FootnoteCharacters"/>
        </w:rPr>
        <w:endnoteRef/>
      </w:r>
      <w:r>
        <w:rPr>
          <w:color w:val="000000"/>
          <w:sz w:val="20"/>
          <w:szCs w:val="20"/>
        </w:rPr>
        <w:t xml:space="preserve"> The claim rests on decades of federal survey data. A 2018 Pew Charitable Trusts analysis of state-level data found no statistically significant relationship between drug imprisonment rates and self-reported drug use, drug overdose deaths, or drug arrests. A follow-up Pew report noted that past-year illicit drug use among Americans twelve and older actually rose from roughly </w:t>
      </w:r>
      <w:r w:rsidR="00E62049">
        <w:rPr>
          <w:color w:val="000000"/>
          <w:sz w:val="20"/>
          <w:szCs w:val="20"/>
        </w:rPr>
        <w:t>15</w:t>
      </w:r>
      <w:r>
        <w:rPr>
          <w:color w:val="000000"/>
          <w:sz w:val="20"/>
          <w:szCs w:val="20"/>
        </w:rPr>
        <w:t xml:space="preserve"> percent to twenty-one percent between 2009 and 2019, a period during which the state prison population for drug offenses had already increased by more than 1,200 percent since 1980. A comprehensive Cato Institute review covering four decades of drug war policy and more than a trillion dollars in enforcement spending reached a similar conclusion: drug use had not declined, and overdose deaths had risen substantially.</w:t>
      </w:r>
    </w:p>
    <w:p w14:paraId="05FF4207" w14:textId="77777777" w:rsidR="00E25CED" w:rsidRDefault="00E25CED">
      <w:pPr>
        <w:spacing w:line="240" w:lineRule="auto"/>
        <w:ind w:firstLine="0"/>
        <w:rPr>
          <w:color w:val="000000"/>
          <w:sz w:val="20"/>
          <w:szCs w:val="20"/>
        </w:rPr>
      </w:pPr>
    </w:p>
    <w:p w14:paraId="2C94C2B6" w14:textId="410B30DC" w:rsidR="00E25CED" w:rsidRDefault="00E25CED">
      <w:pPr>
        <w:spacing w:line="240" w:lineRule="auto"/>
        <w:ind w:firstLine="0"/>
        <w:rPr>
          <w:color w:val="000000"/>
          <w:sz w:val="20"/>
          <w:szCs w:val="20"/>
        </w:rPr>
      </w:pPr>
      <w:r>
        <w:rPr>
          <w:color w:val="000000"/>
          <w:sz w:val="20"/>
          <w:szCs w:val="20"/>
        </w:rPr>
        <w:t xml:space="preserve">The Pew Charitable Trusts. </w:t>
      </w:r>
      <w:r w:rsidR="00463E2E">
        <w:rPr>
          <w:color w:val="000000"/>
          <w:sz w:val="20"/>
          <w:szCs w:val="20"/>
        </w:rPr>
        <w:t>"</w:t>
      </w:r>
      <w:r>
        <w:rPr>
          <w:color w:val="000000"/>
          <w:sz w:val="20"/>
          <w:szCs w:val="20"/>
        </w:rPr>
        <w:t>More Imprisonment Does Not Reduce State Drug Problems.</w:t>
      </w:r>
      <w:r w:rsidR="00463E2E">
        <w:rPr>
          <w:color w:val="000000"/>
          <w:sz w:val="20"/>
          <w:szCs w:val="20"/>
        </w:rPr>
        <w:t>"</w:t>
      </w:r>
      <w:r>
        <w:rPr>
          <w:color w:val="000000"/>
          <w:sz w:val="20"/>
          <w:szCs w:val="20"/>
        </w:rPr>
        <w:t xml:space="preserve"> March 8, 2018. </w:t>
      </w:r>
      <w:hyperlink r:id="rId150">
        <w:r>
          <w:rPr>
            <w:rStyle w:val="Hyperlink"/>
            <w:color w:val="467886"/>
            <w:sz w:val="20"/>
            <w:szCs w:val="20"/>
          </w:rPr>
          <w:t>https://www.pewtrusts.org/en/research-and-analysis/issue-briefs/2018/03/more-imprisonment-does-not-reduce-state-drug-problems</w:t>
        </w:r>
      </w:hyperlink>
      <w:r>
        <w:rPr>
          <w:color w:val="000000"/>
          <w:sz w:val="20"/>
          <w:szCs w:val="20"/>
        </w:rPr>
        <w:t>.</w:t>
      </w:r>
    </w:p>
    <w:p w14:paraId="61FE947C" w14:textId="77777777" w:rsidR="00E25CED" w:rsidRDefault="00E25CED">
      <w:pPr>
        <w:spacing w:line="240" w:lineRule="auto"/>
        <w:ind w:firstLine="0"/>
        <w:rPr>
          <w:color w:val="000000"/>
          <w:sz w:val="20"/>
          <w:szCs w:val="20"/>
        </w:rPr>
      </w:pPr>
    </w:p>
    <w:p w14:paraId="7E93471D" w14:textId="6B97CCD0" w:rsidR="00E25CED" w:rsidRDefault="00E25CED">
      <w:pPr>
        <w:spacing w:line="240" w:lineRule="auto"/>
        <w:ind w:firstLine="0"/>
        <w:rPr>
          <w:color w:val="000000"/>
          <w:sz w:val="20"/>
          <w:szCs w:val="20"/>
        </w:rPr>
      </w:pPr>
      <w:r>
        <w:rPr>
          <w:color w:val="000000"/>
          <w:sz w:val="20"/>
          <w:szCs w:val="20"/>
        </w:rPr>
        <w:t xml:space="preserve">The Pew Charitable Trusts. </w:t>
      </w:r>
      <w:r w:rsidR="00463E2E">
        <w:rPr>
          <w:color w:val="000000"/>
          <w:sz w:val="20"/>
          <w:szCs w:val="20"/>
        </w:rPr>
        <w:t>"</w:t>
      </w:r>
      <w:r>
        <w:rPr>
          <w:color w:val="000000"/>
          <w:sz w:val="20"/>
          <w:szCs w:val="20"/>
        </w:rPr>
        <w:t>Drug Arrests Stayed High Even as Imprisonment Fell from 2009 to 2019.</w:t>
      </w:r>
      <w:r w:rsidR="00463E2E">
        <w:rPr>
          <w:color w:val="000000"/>
          <w:sz w:val="20"/>
          <w:szCs w:val="20"/>
        </w:rPr>
        <w:t>"</w:t>
      </w:r>
      <w:r>
        <w:rPr>
          <w:color w:val="000000"/>
          <w:sz w:val="20"/>
          <w:szCs w:val="20"/>
        </w:rPr>
        <w:t xml:space="preserve"> February 15, 2022. </w:t>
      </w:r>
      <w:hyperlink r:id="rId151">
        <w:r>
          <w:rPr>
            <w:rStyle w:val="Hyperlink"/>
            <w:color w:val="467886"/>
            <w:sz w:val="20"/>
            <w:szCs w:val="20"/>
          </w:rPr>
          <w:t>https://www.pewtrusts.org/en/research-and-analysis/issue-briefs/2022/02/drug-arrests-stayed-high-even-as-imprisonment-fell-from-2009-to-2019</w:t>
        </w:r>
      </w:hyperlink>
      <w:r>
        <w:rPr>
          <w:color w:val="000000"/>
          <w:sz w:val="20"/>
          <w:szCs w:val="20"/>
        </w:rPr>
        <w:t>.</w:t>
      </w:r>
    </w:p>
    <w:p w14:paraId="731C1D37" w14:textId="77777777" w:rsidR="00E25CED" w:rsidRDefault="00E25CED">
      <w:pPr>
        <w:spacing w:line="240" w:lineRule="auto"/>
        <w:ind w:firstLine="0"/>
        <w:rPr>
          <w:color w:val="000000"/>
          <w:sz w:val="20"/>
          <w:szCs w:val="20"/>
        </w:rPr>
      </w:pPr>
    </w:p>
    <w:p w14:paraId="1899C696" w14:textId="44E50418" w:rsidR="00E25CED" w:rsidRDefault="00E25CED">
      <w:pPr>
        <w:spacing w:line="240" w:lineRule="auto"/>
        <w:ind w:firstLine="0"/>
        <w:rPr>
          <w:color w:val="000000"/>
          <w:sz w:val="20"/>
          <w:szCs w:val="20"/>
        </w:rPr>
      </w:pPr>
      <w:r>
        <w:rPr>
          <w:color w:val="000000"/>
          <w:sz w:val="20"/>
          <w:szCs w:val="20"/>
        </w:rPr>
        <w:t xml:space="preserve">Coyne, Christopher J., and Abigail R. Hall. </w:t>
      </w:r>
      <w:r w:rsidR="00463E2E">
        <w:rPr>
          <w:color w:val="000000"/>
          <w:sz w:val="20"/>
          <w:szCs w:val="20"/>
        </w:rPr>
        <w:t>"</w:t>
      </w:r>
      <w:r>
        <w:rPr>
          <w:color w:val="000000"/>
          <w:sz w:val="20"/>
          <w:szCs w:val="20"/>
        </w:rPr>
        <w:t>Four Decades and Counting: The Continued Failure of the War on Drugs.</w:t>
      </w:r>
      <w:r w:rsidR="00463E2E">
        <w:rPr>
          <w:color w:val="000000"/>
          <w:sz w:val="20"/>
          <w:szCs w:val="20"/>
        </w:rPr>
        <w:t>"</w:t>
      </w:r>
      <w:r>
        <w:rPr>
          <w:color w:val="000000"/>
          <w:sz w:val="20"/>
          <w:szCs w:val="20"/>
        </w:rPr>
        <w:t xml:space="preserve"> Policy Analysis no. 811, Cato Institute, April 12, 2017. </w:t>
      </w:r>
      <w:hyperlink r:id="rId152">
        <w:r>
          <w:rPr>
            <w:rStyle w:val="Hyperlink"/>
            <w:color w:val="467886"/>
            <w:sz w:val="20"/>
            <w:szCs w:val="20"/>
          </w:rPr>
          <w:t>https://www.cato.org/policy-analysis/four-decades-counting-continued-failure-war-drugs</w:t>
        </w:r>
      </w:hyperlink>
      <w:r>
        <w:rPr>
          <w:color w:val="000000"/>
          <w:sz w:val="20"/>
          <w:szCs w:val="20"/>
        </w:rPr>
        <w:t>.</w:t>
      </w:r>
    </w:p>
    <w:p w14:paraId="5E6428DB" w14:textId="77777777" w:rsidR="00E25CED" w:rsidRDefault="00E25CED">
      <w:pPr>
        <w:spacing w:line="240" w:lineRule="auto"/>
        <w:ind w:firstLine="0"/>
        <w:rPr>
          <w:color w:val="000000"/>
          <w:sz w:val="20"/>
          <w:szCs w:val="20"/>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FC0AD830-6330-48BB-B7B8-B6F6FE5CC1A5}"/>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embedRegular r:id="rId2" w:fontKey="{E66637C7-232B-49CD-8F89-36DC3C2B607A}"/>
    <w:embedBold r:id="rId3" w:fontKey="{CE754FA3-984E-4392-9165-3B852DA7FF13}"/>
    <w:embedItalic r:id="rId4" w:fontKey="{5E297F44-0925-4032-B07C-E8659830A85F}"/>
  </w:font>
  <w:font w:name="Aptos">
    <w:charset w:val="00"/>
    <w:family w:val="swiss"/>
    <w:pitch w:val="variable"/>
    <w:sig w:usb0="20000287" w:usb1="00000003" w:usb2="00000000" w:usb3="00000000" w:csb0="0000019F" w:csb1="00000000"/>
    <w:embedRegular r:id="rId5" w:fontKey="{15F0EB33-BC51-4F98-A7C0-D14E0756CE26}"/>
    <w:embedBold r:id="rId6" w:fontKey="{DDBD6CA7-4150-422F-B1BD-0EAD183F76B3}"/>
    <w:embedItalic r:id="rId7" w:fontKey="{1D84902A-CDBA-4138-8A0F-AF28ACDDE8DC}"/>
  </w:font>
  <w:font w:name="Aptos Display">
    <w:charset w:val="00"/>
    <w:family w:val="swiss"/>
    <w:pitch w:val="variable"/>
    <w:sig w:usb0="20000287" w:usb1="00000003" w:usb2="00000000" w:usb3="00000000" w:csb0="0000019F" w:csb1="00000000"/>
    <w:embedRegular r:id="rId8" w:fontKey="{150A8C45-F887-4810-81D6-18DB72FDB003}"/>
    <w:embedBold r:id="rId9" w:fontKey="{CF094142-0F24-4BBB-8AD8-FDE211C7928F}"/>
    <w:embedItalic r:id="rId10" w:fontKey="{A822081D-931B-40A0-A1D6-CC19CFD72D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embedRegular r:id="rId11" w:fontKey="{1EC876D7-B2AC-4554-8B08-512CD796E3A6}"/>
  </w:font>
  <w:font w:name="Noto Sans CJK SC">
    <w:panose1 w:val="00000000000000000000"/>
    <w:charset w:val="00"/>
    <w:family w:val="roman"/>
    <w:notTrueType/>
    <w:pitch w:val="default"/>
  </w:font>
  <w:font w:name="Free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1489E" w14:textId="77777777" w:rsidR="009616FF" w:rsidRDefault="009616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35A38" w14:textId="77777777" w:rsidR="009616FF" w:rsidRDefault="00F87934">
    <w:pPr>
      <w:tabs>
        <w:tab w:val="center" w:pos="4680"/>
        <w:tab w:val="right" w:pos="9360"/>
      </w:tabs>
      <w:spacing w:line="240" w:lineRule="auto"/>
      <w:ind w:firstLine="0"/>
      <w:jc w:val="center"/>
      <w:rPr>
        <w:color w:val="000000"/>
      </w:rPr>
    </w:pPr>
    <w:r>
      <w:rPr>
        <w:color w:val="000000"/>
      </w:rPr>
      <w:fldChar w:fldCharType="begin"/>
    </w:r>
    <w:r>
      <w:rPr>
        <w:color w:val="000000"/>
      </w:rPr>
      <w:instrText xml:space="preserve"> PAGE </w:instrText>
    </w:r>
    <w:r>
      <w:rPr>
        <w:color w:val="000000"/>
      </w:rPr>
      <w:fldChar w:fldCharType="separate"/>
    </w:r>
    <w:r>
      <w:rPr>
        <w:color w:val="000000"/>
      </w:rPr>
      <w:t>1</w:t>
    </w:r>
    <w:r>
      <w:rPr>
        <w:color w:val="000000"/>
      </w:rPr>
      <w:fldChar w:fldCharType="end"/>
    </w:r>
  </w:p>
  <w:p w14:paraId="17E8EA6B" w14:textId="77777777" w:rsidR="009616FF" w:rsidRDefault="009616FF">
    <w:pP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EFB33" w14:textId="77777777" w:rsidR="009616FF" w:rsidRDefault="00F87934">
    <w:pPr>
      <w:tabs>
        <w:tab w:val="center" w:pos="4680"/>
        <w:tab w:val="right" w:pos="9360"/>
      </w:tabs>
      <w:spacing w:line="240" w:lineRule="auto"/>
      <w:ind w:firstLine="0"/>
      <w:jc w:val="center"/>
      <w:rPr>
        <w:color w:val="000000"/>
      </w:rPr>
    </w:pPr>
    <w:r>
      <w:rPr>
        <w:color w:val="000000"/>
      </w:rPr>
      <w:fldChar w:fldCharType="begin"/>
    </w:r>
    <w:r>
      <w:rPr>
        <w:color w:val="000000"/>
      </w:rPr>
      <w:instrText xml:space="preserve"> PAGE </w:instrText>
    </w:r>
    <w:r>
      <w:rPr>
        <w:color w:val="000000"/>
      </w:rPr>
      <w:fldChar w:fldCharType="separate"/>
    </w:r>
    <w:r>
      <w:rPr>
        <w:color w:val="000000"/>
      </w:rPr>
      <w:t>1</w:t>
    </w:r>
    <w:r>
      <w:rPr>
        <w:color w:val="000000"/>
      </w:rPr>
      <w:fldChar w:fldCharType="end"/>
    </w:r>
  </w:p>
  <w:p w14:paraId="762784E7" w14:textId="77777777" w:rsidR="009616FF" w:rsidRDefault="009616FF">
    <w:pPr>
      <w:tabs>
        <w:tab w:val="center" w:pos="4680"/>
        <w:tab w:val="right" w:pos="9360"/>
      </w:tabs>
      <w:spacing w:line="240" w:lineRule="auto"/>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4B4DE" w14:textId="77777777" w:rsidR="009616FF" w:rsidRDefault="00F87934">
    <w:pPr>
      <w:tabs>
        <w:tab w:val="center" w:pos="4680"/>
        <w:tab w:val="right" w:pos="9360"/>
      </w:tabs>
      <w:spacing w:line="240" w:lineRule="auto"/>
      <w:ind w:firstLine="0"/>
      <w:jc w:val="center"/>
      <w:rPr>
        <w:color w:val="000000"/>
      </w:rPr>
    </w:pPr>
    <w:r>
      <w:rPr>
        <w:color w:val="000000"/>
      </w:rPr>
      <w:fldChar w:fldCharType="begin"/>
    </w:r>
    <w:r>
      <w:rPr>
        <w:color w:val="000000"/>
      </w:rPr>
      <w:instrText xml:space="preserve"> PAGE </w:instrText>
    </w:r>
    <w:r>
      <w:rPr>
        <w:color w:val="000000"/>
      </w:rPr>
      <w:fldChar w:fldCharType="separate"/>
    </w:r>
    <w:r>
      <w:rPr>
        <w:color w:val="000000"/>
      </w:rPr>
      <w:t>4</w:t>
    </w:r>
    <w:r>
      <w:rPr>
        <w:color w:val="000000"/>
      </w:rPr>
      <w:fldChar w:fldCharType="end"/>
    </w:r>
  </w:p>
  <w:p w14:paraId="7BEBA0AE" w14:textId="77777777" w:rsidR="009616FF" w:rsidRDefault="009616FF">
    <w:pPr>
      <w:tabs>
        <w:tab w:val="center" w:pos="4680"/>
        <w:tab w:val="right" w:pos="9360"/>
      </w:tabs>
      <w:spacing w:line="240" w:lineRule="auto"/>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5BBC5" w14:textId="77777777" w:rsidR="009616FF" w:rsidRDefault="00F87934">
    <w:pPr>
      <w:tabs>
        <w:tab w:val="center" w:pos="4680"/>
        <w:tab w:val="right" w:pos="9360"/>
      </w:tabs>
      <w:spacing w:line="240" w:lineRule="auto"/>
      <w:ind w:firstLine="0"/>
      <w:jc w:val="center"/>
      <w:rPr>
        <w:color w:val="000000"/>
      </w:rPr>
    </w:pPr>
    <w:r>
      <w:rPr>
        <w:color w:val="000000"/>
      </w:rPr>
      <w:fldChar w:fldCharType="begin"/>
    </w:r>
    <w:r>
      <w:rPr>
        <w:color w:val="000000"/>
      </w:rPr>
      <w:instrText xml:space="preserve"> PAGE </w:instrText>
    </w:r>
    <w:r>
      <w:rPr>
        <w:color w:val="000000"/>
      </w:rPr>
      <w:fldChar w:fldCharType="separate"/>
    </w:r>
    <w:r>
      <w:rPr>
        <w:color w:val="000000"/>
      </w:rPr>
      <w:t>2</w:t>
    </w:r>
    <w:r>
      <w:rPr>
        <w:color w:val="000000"/>
      </w:rPr>
      <w:fldChar w:fldCharType="end"/>
    </w:r>
  </w:p>
  <w:p w14:paraId="36716569" w14:textId="77777777" w:rsidR="009616FF" w:rsidRDefault="009616FF">
    <w:pPr>
      <w:tabs>
        <w:tab w:val="center" w:pos="4680"/>
        <w:tab w:val="right" w:pos="9360"/>
      </w:tabs>
      <w:spacing w:line="240" w:lineRule="auto"/>
      <w:rPr>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6E0F8" w14:textId="77777777" w:rsidR="00E25CED" w:rsidRDefault="00E25CED">
    <w:pPr>
      <w:tabs>
        <w:tab w:val="center" w:pos="4680"/>
        <w:tab w:val="right" w:pos="9360"/>
      </w:tabs>
      <w:spacing w:line="240" w:lineRule="auto"/>
      <w:ind w:firstLine="0"/>
      <w:jc w:val="center"/>
      <w:rPr>
        <w:color w:val="000000"/>
      </w:rPr>
    </w:pPr>
    <w:r>
      <w:rPr>
        <w:color w:val="000000"/>
      </w:rPr>
      <w:fldChar w:fldCharType="begin"/>
    </w:r>
    <w:r>
      <w:rPr>
        <w:color w:val="000000"/>
      </w:rPr>
      <w:instrText xml:space="preserve"> PAGE </w:instrText>
    </w:r>
    <w:r>
      <w:rPr>
        <w:color w:val="000000"/>
      </w:rPr>
      <w:fldChar w:fldCharType="separate"/>
    </w:r>
    <w:r>
      <w:rPr>
        <w:color w:val="000000"/>
      </w:rPr>
      <w:t>17</w:t>
    </w:r>
    <w:r>
      <w:rPr>
        <w:color w:val="000000"/>
      </w:rPr>
      <w:fldChar w:fldCharType="end"/>
    </w:r>
  </w:p>
  <w:p w14:paraId="5FE131E1" w14:textId="77777777" w:rsidR="00E25CED" w:rsidRDefault="00E25CED">
    <w:pPr>
      <w:tabs>
        <w:tab w:val="center" w:pos="4680"/>
        <w:tab w:val="right" w:pos="9360"/>
      </w:tabs>
      <w:spacing w:line="240" w:lineRule="auto"/>
      <w:rPr>
        <w:color w:val="00000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83E90" w14:textId="77777777" w:rsidR="00E25CED" w:rsidRDefault="00E25CED">
    <w:pPr>
      <w:tabs>
        <w:tab w:val="center" w:pos="4680"/>
        <w:tab w:val="right" w:pos="9360"/>
      </w:tabs>
      <w:spacing w:line="240" w:lineRule="auto"/>
      <w:ind w:firstLine="0"/>
      <w:jc w:val="center"/>
      <w:rPr>
        <w:color w:val="000000"/>
      </w:rPr>
    </w:pPr>
    <w:r>
      <w:rPr>
        <w:color w:val="000000"/>
      </w:rPr>
      <w:fldChar w:fldCharType="begin"/>
    </w:r>
    <w:r>
      <w:rPr>
        <w:color w:val="000000"/>
      </w:rPr>
      <w:instrText xml:space="preserve"> PAGE </w:instrText>
    </w:r>
    <w:r>
      <w:rPr>
        <w:color w:val="000000"/>
      </w:rPr>
      <w:fldChar w:fldCharType="separate"/>
    </w:r>
    <w:r>
      <w:rPr>
        <w:color w:val="000000"/>
      </w:rPr>
      <w:t>5</w:t>
    </w:r>
    <w:r>
      <w:rPr>
        <w:color w:val="000000"/>
      </w:rPr>
      <w:fldChar w:fldCharType="end"/>
    </w:r>
  </w:p>
  <w:p w14:paraId="45F5181E" w14:textId="77777777" w:rsidR="00E25CED" w:rsidRDefault="00E25CED">
    <w:pPr>
      <w:tabs>
        <w:tab w:val="center" w:pos="4680"/>
        <w:tab w:val="right" w:pos="9360"/>
      </w:tabs>
      <w:spacing w:line="240" w:lineRule="auto"/>
      <w:rPr>
        <w:color w:val="00000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B75E2" w14:textId="77777777" w:rsidR="00E25CED" w:rsidRDefault="00E25CED">
    <w:pPr>
      <w:tabs>
        <w:tab w:val="center" w:pos="4680"/>
        <w:tab w:val="right" w:pos="9360"/>
      </w:tabs>
      <w:spacing w:line="240" w:lineRule="auto"/>
      <w:ind w:firstLine="0"/>
      <w:jc w:val="center"/>
      <w:rPr>
        <w:color w:val="000000"/>
      </w:rPr>
    </w:pPr>
    <w:r>
      <w:rPr>
        <w:color w:val="000000"/>
      </w:rPr>
      <w:fldChar w:fldCharType="begin"/>
    </w:r>
    <w:r>
      <w:rPr>
        <w:color w:val="000000"/>
      </w:rPr>
      <w:instrText xml:space="preserve"> PAGE </w:instrText>
    </w:r>
    <w:r>
      <w:rPr>
        <w:color w:val="000000"/>
      </w:rPr>
      <w:fldChar w:fldCharType="separate"/>
    </w:r>
    <w:r>
      <w:rPr>
        <w:color w:val="000000"/>
      </w:rPr>
      <w:t>18</w:t>
    </w:r>
    <w:r>
      <w:rPr>
        <w:color w:val="000000"/>
      </w:rPr>
      <w:fldChar w:fldCharType="end"/>
    </w:r>
  </w:p>
  <w:p w14:paraId="40364395" w14:textId="77777777" w:rsidR="00E25CED" w:rsidRDefault="00E25CED">
    <w:pPr>
      <w:tabs>
        <w:tab w:val="center" w:pos="4680"/>
        <w:tab w:val="right" w:pos="9360"/>
      </w:tabs>
      <w:spacing w:line="240" w:lineRule="auto"/>
      <w:rPr>
        <w:color w:val="00000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EEB93" w14:textId="77777777" w:rsidR="00E25CED" w:rsidRDefault="00E25CED"/>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C18B8" w14:textId="77777777" w:rsidR="00E25CED" w:rsidRDefault="00E25CE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664EB" w14:textId="77777777" w:rsidR="00E25CED" w:rsidRDefault="00E25CED">
    <w:pPr>
      <w:tabs>
        <w:tab w:val="center" w:pos="4680"/>
        <w:tab w:val="right" w:pos="9360"/>
      </w:tabs>
      <w:spacing w:line="240" w:lineRule="auto"/>
      <w:ind w:firstLine="0"/>
      <w:jc w:val="center"/>
      <w:rPr>
        <w:color w:val="000000"/>
      </w:rPr>
    </w:pPr>
    <w:r>
      <w:fldChar w:fldCharType="begin"/>
    </w:r>
    <w:r>
      <w:instrText xml:space="preserve"> PAGE </w:instrText>
    </w:r>
    <w:r>
      <w:fldChar w:fldCharType="separate"/>
    </w:r>
    <w:r>
      <w:t>27</w:t>
    </w:r>
    <w:r>
      <w:fldChar w:fldCharType="end"/>
    </w:r>
  </w:p>
  <w:p w14:paraId="183A72ED" w14:textId="77777777" w:rsidR="00E25CED" w:rsidRDefault="00E25CED">
    <w:pPr>
      <w:tabs>
        <w:tab w:val="center" w:pos="4680"/>
        <w:tab w:val="right" w:pos="9360"/>
      </w:tabs>
      <w:spacing w:line="240" w:lineRule="auto"/>
      <w:rPr>
        <w:color w:val="000000"/>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69443" w14:textId="77777777" w:rsidR="00E25CED" w:rsidRDefault="00E25CED">
    <w:pPr>
      <w:tabs>
        <w:tab w:val="center" w:pos="4680"/>
        <w:tab w:val="right" w:pos="9360"/>
      </w:tabs>
      <w:spacing w:line="240" w:lineRule="auto"/>
      <w:ind w:firstLine="0"/>
      <w:jc w:val="center"/>
      <w:rPr>
        <w:color w:val="000000"/>
      </w:rPr>
    </w:pPr>
    <w:r>
      <w:fldChar w:fldCharType="begin"/>
    </w:r>
    <w:r>
      <w:instrText xml:space="preserve"> PAGE </w:instrText>
    </w:r>
    <w:r>
      <w:fldChar w:fldCharType="separate"/>
    </w:r>
    <w:r>
      <w:t>37</w:t>
    </w:r>
    <w:r>
      <w:fldChar w:fldCharType="end"/>
    </w:r>
  </w:p>
  <w:p w14:paraId="3D72BAC3" w14:textId="77777777" w:rsidR="00E25CED" w:rsidRDefault="00E25CED">
    <w:pPr>
      <w:tabs>
        <w:tab w:val="center" w:pos="4680"/>
        <w:tab w:val="right" w:pos="9360"/>
      </w:tabs>
      <w:spacing w:line="240" w:lineRule="auto"/>
      <w:rPr>
        <w:color w:val="000000"/>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D23DF" w14:textId="77777777" w:rsidR="00E25CED" w:rsidRDefault="00E25CED">
    <w:pPr>
      <w:tabs>
        <w:tab w:val="center" w:pos="4680"/>
        <w:tab w:val="right" w:pos="9360"/>
      </w:tabs>
      <w:spacing w:line="240" w:lineRule="auto"/>
      <w:ind w:firstLine="0"/>
      <w:jc w:val="center"/>
      <w:rPr>
        <w:color w:val="000000"/>
      </w:rPr>
    </w:pPr>
    <w:r>
      <w:fldChar w:fldCharType="begin"/>
    </w:r>
    <w:r>
      <w:instrText xml:space="preserve"> PAGE </w:instrText>
    </w:r>
    <w:r>
      <w:fldChar w:fldCharType="separate"/>
    </w:r>
    <w:r>
      <w:t>51</w:t>
    </w:r>
    <w:r>
      <w:fldChar w:fldCharType="end"/>
    </w:r>
  </w:p>
  <w:p w14:paraId="14A626DD" w14:textId="77777777" w:rsidR="00E25CED" w:rsidRDefault="00E25CED">
    <w:pPr>
      <w:tabs>
        <w:tab w:val="center" w:pos="4680"/>
        <w:tab w:val="right" w:pos="9360"/>
      </w:tabs>
      <w:spacing w:line="240" w:lineRule="auto"/>
      <w:rPr>
        <w:color w:val="000000"/>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18A27" w14:textId="77777777" w:rsidR="00E25CED" w:rsidRDefault="00E25CED"/>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AD7AE" w14:textId="77777777" w:rsidR="00E25CED" w:rsidRDefault="00E25CED">
    <w:pPr>
      <w:tabs>
        <w:tab w:val="center" w:pos="4680"/>
        <w:tab w:val="right" w:pos="9360"/>
      </w:tabs>
      <w:spacing w:line="240" w:lineRule="auto"/>
      <w:ind w:firstLine="0"/>
      <w:jc w:val="center"/>
      <w:rPr>
        <w:color w:val="000000"/>
      </w:rPr>
    </w:pPr>
    <w:r>
      <w:fldChar w:fldCharType="begin"/>
    </w:r>
    <w:r>
      <w:instrText xml:space="preserve"> PAGE </w:instrText>
    </w:r>
    <w:r>
      <w:fldChar w:fldCharType="separate"/>
    </w:r>
    <w:r>
      <w:t>66</w:t>
    </w:r>
    <w:r>
      <w:fldChar w:fldCharType="end"/>
    </w:r>
  </w:p>
  <w:p w14:paraId="4411287C" w14:textId="77777777" w:rsidR="00E25CED" w:rsidRDefault="00E25CED">
    <w:pPr>
      <w:tabs>
        <w:tab w:val="center" w:pos="4680"/>
        <w:tab w:val="right" w:pos="9360"/>
      </w:tabs>
      <w:spacing w:line="240" w:lineRule="auto"/>
      <w:rPr>
        <w:color w:val="000000"/>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D714B" w14:textId="77777777" w:rsidR="00E25CED" w:rsidRDefault="00E25CED"/>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D4A7F" w14:textId="77777777" w:rsidR="00E25CED" w:rsidRDefault="00E25CED">
    <w:pPr>
      <w:tabs>
        <w:tab w:val="center" w:pos="4680"/>
        <w:tab w:val="right" w:pos="9360"/>
      </w:tabs>
      <w:spacing w:line="240" w:lineRule="auto"/>
      <w:ind w:firstLine="0"/>
      <w:jc w:val="center"/>
      <w:rPr>
        <w:color w:val="000000"/>
      </w:rPr>
    </w:pPr>
    <w:r>
      <w:fldChar w:fldCharType="begin"/>
    </w:r>
    <w:r>
      <w:instrText xml:space="preserve"> PAGE </w:instrText>
    </w:r>
    <w:r>
      <w:fldChar w:fldCharType="separate"/>
    </w:r>
    <w:r>
      <w:t>90</w:t>
    </w:r>
    <w:r>
      <w:fldChar w:fldCharType="end"/>
    </w:r>
  </w:p>
  <w:p w14:paraId="5F8FB523" w14:textId="77777777" w:rsidR="00E25CED" w:rsidRDefault="00E25CED">
    <w:pPr>
      <w:tabs>
        <w:tab w:val="center" w:pos="4680"/>
        <w:tab w:val="right" w:pos="9360"/>
      </w:tabs>
      <w:spacing w:line="240" w:lineRule="auto"/>
      <w:rPr>
        <w:color w:val="000000"/>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517D0" w14:textId="77777777" w:rsidR="00E25CED" w:rsidRDefault="00E25CED"/>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650BD" w14:textId="77777777" w:rsidR="00E25CED" w:rsidRDefault="00E25CED">
    <w:pPr>
      <w:tabs>
        <w:tab w:val="center" w:pos="4680"/>
        <w:tab w:val="right" w:pos="9360"/>
      </w:tabs>
      <w:spacing w:line="240" w:lineRule="auto"/>
      <w:ind w:firstLine="0"/>
      <w:jc w:val="center"/>
      <w:rPr>
        <w:color w:val="000000"/>
      </w:rPr>
    </w:pPr>
    <w:r>
      <w:fldChar w:fldCharType="begin"/>
    </w:r>
    <w:r>
      <w:instrText xml:space="preserve"> PAGE </w:instrText>
    </w:r>
    <w:r>
      <w:fldChar w:fldCharType="separate"/>
    </w:r>
    <w:r>
      <w:t>92</w:t>
    </w:r>
    <w:r>
      <w:fldChar w:fldCharType="end"/>
    </w:r>
  </w:p>
  <w:p w14:paraId="18343BFA" w14:textId="77777777" w:rsidR="00E25CED" w:rsidRDefault="00E25CED">
    <w:pPr>
      <w:tabs>
        <w:tab w:val="center" w:pos="4680"/>
        <w:tab w:val="right" w:pos="9360"/>
      </w:tabs>
      <w:spacing w:line="240" w:lineRule="auto"/>
      <w:rPr>
        <w:color w:val="000000"/>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5A825" w14:textId="77777777" w:rsidR="00E25CED" w:rsidRDefault="00E25CED"/>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B4F9E" w14:textId="77777777" w:rsidR="00E25CED" w:rsidRDefault="00E25CED">
    <w:pPr>
      <w:tabs>
        <w:tab w:val="center" w:pos="4680"/>
        <w:tab w:val="right" w:pos="9360"/>
      </w:tabs>
      <w:spacing w:line="240" w:lineRule="auto"/>
      <w:ind w:firstLine="0"/>
      <w:jc w:val="center"/>
      <w:rPr>
        <w:color w:val="000000"/>
      </w:rPr>
    </w:pPr>
    <w:r>
      <w:fldChar w:fldCharType="begin"/>
    </w:r>
    <w:r>
      <w:instrText xml:space="preserve"> PAGE </w:instrText>
    </w:r>
    <w:r>
      <w:fldChar w:fldCharType="separate"/>
    </w:r>
    <w:r>
      <w:t>113</w:t>
    </w:r>
    <w:r>
      <w:fldChar w:fldCharType="end"/>
    </w:r>
  </w:p>
  <w:p w14:paraId="465A2329" w14:textId="77777777" w:rsidR="00E25CED" w:rsidRDefault="00E25CED">
    <w:pPr>
      <w:tabs>
        <w:tab w:val="center" w:pos="4680"/>
        <w:tab w:val="right" w:pos="9360"/>
      </w:tabs>
      <w:spacing w:line="240" w:lineRule="auto"/>
      <w:rPr>
        <w:color w:val="000000"/>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6E972" w14:textId="77777777" w:rsidR="00E25CED" w:rsidRDefault="00E25CED"/>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947DA" w14:textId="77777777" w:rsidR="00E25CED" w:rsidRDefault="00E25CED">
    <w:pPr>
      <w:tabs>
        <w:tab w:val="center" w:pos="4680"/>
        <w:tab w:val="right" w:pos="9360"/>
      </w:tabs>
      <w:spacing w:line="240" w:lineRule="auto"/>
      <w:ind w:firstLine="0"/>
      <w:jc w:val="center"/>
      <w:rPr>
        <w:color w:val="000000"/>
      </w:rPr>
    </w:pPr>
    <w:r>
      <w:fldChar w:fldCharType="begin"/>
    </w:r>
    <w:r>
      <w:instrText xml:space="preserve"> PAGE </w:instrText>
    </w:r>
    <w:r>
      <w:fldChar w:fldCharType="separate"/>
    </w:r>
    <w:r>
      <w:t>126</w:t>
    </w:r>
    <w:r>
      <w:fldChar w:fldCharType="end"/>
    </w:r>
  </w:p>
  <w:p w14:paraId="39162C4B" w14:textId="77777777" w:rsidR="00E25CED" w:rsidRDefault="00E25CED">
    <w:pPr>
      <w:tabs>
        <w:tab w:val="center" w:pos="4680"/>
        <w:tab w:val="right" w:pos="9360"/>
      </w:tabs>
      <w:spacing w:line="240" w:lineRule="auto"/>
      <w:rPr>
        <w:color w:val="000000"/>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3D21A" w14:textId="77777777" w:rsidR="00E25CED" w:rsidRDefault="00E25CED"/>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EF677" w14:textId="77777777" w:rsidR="00E25CED" w:rsidRDefault="00E25CED">
    <w:pPr>
      <w:tabs>
        <w:tab w:val="center" w:pos="4680"/>
        <w:tab w:val="right" w:pos="9360"/>
      </w:tabs>
      <w:spacing w:line="240" w:lineRule="auto"/>
      <w:ind w:firstLine="0"/>
      <w:jc w:val="center"/>
      <w:rPr>
        <w:color w:val="000000"/>
      </w:rPr>
    </w:pPr>
    <w:r>
      <w:fldChar w:fldCharType="begin"/>
    </w:r>
    <w:r>
      <w:instrText xml:space="preserve"> PAGE </w:instrText>
    </w:r>
    <w:r>
      <w:fldChar w:fldCharType="separate"/>
    </w:r>
    <w:r>
      <w:t>143</w:t>
    </w:r>
    <w:r>
      <w:fldChar w:fldCharType="end"/>
    </w:r>
  </w:p>
  <w:p w14:paraId="56E22D36" w14:textId="77777777" w:rsidR="00E25CED" w:rsidRDefault="00E25CED">
    <w:pPr>
      <w:tabs>
        <w:tab w:val="center" w:pos="4680"/>
        <w:tab w:val="right" w:pos="9360"/>
      </w:tabs>
      <w:spacing w:line="240" w:lineRule="auto"/>
      <w:rPr>
        <w:color w:val="000000"/>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48D1A" w14:textId="77777777" w:rsidR="00E25CED" w:rsidRDefault="00E25CED"/>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C21B0" w14:textId="77777777" w:rsidR="00E25CED" w:rsidRDefault="00E25CED">
    <w:pPr>
      <w:tabs>
        <w:tab w:val="center" w:pos="4680"/>
        <w:tab w:val="right" w:pos="9360"/>
      </w:tabs>
      <w:spacing w:line="240" w:lineRule="auto"/>
      <w:ind w:firstLine="0"/>
      <w:jc w:val="center"/>
      <w:rPr>
        <w:color w:val="000000"/>
      </w:rPr>
    </w:pPr>
    <w:r>
      <w:fldChar w:fldCharType="begin"/>
    </w:r>
    <w:r>
      <w:instrText xml:space="preserve"> PAGE </w:instrText>
    </w:r>
    <w:r>
      <w:fldChar w:fldCharType="separate"/>
    </w:r>
    <w:r>
      <w:t>162</w:t>
    </w:r>
    <w:r>
      <w:fldChar w:fldCharType="end"/>
    </w:r>
  </w:p>
  <w:p w14:paraId="15D56589" w14:textId="77777777" w:rsidR="00E25CED" w:rsidRDefault="00E25CED">
    <w:pPr>
      <w:tabs>
        <w:tab w:val="center" w:pos="4680"/>
        <w:tab w:val="right" w:pos="9360"/>
      </w:tabs>
      <w:spacing w:line="240" w:lineRule="auto"/>
      <w:rPr>
        <w:color w:val="000000"/>
      </w:rP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B75C3" w14:textId="77777777" w:rsidR="00E25CED" w:rsidRDefault="00E25CED"/>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95EB1" w14:textId="77777777" w:rsidR="00E25CED" w:rsidRDefault="00E25CED">
    <w:pPr>
      <w:tabs>
        <w:tab w:val="center" w:pos="4680"/>
        <w:tab w:val="right" w:pos="9360"/>
      </w:tabs>
      <w:spacing w:line="240" w:lineRule="auto"/>
      <w:ind w:firstLine="0"/>
      <w:jc w:val="center"/>
      <w:rPr>
        <w:color w:val="000000"/>
      </w:rPr>
    </w:pPr>
    <w:r>
      <w:fldChar w:fldCharType="begin"/>
    </w:r>
    <w:r>
      <w:instrText xml:space="preserve"> PAGE </w:instrText>
    </w:r>
    <w:r>
      <w:fldChar w:fldCharType="separate"/>
    </w:r>
    <w:r>
      <w:t>163</w:t>
    </w:r>
    <w:r>
      <w:fldChar w:fldCharType="end"/>
    </w:r>
  </w:p>
  <w:p w14:paraId="6A229C17" w14:textId="77777777" w:rsidR="00E25CED" w:rsidRDefault="00E25CED">
    <w:pPr>
      <w:tabs>
        <w:tab w:val="center" w:pos="4680"/>
        <w:tab w:val="right" w:pos="9360"/>
      </w:tabs>
      <w:spacing w:line="240" w:lineRule="auto"/>
      <w:rPr>
        <w:color w:val="000000"/>
      </w:rP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BA51B" w14:textId="77777777" w:rsidR="00E25CED" w:rsidRDefault="00E25CED"/>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2CD33" w14:textId="77777777" w:rsidR="00E25CED" w:rsidRDefault="00E25CED">
    <w:pPr>
      <w:tabs>
        <w:tab w:val="center" w:pos="4680"/>
        <w:tab w:val="right" w:pos="9360"/>
      </w:tabs>
      <w:spacing w:line="240" w:lineRule="auto"/>
      <w:ind w:firstLine="0"/>
      <w:jc w:val="center"/>
      <w:rPr>
        <w:color w:val="000000"/>
      </w:rPr>
    </w:pPr>
    <w:r>
      <w:fldChar w:fldCharType="begin"/>
    </w:r>
    <w:r>
      <w:instrText xml:space="preserve"> PAGE </w:instrText>
    </w:r>
    <w:r>
      <w:fldChar w:fldCharType="separate"/>
    </w:r>
    <w:r>
      <w:t>186</w:t>
    </w:r>
    <w:r>
      <w:fldChar w:fldCharType="end"/>
    </w:r>
  </w:p>
  <w:p w14:paraId="275727EC" w14:textId="77777777" w:rsidR="00E25CED" w:rsidRDefault="00E25CED">
    <w:pPr>
      <w:tabs>
        <w:tab w:val="center" w:pos="4680"/>
        <w:tab w:val="right" w:pos="9360"/>
      </w:tabs>
      <w:spacing w:line="240" w:lineRule="auto"/>
      <w:rPr>
        <w:color w:val="000000"/>
      </w:rP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E14B2" w14:textId="77777777" w:rsidR="00E25CED" w:rsidRDefault="00E25CED"/>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88BD3" w14:textId="77777777" w:rsidR="00E25CED" w:rsidRDefault="00E25CED">
    <w:pPr>
      <w:tabs>
        <w:tab w:val="center" w:pos="4680"/>
        <w:tab w:val="right" w:pos="9360"/>
      </w:tabs>
      <w:spacing w:line="240" w:lineRule="auto"/>
      <w:ind w:firstLine="0"/>
      <w:jc w:val="center"/>
      <w:rPr>
        <w:color w:val="000000"/>
      </w:rPr>
    </w:pPr>
    <w:r>
      <w:fldChar w:fldCharType="begin"/>
    </w:r>
    <w:r>
      <w:instrText xml:space="preserve"> PAGE </w:instrText>
    </w:r>
    <w:r>
      <w:fldChar w:fldCharType="separate"/>
    </w:r>
    <w:r>
      <w:t>210</w:t>
    </w:r>
    <w:r>
      <w:fldChar w:fldCharType="end"/>
    </w:r>
  </w:p>
  <w:p w14:paraId="6FE911A4" w14:textId="77777777" w:rsidR="00E25CED" w:rsidRDefault="00E25CED">
    <w:pPr>
      <w:tabs>
        <w:tab w:val="center" w:pos="4680"/>
        <w:tab w:val="right" w:pos="9360"/>
      </w:tabs>
      <w:spacing w:line="240" w:lineRule="auto"/>
      <w:rPr>
        <w:color w:val="000000"/>
      </w:rP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740B9" w14:textId="77777777" w:rsidR="00E25CED" w:rsidRDefault="00E25CED"/>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6143D" w14:textId="77777777" w:rsidR="00E25CED" w:rsidRDefault="00E25CED">
    <w:pPr>
      <w:tabs>
        <w:tab w:val="center" w:pos="4680"/>
        <w:tab w:val="right" w:pos="9360"/>
      </w:tabs>
      <w:spacing w:line="240" w:lineRule="auto"/>
      <w:ind w:firstLine="0"/>
      <w:jc w:val="center"/>
      <w:rPr>
        <w:color w:val="000000"/>
      </w:rPr>
    </w:pPr>
    <w:r>
      <w:fldChar w:fldCharType="begin"/>
    </w:r>
    <w:r>
      <w:instrText xml:space="preserve"> PAGE </w:instrText>
    </w:r>
    <w:r>
      <w:fldChar w:fldCharType="separate"/>
    </w:r>
    <w:r>
      <w:t>227</w:t>
    </w:r>
    <w:r>
      <w:fldChar w:fldCharType="end"/>
    </w:r>
  </w:p>
  <w:p w14:paraId="7A232346" w14:textId="77777777" w:rsidR="00E25CED" w:rsidRDefault="00E25CED">
    <w:pPr>
      <w:tabs>
        <w:tab w:val="center" w:pos="4680"/>
        <w:tab w:val="right" w:pos="9360"/>
      </w:tabs>
      <w:spacing w:line="240" w:lineRule="auto"/>
      <w:rPr>
        <w:color w:val="000000"/>
      </w:rP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7C7B3" w14:textId="77777777" w:rsidR="00E25CED" w:rsidRDefault="00E25CED"/>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24369" w14:textId="77777777" w:rsidR="00E25CED" w:rsidRDefault="00E25CED">
    <w:pPr>
      <w:tabs>
        <w:tab w:val="center" w:pos="4680"/>
        <w:tab w:val="right" w:pos="9360"/>
      </w:tabs>
      <w:spacing w:line="240" w:lineRule="auto"/>
      <w:ind w:firstLine="0"/>
      <w:jc w:val="center"/>
      <w:rPr>
        <w:color w:val="000000"/>
      </w:rPr>
    </w:pPr>
    <w:r>
      <w:fldChar w:fldCharType="begin"/>
    </w:r>
    <w:r>
      <w:instrText xml:space="preserve"> PAGE </w:instrText>
    </w:r>
    <w:r>
      <w:fldChar w:fldCharType="separate"/>
    </w:r>
    <w:r>
      <w:t>243</w:t>
    </w:r>
    <w:r>
      <w:fldChar w:fldCharType="end"/>
    </w:r>
  </w:p>
  <w:p w14:paraId="3CB0E75D" w14:textId="77777777" w:rsidR="00E25CED" w:rsidRDefault="00E25CED">
    <w:pPr>
      <w:tabs>
        <w:tab w:val="center" w:pos="4680"/>
        <w:tab w:val="right" w:pos="9360"/>
      </w:tabs>
      <w:spacing w:line="240" w:lineRule="auto"/>
      <w:rPr>
        <w:color w:val="000000"/>
      </w:rP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7A4F0" w14:textId="77777777" w:rsidR="00E25CED" w:rsidRDefault="00E25CED"/>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013C2" w14:textId="77777777" w:rsidR="00E25CED" w:rsidRDefault="00E25CED">
    <w:pPr>
      <w:tabs>
        <w:tab w:val="center" w:pos="4680"/>
        <w:tab w:val="right" w:pos="9360"/>
      </w:tabs>
      <w:spacing w:line="240" w:lineRule="auto"/>
      <w:ind w:firstLine="0"/>
      <w:jc w:val="center"/>
      <w:rPr>
        <w:color w:val="000000"/>
      </w:rPr>
    </w:pPr>
    <w:r>
      <w:fldChar w:fldCharType="begin"/>
    </w:r>
    <w:r>
      <w:instrText xml:space="preserve"> PAGE </w:instrText>
    </w:r>
    <w:r>
      <w:fldChar w:fldCharType="separate"/>
    </w:r>
    <w:r>
      <w:t>260</w:t>
    </w:r>
    <w:r>
      <w:fldChar w:fldCharType="end"/>
    </w:r>
  </w:p>
  <w:p w14:paraId="5482D051" w14:textId="77777777" w:rsidR="00E25CED" w:rsidRDefault="00E25CED">
    <w:pPr>
      <w:tabs>
        <w:tab w:val="center" w:pos="4680"/>
        <w:tab w:val="right" w:pos="9360"/>
      </w:tabs>
      <w:spacing w:line="240" w:lineRule="auto"/>
      <w:rPr>
        <w:color w:val="000000"/>
      </w:rP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DB8D8" w14:textId="77777777" w:rsidR="00E25CED" w:rsidRDefault="00E25CED"/>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AA836" w14:textId="77777777" w:rsidR="00E25CED" w:rsidRDefault="00E25CED">
    <w:pPr>
      <w:tabs>
        <w:tab w:val="center" w:pos="4680"/>
        <w:tab w:val="right" w:pos="9360"/>
      </w:tabs>
      <w:spacing w:line="240" w:lineRule="auto"/>
      <w:ind w:firstLine="0"/>
      <w:jc w:val="center"/>
      <w:rPr>
        <w:color w:val="000000"/>
      </w:rPr>
    </w:pPr>
    <w:r>
      <w:fldChar w:fldCharType="begin"/>
    </w:r>
    <w:r>
      <w:instrText xml:space="preserve"> PAGE </w:instrText>
    </w:r>
    <w:r>
      <w:fldChar w:fldCharType="separate"/>
    </w:r>
    <w:r>
      <w:t>280</w:t>
    </w:r>
    <w:r>
      <w:fldChar w:fldCharType="end"/>
    </w:r>
  </w:p>
  <w:p w14:paraId="73F3F1F6" w14:textId="77777777" w:rsidR="00E25CED" w:rsidRDefault="00E25CED">
    <w:pPr>
      <w:tabs>
        <w:tab w:val="center" w:pos="4680"/>
        <w:tab w:val="right" w:pos="9360"/>
      </w:tabs>
      <w:spacing w:line="240" w:lineRule="auto"/>
      <w:rPr>
        <w:color w:val="000000"/>
      </w:rP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86DD2" w14:textId="77777777" w:rsidR="00E25CED" w:rsidRDefault="00E25CED"/>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8EF9C" w14:textId="77777777" w:rsidR="009F4A78" w:rsidRDefault="009F4A78">
    <w:pPr>
      <w:tabs>
        <w:tab w:val="center" w:pos="4680"/>
        <w:tab w:val="right" w:pos="9360"/>
      </w:tabs>
      <w:spacing w:line="240" w:lineRule="auto"/>
      <w:ind w:firstLine="0"/>
      <w:jc w:val="center"/>
      <w:rPr>
        <w:color w:val="000000"/>
      </w:rPr>
    </w:pPr>
    <w:r>
      <w:fldChar w:fldCharType="begin"/>
    </w:r>
    <w:r>
      <w:instrText xml:space="preserve"> PAGE </w:instrText>
    </w:r>
    <w:r>
      <w:fldChar w:fldCharType="separate"/>
    </w:r>
    <w:r>
      <w:t>285</w:t>
    </w:r>
    <w:r>
      <w:fldChar w:fldCharType="end"/>
    </w:r>
  </w:p>
  <w:p w14:paraId="319D0A84" w14:textId="77777777" w:rsidR="009F4A78" w:rsidRDefault="009F4A78">
    <w:pPr>
      <w:tabs>
        <w:tab w:val="center" w:pos="4680"/>
        <w:tab w:val="right" w:pos="9360"/>
      </w:tabs>
      <w:spacing w:line="240" w:lineRule="auto"/>
      <w:rPr>
        <w:color w:val="000000"/>
      </w:rP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A541B" w14:textId="77777777" w:rsidR="009F4A78" w:rsidRDefault="009F4A78"/>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54B98" w14:textId="77777777" w:rsidR="005A241D" w:rsidRDefault="005A241D">
    <w:pPr>
      <w:tabs>
        <w:tab w:val="center" w:pos="4680"/>
        <w:tab w:val="right" w:pos="9360"/>
      </w:tabs>
      <w:spacing w:line="240" w:lineRule="auto"/>
      <w:ind w:firstLine="0"/>
      <w:jc w:val="center"/>
      <w:rPr>
        <w:color w:val="000000"/>
      </w:rPr>
    </w:pPr>
    <w:r>
      <w:fldChar w:fldCharType="begin"/>
    </w:r>
    <w:r>
      <w:instrText xml:space="preserve"> PAGE </w:instrText>
    </w:r>
    <w:r>
      <w:fldChar w:fldCharType="separate"/>
    </w:r>
    <w:r>
      <w:t>273</w:t>
    </w:r>
    <w:r>
      <w:fldChar w:fldCharType="end"/>
    </w:r>
  </w:p>
  <w:p w14:paraId="5B11E3F4" w14:textId="77777777" w:rsidR="005A241D" w:rsidRDefault="005A241D">
    <w:pPr>
      <w:tabs>
        <w:tab w:val="center" w:pos="4680"/>
        <w:tab w:val="right" w:pos="9360"/>
      </w:tabs>
      <w:spacing w:line="240" w:lineRule="auto"/>
      <w:rPr>
        <w:color w:val="000000"/>
      </w:rP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70DF7" w14:textId="77777777" w:rsidR="005A241D" w:rsidRDefault="005A241D"/>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C9CF9" w14:textId="77777777" w:rsidR="009616FF" w:rsidRDefault="00F87934">
    <w:pPr>
      <w:tabs>
        <w:tab w:val="center" w:pos="4680"/>
        <w:tab w:val="right" w:pos="9360"/>
      </w:tabs>
      <w:spacing w:line="240" w:lineRule="auto"/>
      <w:ind w:firstLine="0"/>
      <w:jc w:val="center"/>
      <w:rPr>
        <w:color w:val="000000"/>
      </w:rPr>
    </w:pPr>
    <w:r>
      <w:fldChar w:fldCharType="begin"/>
    </w:r>
    <w:r>
      <w:instrText xml:space="preserve"> PAGE </w:instrText>
    </w:r>
    <w:r>
      <w:fldChar w:fldCharType="separate"/>
    </w:r>
    <w:r>
      <w:t>284</w:t>
    </w:r>
    <w:r>
      <w:fldChar w:fldCharType="end"/>
    </w:r>
  </w:p>
  <w:p w14:paraId="50DEB9FA" w14:textId="77777777" w:rsidR="009616FF" w:rsidRDefault="009616FF">
    <w:pPr>
      <w:tabs>
        <w:tab w:val="center" w:pos="4680"/>
        <w:tab w:val="right" w:pos="9360"/>
      </w:tabs>
      <w:spacing w:line="240" w:lineRule="auto"/>
      <w:rPr>
        <w:color w:val="000000"/>
      </w:rP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F082C" w14:textId="77777777" w:rsidR="009616FF" w:rsidRDefault="009616FF"/>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00384" w14:textId="77777777" w:rsidR="009616FF" w:rsidRDefault="00F87934">
    <w:pPr>
      <w:tabs>
        <w:tab w:val="center" w:pos="4680"/>
        <w:tab w:val="right" w:pos="9360"/>
      </w:tabs>
      <w:spacing w:line="240" w:lineRule="auto"/>
      <w:ind w:firstLine="0"/>
      <w:jc w:val="center"/>
      <w:rPr>
        <w:color w:val="000000"/>
      </w:rPr>
    </w:pPr>
    <w:r>
      <w:fldChar w:fldCharType="begin"/>
    </w:r>
    <w:r>
      <w:instrText xml:space="preserve"> PAGE </w:instrText>
    </w:r>
    <w:r>
      <w:fldChar w:fldCharType="separate"/>
    </w:r>
    <w:r>
      <w:t>285</w:t>
    </w:r>
    <w:r>
      <w:fldChar w:fldCharType="end"/>
    </w:r>
  </w:p>
  <w:p w14:paraId="6093A502" w14:textId="77777777" w:rsidR="009616FF" w:rsidRDefault="009616FF">
    <w:pPr>
      <w:tabs>
        <w:tab w:val="center" w:pos="4680"/>
        <w:tab w:val="right" w:pos="9360"/>
      </w:tabs>
      <w:spacing w:line="240" w:lineRule="auto"/>
      <w:rPr>
        <w:color w:val="000000"/>
      </w:rPr>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65020" w14:textId="77777777" w:rsidR="009616FF" w:rsidRDefault="009616F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5293E" w14:textId="77777777" w:rsidR="008E4842" w:rsidRDefault="008E4842">
      <w:pPr>
        <w:rPr>
          <w:sz w:val="12"/>
        </w:rPr>
      </w:pPr>
      <w:r>
        <w:separator/>
      </w:r>
    </w:p>
  </w:footnote>
  <w:footnote w:type="continuationSeparator" w:id="0">
    <w:p w14:paraId="6EDC8919" w14:textId="77777777" w:rsidR="008E4842" w:rsidRDefault="008E4842">
      <w:pPr>
        <w:rPr>
          <w:sz w:val="12"/>
        </w:rPr>
      </w:pPr>
      <w:r>
        <w:continuationSeparator/>
      </w:r>
    </w:p>
  </w:footnote>
  <w:footnote w:id="1">
    <w:p w14:paraId="1FD8C8A2" w14:textId="3AE4296F" w:rsidR="00424BB7" w:rsidRPr="00424BB7" w:rsidRDefault="00424BB7" w:rsidP="00424BB7">
      <w:pPr>
        <w:pStyle w:val="Endnotes"/>
      </w:pPr>
      <w:r>
        <w:rPr>
          <w:rStyle w:val="FootnoteReference"/>
        </w:rPr>
        <w:footnoteRef/>
      </w:r>
      <w:r>
        <w:t xml:space="preserve"> </w:t>
      </w:r>
      <w:r w:rsidRPr="00424BB7">
        <w:t xml:space="preserve">The story may be </w:t>
      </w:r>
      <w:r>
        <w:t xml:space="preserve">largely </w:t>
      </w:r>
      <w:r w:rsidRPr="00424BB7">
        <w:t>apocryphal. Primary colonial records of the bounty program have never surfaced, and the episode entered economics largely through later retelling. But a nearly identical and well-documented case occurred under French rule in Hanoi in 1902, where a bounty on rat tails produced exactly the response the cobra version describes. The pattern is real even if the cobras may not have been.</w:t>
      </w:r>
    </w:p>
    <w:p w14:paraId="778F026A" w14:textId="5A95C312" w:rsidR="00424BB7" w:rsidRDefault="00424BB7">
      <w:pPr>
        <w:pStyle w:val="FootnoteText"/>
      </w:pPr>
    </w:p>
  </w:footnote>
  <w:footnote w:id="2">
    <w:p w14:paraId="665EA721" w14:textId="77777777" w:rsidR="00EF6868" w:rsidRDefault="00EF6868">
      <w:pPr>
        <w:widowControl w:val="0"/>
        <w:spacing w:line="240" w:lineRule="auto"/>
        <w:ind w:firstLine="0"/>
        <w:rPr>
          <w:rFonts w:ascii="Times New Roman" w:eastAsia="Times New Roman" w:hAnsi="Times New Roman" w:cs="Times New Roman"/>
          <w:color w:val="000000"/>
          <w:sz w:val="20"/>
          <w:szCs w:val="20"/>
        </w:rPr>
      </w:pPr>
      <w:r>
        <w:rPr>
          <w:rStyle w:val="FootnoteCharacters"/>
        </w:rPr>
        <w:footnoteRef/>
      </w:r>
      <w:r>
        <w:rPr>
          <w:rFonts w:ascii="Times New Roman" w:eastAsia="Times New Roman" w:hAnsi="Times New Roman" w:cs="Times New Roman"/>
          <w:color w:val="000000"/>
          <w:sz w:val="20"/>
          <w:szCs w:val="20"/>
        </w:rPr>
        <w:t xml:space="preserve"> While not strictly contrarian, it offers a distinct institutional perspective that often challenges simpler narratives of economic success/failure.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0615D"/>
    <w:multiLevelType w:val="multilevel"/>
    <w:tmpl w:val="0CB602E8"/>
    <w:lvl w:ilvl="0">
      <w:start w:val="1"/>
      <w:numFmt w:val="bullet"/>
      <w:lvlText w:val="●"/>
      <w:lvlJc w:val="left"/>
      <w:pPr>
        <w:tabs>
          <w:tab w:val="num" w:pos="0"/>
        </w:tabs>
        <w:ind w:left="1440" w:hanging="360"/>
      </w:pPr>
      <w:rPr>
        <w:rFonts w:ascii="Noto Sans Symbols" w:hAnsi="Noto Sans Symbols" w:cs="Noto Sans Symbols" w:hint="default"/>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 w15:restartNumberingAfterBreak="0">
    <w:nsid w:val="1754285C"/>
    <w:multiLevelType w:val="multilevel"/>
    <w:tmpl w:val="F52A0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493987"/>
    <w:multiLevelType w:val="multilevel"/>
    <w:tmpl w:val="4EC43DA6"/>
    <w:lvl w:ilvl="0">
      <w:start w:val="1"/>
      <w:numFmt w:val="bullet"/>
      <w:lvlText w:val="●"/>
      <w:lvlJc w:val="left"/>
      <w:pPr>
        <w:tabs>
          <w:tab w:val="num" w:pos="0"/>
        </w:tabs>
        <w:ind w:left="1440" w:hanging="360"/>
      </w:pPr>
      <w:rPr>
        <w:rFonts w:ascii="Noto Sans Symbols" w:hAnsi="Noto Sans Symbols" w:cs="Noto Sans Symbols"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Noto Sans Symbols" w:hAnsi="Noto Sans Symbols" w:cs="Noto Sans Symbols" w:hint="default"/>
      </w:rPr>
    </w:lvl>
    <w:lvl w:ilvl="3">
      <w:start w:val="1"/>
      <w:numFmt w:val="bullet"/>
      <w:lvlText w:val="●"/>
      <w:lvlJc w:val="left"/>
      <w:pPr>
        <w:tabs>
          <w:tab w:val="num" w:pos="0"/>
        </w:tabs>
        <w:ind w:left="3600" w:hanging="360"/>
      </w:pPr>
      <w:rPr>
        <w:rFonts w:ascii="Noto Sans Symbols" w:hAnsi="Noto Sans Symbols" w:cs="Noto Sans Symbols"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Noto Sans Symbols" w:hAnsi="Noto Sans Symbols" w:cs="Noto Sans Symbols" w:hint="default"/>
      </w:rPr>
    </w:lvl>
    <w:lvl w:ilvl="6">
      <w:start w:val="1"/>
      <w:numFmt w:val="bullet"/>
      <w:lvlText w:val="●"/>
      <w:lvlJc w:val="left"/>
      <w:pPr>
        <w:tabs>
          <w:tab w:val="num" w:pos="0"/>
        </w:tabs>
        <w:ind w:left="5760" w:hanging="360"/>
      </w:pPr>
      <w:rPr>
        <w:rFonts w:ascii="Noto Sans Symbols" w:hAnsi="Noto Sans Symbols" w:cs="Noto Sans Symbols"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Noto Sans Symbols" w:hAnsi="Noto Sans Symbols" w:cs="Noto Sans Symbols" w:hint="default"/>
      </w:rPr>
    </w:lvl>
  </w:abstractNum>
  <w:abstractNum w:abstractNumId="3" w15:restartNumberingAfterBreak="0">
    <w:nsid w:val="20C4430B"/>
    <w:multiLevelType w:val="multilevel"/>
    <w:tmpl w:val="A1EA2A78"/>
    <w:lvl w:ilvl="0">
      <w:start w:val="1"/>
      <w:numFmt w:val="bullet"/>
      <w:pStyle w:val="NumberedChapters"/>
      <w:lvlText w:val="●"/>
      <w:lvlJc w:val="left"/>
      <w:pPr>
        <w:tabs>
          <w:tab w:val="num" w:pos="0"/>
        </w:tabs>
        <w:ind w:left="1440" w:hanging="360"/>
      </w:pPr>
      <w:rPr>
        <w:rFonts w:ascii="Noto Sans Symbols" w:hAnsi="Noto Sans Symbols" w:cs="Noto Sans Symbols"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Noto Sans Symbols" w:hAnsi="Noto Sans Symbols" w:cs="Noto Sans Symbols" w:hint="default"/>
      </w:rPr>
    </w:lvl>
    <w:lvl w:ilvl="3">
      <w:start w:val="1"/>
      <w:numFmt w:val="bullet"/>
      <w:lvlText w:val="●"/>
      <w:lvlJc w:val="left"/>
      <w:pPr>
        <w:tabs>
          <w:tab w:val="num" w:pos="0"/>
        </w:tabs>
        <w:ind w:left="3600" w:hanging="360"/>
      </w:pPr>
      <w:rPr>
        <w:rFonts w:ascii="Noto Sans Symbols" w:hAnsi="Noto Sans Symbols" w:cs="Noto Sans Symbols"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Noto Sans Symbols" w:hAnsi="Noto Sans Symbols" w:cs="Noto Sans Symbols" w:hint="default"/>
      </w:rPr>
    </w:lvl>
    <w:lvl w:ilvl="6">
      <w:start w:val="1"/>
      <w:numFmt w:val="bullet"/>
      <w:lvlText w:val="●"/>
      <w:lvlJc w:val="left"/>
      <w:pPr>
        <w:tabs>
          <w:tab w:val="num" w:pos="0"/>
        </w:tabs>
        <w:ind w:left="5760" w:hanging="360"/>
      </w:pPr>
      <w:rPr>
        <w:rFonts w:ascii="Noto Sans Symbols" w:hAnsi="Noto Sans Symbols" w:cs="Noto Sans Symbols"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Noto Sans Symbols" w:hAnsi="Noto Sans Symbols" w:cs="Noto Sans Symbols" w:hint="default"/>
      </w:rPr>
    </w:lvl>
  </w:abstractNum>
  <w:abstractNum w:abstractNumId="4" w15:restartNumberingAfterBreak="0">
    <w:nsid w:val="214A5124"/>
    <w:multiLevelType w:val="multilevel"/>
    <w:tmpl w:val="4AD09D06"/>
    <w:lvl w:ilvl="0">
      <w:start w:val="1"/>
      <w:numFmt w:val="bullet"/>
      <w:lvlText w:val="●"/>
      <w:lvlJc w:val="left"/>
      <w:pPr>
        <w:tabs>
          <w:tab w:val="num" w:pos="0"/>
        </w:tabs>
        <w:ind w:left="1440" w:hanging="360"/>
      </w:pPr>
      <w:rPr>
        <w:rFonts w:ascii="Noto Sans Symbols" w:hAnsi="Noto Sans Symbols" w:cs="Noto Sans Symbols"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Noto Sans Symbols" w:hAnsi="Noto Sans Symbols" w:cs="Noto Sans Symbols" w:hint="default"/>
      </w:rPr>
    </w:lvl>
    <w:lvl w:ilvl="3">
      <w:start w:val="1"/>
      <w:numFmt w:val="bullet"/>
      <w:lvlText w:val="●"/>
      <w:lvlJc w:val="left"/>
      <w:pPr>
        <w:tabs>
          <w:tab w:val="num" w:pos="0"/>
        </w:tabs>
        <w:ind w:left="3600" w:hanging="360"/>
      </w:pPr>
      <w:rPr>
        <w:rFonts w:ascii="Noto Sans Symbols" w:hAnsi="Noto Sans Symbols" w:cs="Noto Sans Symbols"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Noto Sans Symbols" w:hAnsi="Noto Sans Symbols" w:cs="Noto Sans Symbols" w:hint="default"/>
      </w:rPr>
    </w:lvl>
    <w:lvl w:ilvl="6">
      <w:start w:val="1"/>
      <w:numFmt w:val="bullet"/>
      <w:lvlText w:val="●"/>
      <w:lvlJc w:val="left"/>
      <w:pPr>
        <w:tabs>
          <w:tab w:val="num" w:pos="0"/>
        </w:tabs>
        <w:ind w:left="5760" w:hanging="360"/>
      </w:pPr>
      <w:rPr>
        <w:rFonts w:ascii="Noto Sans Symbols" w:hAnsi="Noto Sans Symbols" w:cs="Noto Sans Symbols"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Noto Sans Symbols" w:hAnsi="Noto Sans Symbols" w:cs="Noto Sans Symbols" w:hint="default"/>
      </w:rPr>
    </w:lvl>
  </w:abstractNum>
  <w:abstractNum w:abstractNumId="5" w15:restartNumberingAfterBreak="0">
    <w:nsid w:val="23617D1A"/>
    <w:multiLevelType w:val="multilevel"/>
    <w:tmpl w:val="37BA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6F3158"/>
    <w:multiLevelType w:val="multilevel"/>
    <w:tmpl w:val="8452B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AC1874"/>
    <w:multiLevelType w:val="multilevel"/>
    <w:tmpl w:val="B3DA4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D171F3"/>
    <w:multiLevelType w:val="multilevel"/>
    <w:tmpl w:val="87125D4C"/>
    <w:lvl w:ilvl="0">
      <w:start w:val="1"/>
      <w:numFmt w:val="bullet"/>
      <w:lvlText w:val="●"/>
      <w:lvlJc w:val="left"/>
      <w:pPr>
        <w:tabs>
          <w:tab w:val="num" w:pos="0"/>
        </w:tabs>
        <w:ind w:left="1440" w:hanging="360"/>
      </w:pPr>
      <w:rPr>
        <w:rFonts w:ascii="Noto Sans Symbols" w:hAnsi="Noto Sans Symbols" w:cs="Noto Sans Symbols"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Noto Sans Symbols" w:hAnsi="Noto Sans Symbols" w:cs="Noto Sans Symbols" w:hint="default"/>
      </w:rPr>
    </w:lvl>
    <w:lvl w:ilvl="3">
      <w:start w:val="1"/>
      <w:numFmt w:val="bullet"/>
      <w:lvlText w:val="●"/>
      <w:lvlJc w:val="left"/>
      <w:pPr>
        <w:tabs>
          <w:tab w:val="num" w:pos="0"/>
        </w:tabs>
        <w:ind w:left="3600" w:hanging="360"/>
      </w:pPr>
      <w:rPr>
        <w:rFonts w:ascii="Noto Sans Symbols" w:hAnsi="Noto Sans Symbols" w:cs="Noto Sans Symbols"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Noto Sans Symbols" w:hAnsi="Noto Sans Symbols" w:cs="Noto Sans Symbols" w:hint="default"/>
      </w:rPr>
    </w:lvl>
    <w:lvl w:ilvl="6">
      <w:start w:val="1"/>
      <w:numFmt w:val="bullet"/>
      <w:lvlText w:val="●"/>
      <w:lvlJc w:val="left"/>
      <w:pPr>
        <w:tabs>
          <w:tab w:val="num" w:pos="0"/>
        </w:tabs>
        <w:ind w:left="5760" w:hanging="360"/>
      </w:pPr>
      <w:rPr>
        <w:rFonts w:ascii="Noto Sans Symbols" w:hAnsi="Noto Sans Symbols" w:cs="Noto Sans Symbols"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Noto Sans Symbols" w:hAnsi="Noto Sans Symbols" w:cs="Noto Sans Symbols" w:hint="default"/>
      </w:rPr>
    </w:lvl>
  </w:abstractNum>
  <w:abstractNum w:abstractNumId="9" w15:restartNumberingAfterBreak="0">
    <w:nsid w:val="2B103B7A"/>
    <w:multiLevelType w:val="multilevel"/>
    <w:tmpl w:val="F126DB2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2E3C7B9C"/>
    <w:multiLevelType w:val="multilevel"/>
    <w:tmpl w:val="C71E7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493D59"/>
    <w:multiLevelType w:val="multilevel"/>
    <w:tmpl w:val="7132E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1D3AD8"/>
    <w:multiLevelType w:val="multilevel"/>
    <w:tmpl w:val="76A4E352"/>
    <w:lvl w:ilvl="0">
      <w:start w:val="1"/>
      <w:numFmt w:val="bullet"/>
      <w:lvlText w:val="●"/>
      <w:lvlJc w:val="left"/>
      <w:pPr>
        <w:tabs>
          <w:tab w:val="num" w:pos="0"/>
        </w:tabs>
        <w:ind w:left="1440" w:hanging="360"/>
      </w:pPr>
      <w:rPr>
        <w:rFonts w:ascii="Noto Sans Symbols" w:hAnsi="Noto Sans Symbols" w:cs="Noto Sans Symbols"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Noto Sans Symbols" w:hAnsi="Noto Sans Symbols" w:cs="Noto Sans Symbols" w:hint="default"/>
      </w:rPr>
    </w:lvl>
    <w:lvl w:ilvl="3">
      <w:start w:val="1"/>
      <w:numFmt w:val="bullet"/>
      <w:lvlText w:val="●"/>
      <w:lvlJc w:val="left"/>
      <w:pPr>
        <w:tabs>
          <w:tab w:val="num" w:pos="0"/>
        </w:tabs>
        <w:ind w:left="3600" w:hanging="360"/>
      </w:pPr>
      <w:rPr>
        <w:rFonts w:ascii="Noto Sans Symbols" w:hAnsi="Noto Sans Symbols" w:cs="Noto Sans Symbols"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Noto Sans Symbols" w:hAnsi="Noto Sans Symbols" w:cs="Noto Sans Symbols" w:hint="default"/>
      </w:rPr>
    </w:lvl>
    <w:lvl w:ilvl="6">
      <w:start w:val="1"/>
      <w:numFmt w:val="bullet"/>
      <w:lvlText w:val="●"/>
      <w:lvlJc w:val="left"/>
      <w:pPr>
        <w:tabs>
          <w:tab w:val="num" w:pos="0"/>
        </w:tabs>
        <w:ind w:left="5760" w:hanging="360"/>
      </w:pPr>
      <w:rPr>
        <w:rFonts w:ascii="Noto Sans Symbols" w:hAnsi="Noto Sans Symbols" w:cs="Noto Sans Symbols"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Noto Sans Symbols" w:hAnsi="Noto Sans Symbols" w:cs="Noto Sans Symbols" w:hint="default"/>
      </w:rPr>
    </w:lvl>
  </w:abstractNum>
  <w:abstractNum w:abstractNumId="13" w15:restartNumberingAfterBreak="0">
    <w:nsid w:val="52AC5A68"/>
    <w:multiLevelType w:val="multilevel"/>
    <w:tmpl w:val="1A64D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D77360"/>
    <w:multiLevelType w:val="multilevel"/>
    <w:tmpl w:val="04FC9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6D0F8A"/>
    <w:multiLevelType w:val="multilevel"/>
    <w:tmpl w:val="A574E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1139B9"/>
    <w:multiLevelType w:val="multilevel"/>
    <w:tmpl w:val="491E8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205874"/>
    <w:multiLevelType w:val="multilevel"/>
    <w:tmpl w:val="47225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DD7356"/>
    <w:multiLevelType w:val="multilevel"/>
    <w:tmpl w:val="D9180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6030991">
    <w:abstractNumId w:val="3"/>
  </w:num>
  <w:num w:numId="2" w16cid:durableId="370688668">
    <w:abstractNumId w:val="2"/>
  </w:num>
  <w:num w:numId="3" w16cid:durableId="904298437">
    <w:abstractNumId w:val="4"/>
  </w:num>
  <w:num w:numId="4" w16cid:durableId="1053163832">
    <w:abstractNumId w:val="12"/>
  </w:num>
  <w:num w:numId="5" w16cid:durableId="1976567402">
    <w:abstractNumId w:val="0"/>
  </w:num>
  <w:num w:numId="6" w16cid:durableId="1046948058">
    <w:abstractNumId w:val="8"/>
  </w:num>
  <w:num w:numId="7" w16cid:durableId="1436099961">
    <w:abstractNumId w:val="9"/>
  </w:num>
  <w:num w:numId="8" w16cid:durableId="1426996730">
    <w:abstractNumId w:val="14"/>
  </w:num>
  <w:num w:numId="9" w16cid:durableId="985280671">
    <w:abstractNumId w:val="18"/>
  </w:num>
  <w:num w:numId="10" w16cid:durableId="1902325835">
    <w:abstractNumId w:val="13"/>
  </w:num>
  <w:num w:numId="11" w16cid:durableId="386228569">
    <w:abstractNumId w:val="6"/>
  </w:num>
  <w:num w:numId="12" w16cid:durableId="393506288">
    <w:abstractNumId w:val="15"/>
  </w:num>
  <w:num w:numId="13" w16cid:durableId="693307684">
    <w:abstractNumId w:val="7"/>
  </w:num>
  <w:num w:numId="14" w16cid:durableId="114905121">
    <w:abstractNumId w:val="11"/>
  </w:num>
  <w:num w:numId="15" w16cid:durableId="574171771">
    <w:abstractNumId w:val="17"/>
  </w:num>
  <w:num w:numId="16" w16cid:durableId="1702196098">
    <w:abstractNumId w:val="16"/>
  </w:num>
  <w:num w:numId="17" w16cid:durableId="338000916">
    <w:abstractNumId w:val="5"/>
  </w:num>
  <w:num w:numId="18" w16cid:durableId="101732102">
    <w:abstractNumId w:val="10"/>
  </w:num>
  <w:num w:numId="19" w16cid:durableId="1021475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oNotDisplayPageBoundaries/>
  <w:embedTrueTypeFonts/>
  <w:proofState w:spelling="clean"/>
  <w:defaultTabStop w:val="720"/>
  <w:autoHyphenation/>
  <w:characterSpacingControl w:val="doNotCompress"/>
  <w:savePreviewPicture/>
  <w:footnotePr>
    <w:footnote w:id="-1"/>
    <w:footnote w:id="0"/>
  </w:footnotePr>
  <w:endnotePr>
    <w:numFmt w:val="decimal"/>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16FF"/>
    <w:rsid w:val="0001086C"/>
    <w:rsid w:val="00011F07"/>
    <w:rsid w:val="00013899"/>
    <w:rsid w:val="00017F47"/>
    <w:rsid w:val="0003041B"/>
    <w:rsid w:val="00031264"/>
    <w:rsid w:val="00032D88"/>
    <w:rsid w:val="00033EF9"/>
    <w:rsid w:val="00056C0B"/>
    <w:rsid w:val="00057524"/>
    <w:rsid w:val="00060857"/>
    <w:rsid w:val="00060FF2"/>
    <w:rsid w:val="000634F6"/>
    <w:rsid w:val="00063644"/>
    <w:rsid w:val="00085B91"/>
    <w:rsid w:val="00086E1E"/>
    <w:rsid w:val="00091713"/>
    <w:rsid w:val="00094D76"/>
    <w:rsid w:val="0009620B"/>
    <w:rsid w:val="000A0B03"/>
    <w:rsid w:val="000A6067"/>
    <w:rsid w:val="000B4714"/>
    <w:rsid w:val="000C4000"/>
    <w:rsid w:val="000C4E2E"/>
    <w:rsid w:val="000D0B7B"/>
    <w:rsid w:val="000E184F"/>
    <w:rsid w:val="000E6204"/>
    <w:rsid w:val="000F050D"/>
    <w:rsid w:val="000F0DED"/>
    <w:rsid w:val="00120369"/>
    <w:rsid w:val="00120C40"/>
    <w:rsid w:val="00124127"/>
    <w:rsid w:val="00131001"/>
    <w:rsid w:val="001322C4"/>
    <w:rsid w:val="001374FF"/>
    <w:rsid w:val="0015326C"/>
    <w:rsid w:val="00155DF1"/>
    <w:rsid w:val="0016097A"/>
    <w:rsid w:val="0016363C"/>
    <w:rsid w:val="001667DD"/>
    <w:rsid w:val="00171464"/>
    <w:rsid w:val="001768FE"/>
    <w:rsid w:val="00193F11"/>
    <w:rsid w:val="00193F3F"/>
    <w:rsid w:val="001A21FB"/>
    <w:rsid w:val="001A5E1F"/>
    <w:rsid w:val="001A6028"/>
    <w:rsid w:val="001B2A19"/>
    <w:rsid w:val="001B5D04"/>
    <w:rsid w:val="001B6FB1"/>
    <w:rsid w:val="001C5CDD"/>
    <w:rsid w:val="001E5E2B"/>
    <w:rsid w:val="001F0906"/>
    <w:rsid w:val="001F3FED"/>
    <w:rsid w:val="001F403F"/>
    <w:rsid w:val="002127EB"/>
    <w:rsid w:val="00237443"/>
    <w:rsid w:val="002478B8"/>
    <w:rsid w:val="00254176"/>
    <w:rsid w:val="0026588A"/>
    <w:rsid w:val="00270E11"/>
    <w:rsid w:val="0027248F"/>
    <w:rsid w:val="00273A48"/>
    <w:rsid w:val="00274D70"/>
    <w:rsid w:val="002755FF"/>
    <w:rsid w:val="00276985"/>
    <w:rsid w:val="002948B6"/>
    <w:rsid w:val="002A0DA2"/>
    <w:rsid w:val="002A3741"/>
    <w:rsid w:val="002B2566"/>
    <w:rsid w:val="002B45A4"/>
    <w:rsid w:val="002C3DF3"/>
    <w:rsid w:val="002D4939"/>
    <w:rsid w:val="002E021E"/>
    <w:rsid w:val="002E45E0"/>
    <w:rsid w:val="002F6CF3"/>
    <w:rsid w:val="003029ED"/>
    <w:rsid w:val="003107FE"/>
    <w:rsid w:val="003218C7"/>
    <w:rsid w:val="0032588F"/>
    <w:rsid w:val="003309F5"/>
    <w:rsid w:val="00331285"/>
    <w:rsid w:val="003355AB"/>
    <w:rsid w:val="00347405"/>
    <w:rsid w:val="00350950"/>
    <w:rsid w:val="00361266"/>
    <w:rsid w:val="003622A9"/>
    <w:rsid w:val="00363427"/>
    <w:rsid w:val="003768BB"/>
    <w:rsid w:val="00377D25"/>
    <w:rsid w:val="00381962"/>
    <w:rsid w:val="00382AF2"/>
    <w:rsid w:val="00384400"/>
    <w:rsid w:val="00392C14"/>
    <w:rsid w:val="003955DD"/>
    <w:rsid w:val="00396D1E"/>
    <w:rsid w:val="00397877"/>
    <w:rsid w:val="003A0CEA"/>
    <w:rsid w:val="003A6424"/>
    <w:rsid w:val="003B3C46"/>
    <w:rsid w:val="003C08BA"/>
    <w:rsid w:val="003C277F"/>
    <w:rsid w:val="003C2DC4"/>
    <w:rsid w:val="003C44E8"/>
    <w:rsid w:val="003D0499"/>
    <w:rsid w:val="003D1DEA"/>
    <w:rsid w:val="003D20C6"/>
    <w:rsid w:val="003D3E5F"/>
    <w:rsid w:val="003E0F78"/>
    <w:rsid w:val="003E58F9"/>
    <w:rsid w:val="003F554C"/>
    <w:rsid w:val="003F763B"/>
    <w:rsid w:val="00406BF9"/>
    <w:rsid w:val="00415A80"/>
    <w:rsid w:val="004164B2"/>
    <w:rsid w:val="00422E8C"/>
    <w:rsid w:val="00424BB7"/>
    <w:rsid w:val="00425CAB"/>
    <w:rsid w:val="0042751F"/>
    <w:rsid w:val="00430170"/>
    <w:rsid w:val="00431DDF"/>
    <w:rsid w:val="00436FD2"/>
    <w:rsid w:val="00445D68"/>
    <w:rsid w:val="0045174F"/>
    <w:rsid w:val="00455282"/>
    <w:rsid w:val="00456DDA"/>
    <w:rsid w:val="00457421"/>
    <w:rsid w:val="00457C0B"/>
    <w:rsid w:val="00463E2E"/>
    <w:rsid w:val="00471758"/>
    <w:rsid w:val="004808A0"/>
    <w:rsid w:val="00487680"/>
    <w:rsid w:val="00487E95"/>
    <w:rsid w:val="004910B8"/>
    <w:rsid w:val="004A1560"/>
    <w:rsid w:val="004A63E9"/>
    <w:rsid w:val="004A7168"/>
    <w:rsid w:val="004A7617"/>
    <w:rsid w:val="004B4795"/>
    <w:rsid w:val="004C45A5"/>
    <w:rsid w:val="004D0108"/>
    <w:rsid w:val="004D3FA1"/>
    <w:rsid w:val="004E18D8"/>
    <w:rsid w:val="004F4061"/>
    <w:rsid w:val="00511ACF"/>
    <w:rsid w:val="00516BE3"/>
    <w:rsid w:val="005239C5"/>
    <w:rsid w:val="00526B24"/>
    <w:rsid w:val="0053207D"/>
    <w:rsid w:val="00555A86"/>
    <w:rsid w:val="00561005"/>
    <w:rsid w:val="005615A6"/>
    <w:rsid w:val="00562C0C"/>
    <w:rsid w:val="005632B9"/>
    <w:rsid w:val="00567876"/>
    <w:rsid w:val="00575FAA"/>
    <w:rsid w:val="0057757A"/>
    <w:rsid w:val="005A0588"/>
    <w:rsid w:val="005A1526"/>
    <w:rsid w:val="005A241D"/>
    <w:rsid w:val="005A3D6B"/>
    <w:rsid w:val="005A5779"/>
    <w:rsid w:val="005A7DAC"/>
    <w:rsid w:val="005B2C5C"/>
    <w:rsid w:val="005B680B"/>
    <w:rsid w:val="005B72A0"/>
    <w:rsid w:val="005C51FB"/>
    <w:rsid w:val="005D0E00"/>
    <w:rsid w:val="005D37D2"/>
    <w:rsid w:val="005E4766"/>
    <w:rsid w:val="005E5D03"/>
    <w:rsid w:val="005F272A"/>
    <w:rsid w:val="005F558A"/>
    <w:rsid w:val="005F572F"/>
    <w:rsid w:val="006039AF"/>
    <w:rsid w:val="00606586"/>
    <w:rsid w:val="006106AB"/>
    <w:rsid w:val="00615D41"/>
    <w:rsid w:val="00622B21"/>
    <w:rsid w:val="00627D21"/>
    <w:rsid w:val="006303C9"/>
    <w:rsid w:val="00637543"/>
    <w:rsid w:val="006673B8"/>
    <w:rsid w:val="00667F9D"/>
    <w:rsid w:val="00673D13"/>
    <w:rsid w:val="00677CD6"/>
    <w:rsid w:val="006848C1"/>
    <w:rsid w:val="00684A4A"/>
    <w:rsid w:val="00686D9E"/>
    <w:rsid w:val="00695312"/>
    <w:rsid w:val="00696BE3"/>
    <w:rsid w:val="006A0FFF"/>
    <w:rsid w:val="006A3FC0"/>
    <w:rsid w:val="006A4660"/>
    <w:rsid w:val="006A73BC"/>
    <w:rsid w:val="006B4463"/>
    <w:rsid w:val="006B4E77"/>
    <w:rsid w:val="006B5179"/>
    <w:rsid w:val="006D6F8E"/>
    <w:rsid w:val="006D7AF8"/>
    <w:rsid w:val="006E4B99"/>
    <w:rsid w:val="006E4FD7"/>
    <w:rsid w:val="006F2E3C"/>
    <w:rsid w:val="006F320B"/>
    <w:rsid w:val="00700262"/>
    <w:rsid w:val="0070190B"/>
    <w:rsid w:val="007029B6"/>
    <w:rsid w:val="0070646C"/>
    <w:rsid w:val="00720651"/>
    <w:rsid w:val="00721C05"/>
    <w:rsid w:val="00721E15"/>
    <w:rsid w:val="0072253B"/>
    <w:rsid w:val="00740E49"/>
    <w:rsid w:val="0074462C"/>
    <w:rsid w:val="007447D3"/>
    <w:rsid w:val="00744F33"/>
    <w:rsid w:val="007460A9"/>
    <w:rsid w:val="007478E2"/>
    <w:rsid w:val="00755582"/>
    <w:rsid w:val="00755DF8"/>
    <w:rsid w:val="007606DF"/>
    <w:rsid w:val="00767630"/>
    <w:rsid w:val="00772155"/>
    <w:rsid w:val="0078303A"/>
    <w:rsid w:val="0079639F"/>
    <w:rsid w:val="007A2187"/>
    <w:rsid w:val="007A2FB6"/>
    <w:rsid w:val="007A58A4"/>
    <w:rsid w:val="007A5A71"/>
    <w:rsid w:val="007A68E7"/>
    <w:rsid w:val="007B3B43"/>
    <w:rsid w:val="007C2527"/>
    <w:rsid w:val="007D23EA"/>
    <w:rsid w:val="007D2AE7"/>
    <w:rsid w:val="007D50E3"/>
    <w:rsid w:val="007E122E"/>
    <w:rsid w:val="007E16C9"/>
    <w:rsid w:val="007F36F5"/>
    <w:rsid w:val="007F5433"/>
    <w:rsid w:val="007F7A88"/>
    <w:rsid w:val="00811DDF"/>
    <w:rsid w:val="008169E3"/>
    <w:rsid w:val="008219B5"/>
    <w:rsid w:val="00821ACA"/>
    <w:rsid w:val="0083075B"/>
    <w:rsid w:val="00831C20"/>
    <w:rsid w:val="00831D9B"/>
    <w:rsid w:val="00832A8D"/>
    <w:rsid w:val="008337F3"/>
    <w:rsid w:val="00835713"/>
    <w:rsid w:val="00836442"/>
    <w:rsid w:val="00840BB0"/>
    <w:rsid w:val="00840CA0"/>
    <w:rsid w:val="0084228F"/>
    <w:rsid w:val="00853463"/>
    <w:rsid w:val="00855B6E"/>
    <w:rsid w:val="008679E6"/>
    <w:rsid w:val="008904E7"/>
    <w:rsid w:val="008A415B"/>
    <w:rsid w:val="008B42EB"/>
    <w:rsid w:val="008B5EDD"/>
    <w:rsid w:val="008C02DF"/>
    <w:rsid w:val="008C52D7"/>
    <w:rsid w:val="008C5AB4"/>
    <w:rsid w:val="008C660C"/>
    <w:rsid w:val="008D2611"/>
    <w:rsid w:val="008D526F"/>
    <w:rsid w:val="008D699F"/>
    <w:rsid w:val="008E161E"/>
    <w:rsid w:val="008E2FE9"/>
    <w:rsid w:val="008E4842"/>
    <w:rsid w:val="008F0050"/>
    <w:rsid w:val="008F0052"/>
    <w:rsid w:val="008F5567"/>
    <w:rsid w:val="008F6F04"/>
    <w:rsid w:val="00900172"/>
    <w:rsid w:val="0090650B"/>
    <w:rsid w:val="00914D5F"/>
    <w:rsid w:val="00915D5E"/>
    <w:rsid w:val="00930B5F"/>
    <w:rsid w:val="00932408"/>
    <w:rsid w:val="00934339"/>
    <w:rsid w:val="00944A25"/>
    <w:rsid w:val="00946D44"/>
    <w:rsid w:val="009473EA"/>
    <w:rsid w:val="00957304"/>
    <w:rsid w:val="009616FF"/>
    <w:rsid w:val="00961EEC"/>
    <w:rsid w:val="009648E7"/>
    <w:rsid w:val="00975969"/>
    <w:rsid w:val="00980C74"/>
    <w:rsid w:val="0098318B"/>
    <w:rsid w:val="00984A11"/>
    <w:rsid w:val="009857F3"/>
    <w:rsid w:val="00987062"/>
    <w:rsid w:val="009A528D"/>
    <w:rsid w:val="009A73C8"/>
    <w:rsid w:val="009C57B5"/>
    <w:rsid w:val="009D5E87"/>
    <w:rsid w:val="009D670D"/>
    <w:rsid w:val="009F4A78"/>
    <w:rsid w:val="009F4B40"/>
    <w:rsid w:val="00A0204D"/>
    <w:rsid w:val="00A050BB"/>
    <w:rsid w:val="00A14051"/>
    <w:rsid w:val="00A14689"/>
    <w:rsid w:val="00A16C1A"/>
    <w:rsid w:val="00A31EAD"/>
    <w:rsid w:val="00A37009"/>
    <w:rsid w:val="00A406A1"/>
    <w:rsid w:val="00A419F8"/>
    <w:rsid w:val="00A467C0"/>
    <w:rsid w:val="00A575DC"/>
    <w:rsid w:val="00A57DB5"/>
    <w:rsid w:val="00A7241C"/>
    <w:rsid w:val="00A767D4"/>
    <w:rsid w:val="00A83AB2"/>
    <w:rsid w:val="00A92EFB"/>
    <w:rsid w:val="00A975B0"/>
    <w:rsid w:val="00AA224C"/>
    <w:rsid w:val="00AA5178"/>
    <w:rsid w:val="00AA58EF"/>
    <w:rsid w:val="00AB0744"/>
    <w:rsid w:val="00AB0AD7"/>
    <w:rsid w:val="00AB0AE8"/>
    <w:rsid w:val="00AB3C02"/>
    <w:rsid w:val="00AB6E64"/>
    <w:rsid w:val="00AB77FF"/>
    <w:rsid w:val="00AC0F5C"/>
    <w:rsid w:val="00AC2B7F"/>
    <w:rsid w:val="00AD034A"/>
    <w:rsid w:val="00AD2D20"/>
    <w:rsid w:val="00AD47F9"/>
    <w:rsid w:val="00AD59E8"/>
    <w:rsid w:val="00AF21BD"/>
    <w:rsid w:val="00AF7421"/>
    <w:rsid w:val="00B003CD"/>
    <w:rsid w:val="00B03731"/>
    <w:rsid w:val="00B144B2"/>
    <w:rsid w:val="00B160EB"/>
    <w:rsid w:val="00B23E9A"/>
    <w:rsid w:val="00B34BCF"/>
    <w:rsid w:val="00B409F0"/>
    <w:rsid w:val="00B451F7"/>
    <w:rsid w:val="00B57B3B"/>
    <w:rsid w:val="00B62E05"/>
    <w:rsid w:val="00B738BA"/>
    <w:rsid w:val="00B758D1"/>
    <w:rsid w:val="00B842A5"/>
    <w:rsid w:val="00B849C5"/>
    <w:rsid w:val="00B918EC"/>
    <w:rsid w:val="00B93713"/>
    <w:rsid w:val="00BA435C"/>
    <w:rsid w:val="00BB2FCC"/>
    <w:rsid w:val="00BC396D"/>
    <w:rsid w:val="00BC515A"/>
    <w:rsid w:val="00BC6347"/>
    <w:rsid w:val="00BD1525"/>
    <w:rsid w:val="00BD547F"/>
    <w:rsid w:val="00BF1A52"/>
    <w:rsid w:val="00C003FF"/>
    <w:rsid w:val="00C04EB4"/>
    <w:rsid w:val="00C060CB"/>
    <w:rsid w:val="00C161D5"/>
    <w:rsid w:val="00C2219B"/>
    <w:rsid w:val="00C229E9"/>
    <w:rsid w:val="00C23BC0"/>
    <w:rsid w:val="00C30F5F"/>
    <w:rsid w:val="00C32BE3"/>
    <w:rsid w:val="00C363EF"/>
    <w:rsid w:val="00C41DCB"/>
    <w:rsid w:val="00C5316F"/>
    <w:rsid w:val="00C61575"/>
    <w:rsid w:val="00C624D9"/>
    <w:rsid w:val="00C73C58"/>
    <w:rsid w:val="00C76952"/>
    <w:rsid w:val="00C84E7C"/>
    <w:rsid w:val="00C90A0C"/>
    <w:rsid w:val="00C91DEF"/>
    <w:rsid w:val="00CA1A7B"/>
    <w:rsid w:val="00CA5B88"/>
    <w:rsid w:val="00CA5EF2"/>
    <w:rsid w:val="00CA696A"/>
    <w:rsid w:val="00CB3BE7"/>
    <w:rsid w:val="00CB5481"/>
    <w:rsid w:val="00CC0375"/>
    <w:rsid w:val="00CC0404"/>
    <w:rsid w:val="00CD0ECE"/>
    <w:rsid w:val="00CD7305"/>
    <w:rsid w:val="00CF020B"/>
    <w:rsid w:val="00CF1742"/>
    <w:rsid w:val="00CF3545"/>
    <w:rsid w:val="00CF463D"/>
    <w:rsid w:val="00D11092"/>
    <w:rsid w:val="00D11C9A"/>
    <w:rsid w:val="00D208A2"/>
    <w:rsid w:val="00D22427"/>
    <w:rsid w:val="00D30CF7"/>
    <w:rsid w:val="00D3322E"/>
    <w:rsid w:val="00D33BD1"/>
    <w:rsid w:val="00D3412E"/>
    <w:rsid w:val="00D4320E"/>
    <w:rsid w:val="00D45D18"/>
    <w:rsid w:val="00D4615F"/>
    <w:rsid w:val="00D54C3D"/>
    <w:rsid w:val="00D55BE5"/>
    <w:rsid w:val="00D66A81"/>
    <w:rsid w:val="00D73603"/>
    <w:rsid w:val="00D77242"/>
    <w:rsid w:val="00D8104D"/>
    <w:rsid w:val="00D878CC"/>
    <w:rsid w:val="00D91BC8"/>
    <w:rsid w:val="00D922B6"/>
    <w:rsid w:val="00DA359C"/>
    <w:rsid w:val="00DA71DF"/>
    <w:rsid w:val="00DB0413"/>
    <w:rsid w:val="00DB50FA"/>
    <w:rsid w:val="00DD5331"/>
    <w:rsid w:val="00DD5E59"/>
    <w:rsid w:val="00DF0161"/>
    <w:rsid w:val="00DF0735"/>
    <w:rsid w:val="00E04A4E"/>
    <w:rsid w:val="00E11F70"/>
    <w:rsid w:val="00E16391"/>
    <w:rsid w:val="00E22180"/>
    <w:rsid w:val="00E2386B"/>
    <w:rsid w:val="00E25CED"/>
    <w:rsid w:val="00E26129"/>
    <w:rsid w:val="00E30D42"/>
    <w:rsid w:val="00E32CE1"/>
    <w:rsid w:val="00E415EC"/>
    <w:rsid w:val="00E42F6F"/>
    <w:rsid w:val="00E472B0"/>
    <w:rsid w:val="00E62049"/>
    <w:rsid w:val="00E70FB3"/>
    <w:rsid w:val="00E7798F"/>
    <w:rsid w:val="00E8176A"/>
    <w:rsid w:val="00E8240A"/>
    <w:rsid w:val="00E84637"/>
    <w:rsid w:val="00EA0C61"/>
    <w:rsid w:val="00EA795D"/>
    <w:rsid w:val="00EE6A2D"/>
    <w:rsid w:val="00EF4B36"/>
    <w:rsid w:val="00EF6868"/>
    <w:rsid w:val="00F014F3"/>
    <w:rsid w:val="00F0435B"/>
    <w:rsid w:val="00F10029"/>
    <w:rsid w:val="00F11B46"/>
    <w:rsid w:val="00F12340"/>
    <w:rsid w:val="00F13C26"/>
    <w:rsid w:val="00F16980"/>
    <w:rsid w:val="00F218EC"/>
    <w:rsid w:val="00F2294F"/>
    <w:rsid w:val="00F256A1"/>
    <w:rsid w:val="00F356E1"/>
    <w:rsid w:val="00F44690"/>
    <w:rsid w:val="00F506E0"/>
    <w:rsid w:val="00F55D77"/>
    <w:rsid w:val="00F638A1"/>
    <w:rsid w:val="00F63A9C"/>
    <w:rsid w:val="00F64B73"/>
    <w:rsid w:val="00F74A86"/>
    <w:rsid w:val="00F81DA6"/>
    <w:rsid w:val="00F82031"/>
    <w:rsid w:val="00F83536"/>
    <w:rsid w:val="00F84219"/>
    <w:rsid w:val="00F87934"/>
    <w:rsid w:val="00F879B2"/>
    <w:rsid w:val="00F903B1"/>
    <w:rsid w:val="00F90847"/>
    <w:rsid w:val="00F93909"/>
    <w:rsid w:val="00F95389"/>
    <w:rsid w:val="00FA79F3"/>
    <w:rsid w:val="00FB0B35"/>
    <w:rsid w:val="00FE0C9D"/>
    <w:rsid w:val="00FE4765"/>
    <w:rsid w:val="00FF32C8"/>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74039"/>
  <w15:docId w15:val="{FB661179-0993-47DE-B5F1-43BD8B782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w:sz w:val="24"/>
        <w:szCs w:val="24"/>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ind w:firstLine="720"/>
    </w:pPr>
  </w:style>
  <w:style w:type="paragraph" w:styleId="Heading1">
    <w:name w:val="heading 1"/>
    <w:basedOn w:val="Normal"/>
    <w:next w:val="Normal"/>
    <w:link w:val="Heading1Char"/>
    <w:uiPriority w:val="9"/>
    <w:qFormat/>
    <w:pPr>
      <w:ind w:firstLine="0"/>
      <w:jc w:val="center"/>
      <w:outlineLvl w:val="0"/>
    </w:pPr>
    <w:rPr>
      <w:b/>
      <w:bCs/>
    </w:rPr>
  </w:style>
  <w:style w:type="paragraph" w:styleId="Heading2">
    <w:name w:val="heading 2"/>
    <w:basedOn w:val="Normal"/>
    <w:next w:val="Normal"/>
    <w:link w:val="Heading2Char"/>
    <w:autoRedefine/>
    <w:uiPriority w:val="9"/>
    <w:unhideWhenUsed/>
    <w:qFormat/>
    <w:rsid w:val="005B2C5C"/>
    <w:pPr>
      <w:keepNext/>
      <w:ind w:firstLine="0"/>
      <w:jc w:val="center"/>
      <w:outlineLvl w:val="1"/>
    </w:pPr>
    <w:rPr>
      <w:rFonts w:ascii="Times New Roman" w:eastAsia="Times New Roman" w:hAnsi="Times New Roman" w:cs="Times New Roman"/>
      <w:b/>
      <w:bCs/>
    </w:rPr>
  </w:style>
  <w:style w:type="paragraph" w:styleId="Heading3">
    <w:name w:val="heading 3"/>
    <w:basedOn w:val="Normal"/>
    <w:next w:val="Normal"/>
    <w:link w:val="Heading3Char"/>
    <w:uiPriority w:val="9"/>
    <w:unhideWhenUsed/>
    <w:qFormat/>
    <w:pPr>
      <w:keepNext/>
      <w:widowControl w:val="0"/>
      <w:ind w:firstLine="0"/>
      <w:jc w:val="center"/>
      <w:outlineLvl w:val="2"/>
    </w:pPr>
    <w:rPr>
      <w:i/>
      <w:iCs/>
    </w:rPr>
  </w:style>
  <w:style w:type="paragraph" w:styleId="Heading4">
    <w:name w:val="heading 4"/>
    <w:basedOn w:val="Normal"/>
    <w:next w:val="Normal"/>
    <w:link w:val="Heading4Char"/>
    <w:uiPriority w:val="9"/>
    <w:unhideWhenUsed/>
    <w:qFormat/>
    <w:pPr>
      <w:keepNext/>
      <w:ind w:firstLine="0"/>
      <w:outlineLvl w:val="3"/>
    </w:pPr>
    <w:rPr>
      <w:i/>
      <w:iCs/>
    </w:rPr>
  </w:style>
  <w:style w:type="paragraph" w:styleId="Heading5">
    <w:name w:val="heading 5"/>
    <w:basedOn w:val="Normal"/>
    <w:next w:val="Normal"/>
    <w:link w:val="Heading5Char"/>
    <w:uiPriority w:val="9"/>
    <w:semiHidden/>
    <w:unhideWhenUsed/>
    <w:qFormat/>
    <w:pPr>
      <w:keepNext/>
      <w:ind w:firstLine="0"/>
      <w:outlineLvl w:val="4"/>
    </w:pPr>
    <w:rPr>
      <w:u w:val="single"/>
    </w:rPr>
  </w:style>
  <w:style w:type="paragraph" w:styleId="Heading6">
    <w:name w:val="heading 6"/>
    <w:basedOn w:val="Normal"/>
    <w:next w:val="Normal"/>
    <w:link w:val="Heading6Char"/>
    <w:uiPriority w:val="9"/>
    <w:semiHidden/>
    <w:unhideWhenUsed/>
    <w:qFormat/>
    <w:pPr>
      <w:keepNext/>
      <w:keepLines/>
      <w:spacing w:before="40"/>
      <w:outlineLvl w:val="5"/>
    </w:pPr>
    <w:rPr>
      <w:rFonts w:ascii="Aptos" w:eastAsia="Aptos" w:hAnsi="Aptos" w:cs="Aptos"/>
      <w:i/>
      <w:iCs/>
      <w:color w:val="595959"/>
    </w:rPr>
  </w:style>
  <w:style w:type="paragraph" w:styleId="Heading7">
    <w:name w:val="heading 7"/>
    <w:basedOn w:val="Normal"/>
    <w:next w:val="Normal"/>
    <w:link w:val="Heading7Char"/>
    <w:uiPriority w:val="9"/>
    <w:semiHidden/>
    <w:unhideWhenUsed/>
    <w:qFormat/>
    <w:rsid w:val="006F262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F262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F262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4C46E4"/>
    <w:rPr>
      <w:rFonts w:ascii="Times New Roman" w:eastAsia="Arial" w:hAnsi="Times New Roman" w:cs="Arial"/>
      <w:b/>
      <w:bCs/>
      <w:kern w:val="0"/>
      <w:sz w:val="24"/>
      <w:szCs w:val="48"/>
    </w:rPr>
  </w:style>
  <w:style w:type="character" w:customStyle="1" w:styleId="Heading2Char">
    <w:name w:val="Heading 2 Char"/>
    <w:basedOn w:val="DefaultParagraphFont"/>
    <w:link w:val="Heading2"/>
    <w:uiPriority w:val="9"/>
    <w:qFormat/>
    <w:rsid w:val="005B2C5C"/>
    <w:rPr>
      <w:rFonts w:ascii="Times New Roman" w:eastAsia="Times New Roman" w:hAnsi="Times New Roman" w:cs="Times New Roman"/>
      <w:b/>
      <w:bCs/>
    </w:rPr>
  </w:style>
  <w:style w:type="character" w:customStyle="1" w:styleId="ActBreaksChar">
    <w:name w:val="Act Breaks Char"/>
    <w:basedOn w:val="DefaultParagraphFont"/>
    <w:link w:val="ActBreaks"/>
    <w:qFormat/>
    <w:rsid w:val="00314989"/>
    <w:rPr>
      <w:rFonts w:ascii="Times New Roman" w:hAnsi="Times New Roman" w:cs="Times New Roman"/>
      <w:b/>
      <w:color w:val="C00000"/>
      <w:sz w:val="24"/>
      <w:szCs w:val="24"/>
    </w:rPr>
  </w:style>
  <w:style w:type="character" w:customStyle="1" w:styleId="EndnotesChar">
    <w:name w:val="Endnotes Char"/>
    <w:basedOn w:val="EndnoteTextChar"/>
    <w:link w:val="Endnotes"/>
    <w:qFormat/>
    <w:rsid w:val="00011F07"/>
    <w:rPr>
      <w:rFonts w:ascii="Times" w:hAnsi="Times" w:cs="Times"/>
      <w:kern w:val="0"/>
      <w:sz w:val="20"/>
      <w:szCs w:val="20"/>
    </w:rPr>
  </w:style>
  <w:style w:type="character" w:customStyle="1" w:styleId="EndnoteTextChar">
    <w:name w:val="Endnote Text Char"/>
    <w:basedOn w:val="DefaultParagraphFont"/>
    <w:link w:val="EndnoteText"/>
    <w:uiPriority w:val="99"/>
    <w:semiHidden/>
    <w:qFormat/>
    <w:rsid w:val="00FE3976"/>
    <w:rPr>
      <w:rFonts w:ascii="Times" w:hAnsi="Times" w:cs="Times"/>
      <w:kern w:val="0"/>
      <w:sz w:val="20"/>
      <w:szCs w:val="20"/>
    </w:rPr>
  </w:style>
  <w:style w:type="character" w:customStyle="1" w:styleId="BodyChar">
    <w:name w:val="Body Char"/>
    <w:basedOn w:val="DefaultParagraphFont"/>
    <w:link w:val="Body"/>
    <w:qFormat/>
    <w:rsid w:val="004A206B"/>
    <w:rPr>
      <w:rFonts w:ascii="Times New Roman" w:hAnsi="Times New Roman"/>
      <w:sz w:val="24"/>
    </w:rPr>
  </w:style>
  <w:style w:type="character" w:customStyle="1" w:styleId="Heading3Char">
    <w:name w:val="Heading 3 Char"/>
    <w:basedOn w:val="DefaultParagraphFont"/>
    <w:link w:val="Heading3"/>
    <w:uiPriority w:val="9"/>
    <w:qFormat/>
    <w:rsid w:val="009C14E7"/>
    <w:rPr>
      <w:rFonts w:ascii="Times" w:eastAsia="Arial" w:hAnsi="Times" w:cs="Arial"/>
      <w:i/>
      <w:sz w:val="24"/>
      <w:szCs w:val="28"/>
    </w:rPr>
  </w:style>
  <w:style w:type="character" w:customStyle="1" w:styleId="NumberedChaptersChar">
    <w:name w:val="Numbered Chapters Char"/>
    <w:basedOn w:val="Heading2Char"/>
    <w:link w:val="NumberedChapters"/>
    <w:qFormat/>
    <w:rsid w:val="00815D0D"/>
    <w:rPr>
      <w:rFonts w:ascii="Times" w:eastAsiaTheme="majorEastAsia" w:hAnsi="Times" w:cstheme="majorBidi"/>
      <w:b/>
      <w:bCs/>
      <w:i w:val="0"/>
      <w:kern w:val="0"/>
      <w:sz w:val="24"/>
      <w:szCs w:val="28"/>
    </w:rPr>
  </w:style>
  <w:style w:type="character" w:customStyle="1" w:styleId="NumberedChTitleChar">
    <w:name w:val="Numbered Ch Title Char"/>
    <w:basedOn w:val="DefaultParagraphFont"/>
    <w:link w:val="NumberedChTitle"/>
    <w:qFormat/>
    <w:rsid w:val="00815D0D"/>
    <w:rPr>
      <w:rFonts w:ascii="Times" w:eastAsiaTheme="minorHAnsi" w:hAnsi="Times"/>
      <w:kern w:val="0"/>
      <w:sz w:val="24"/>
      <w:szCs w:val="24"/>
    </w:rPr>
  </w:style>
  <w:style w:type="character" w:customStyle="1" w:styleId="BodyTextChar">
    <w:name w:val="Body Text Char"/>
    <w:basedOn w:val="DefaultParagraphFont"/>
    <w:link w:val="BodyText"/>
    <w:qFormat/>
    <w:rsid w:val="00815D0D"/>
    <w:rPr>
      <w:rFonts w:ascii="Times" w:eastAsiaTheme="minorHAnsi" w:hAnsi="Times"/>
      <w:kern w:val="0"/>
      <w:sz w:val="24"/>
      <w:szCs w:val="24"/>
    </w:rPr>
  </w:style>
  <w:style w:type="character" w:customStyle="1" w:styleId="TitleChar">
    <w:name w:val="Title Char"/>
    <w:basedOn w:val="DefaultParagraphFont"/>
    <w:link w:val="Title"/>
    <w:uiPriority w:val="10"/>
    <w:qFormat/>
    <w:rsid w:val="009773F8"/>
    <w:rPr>
      <w:rFonts w:ascii="Times New Roman" w:eastAsiaTheme="majorEastAsia" w:hAnsi="Times New Roman" w:cstheme="majorBidi"/>
      <w:spacing w:val="-10"/>
      <w:kern w:val="2"/>
      <w:sz w:val="24"/>
      <w:szCs w:val="56"/>
    </w:rPr>
  </w:style>
  <w:style w:type="character" w:customStyle="1" w:styleId="SubtitleChar">
    <w:name w:val="Subtitle Char"/>
    <w:basedOn w:val="DefaultParagraphFont"/>
    <w:link w:val="Subtitle"/>
    <w:uiPriority w:val="11"/>
    <w:qFormat/>
    <w:rsid w:val="009773F8"/>
    <w:rPr>
      <w:rFonts w:ascii="Times New Roman" w:eastAsiaTheme="majorEastAsia" w:hAnsi="Times New Roman" w:cstheme="majorBidi"/>
      <w:kern w:val="0"/>
      <w:sz w:val="24"/>
      <w:szCs w:val="28"/>
    </w:rPr>
  </w:style>
  <w:style w:type="character" w:customStyle="1" w:styleId="Heading4Char">
    <w:name w:val="Heading 4 Char"/>
    <w:basedOn w:val="DefaultParagraphFont"/>
    <w:link w:val="Heading4"/>
    <w:uiPriority w:val="9"/>
    <w:qFormat/>
    <w:rsid w:val="00D767FC"/>
    <w:rPr>
      <w:rFonts w:ascii="Times" w:eastAsiaTheme="majorEastAsia" w:hAnsi="Times" w:cstheme="majorBidi"/>
      <w:i/>
      <w:iCs/>
      <w:kern w:val="0"/>
      <w:sz w:val="24"/>
    </w:rPr>
  </w:style>
  <w:style w:type="character" w:customStyle="1" w:styleId="Heading5Char">
    <w:name w:val="Heading 5 Char"/>
    <w:basedOn w:val="DefaultParagraphFont"/>
    <w:link w:val="Heading5"/>
    <w:uiPriority w:val="9"/>
    <w:qFormat/>
    <w:rsid w:val="00D767FC"/>
    <w:rPr>
      <w:rFonts w:ascii="Times" w:eastAsiaTheme="majorEastAsia" w:hAnsi="Times" w:cstheme="majorBidi"/>
      <w:kern w:val="0"/>
      <w:sz w:val="24"/>
      <w:u w:val="single"/>
    </w:rPr>
  </w:style>
  <w:style w:type="character" w:customStyle="1" w:styleId="Heading6Char">
    <w:name w:val="Heading 6 Char"/>
    <w:basedOn w:val="DefaultParagraphFont"/>
    <w:link w:val="Heading6"/>
    <w:uiPriority w:val="9"/>
    <w:semiHidden/>
    <w:qFormat/>
    <w:rsid w:val="006F262D"/>
    <w:rPr>
      <w:rFonts w:eastAsiaTheme="majorEastAsia" w:cstheme="majorBidi"/>
      <w:i/>
      <w:iCs/>
      <w:color w:val="595959" w:themeColor="text1" w:themeTint="A6"/>
      <w:kern w:val="0"/>
      <w:sz w:val="24"/>
    </w:rPr>
  </w:style>
  <w:style w:type="character" w:customStyle="1" w:styleId="Heading7Char">
    <w:name w:val="Heading 7 Char"/>
    <w:basedOn w:val="DefaultParagraphFont"/>
    <w:link w:val="Heading7"/>
    <w:uiPriority w:val="9"/>
    <w:semiHidden/>
    <w:qFormat/>
    <w:rsid w:val="006F262D"/>
    <w:rPr>
      <w:rFonts w:eastAsiaTheme="majorEastAsia" w:cstheme="majorBidi"/>
      <w:color w:val="595959" w:themeColor="text1" w:themeTint="A6"/>
      <w:kern w:val="0"/>
      <w:sz w:val="24"/>
    </w:rPr>
  </w:style>
  <w:style w:type="character" w:customStyle="1" w:styleId="Heading8Char">
    <w:name w:val="Heading 8 Char"/>
    <w:basedOn w:val="DefaultParagraphFont"/>
    <w:link w:val="Heading8"/>
    <w:uiPriority w:val="9"/>
    <w:semiHidden/>
    <w:qFormat/>
    <w:rsid w:val="006F262D"/>
    <w:rPr>
      <w:rFonts w:eastAsiaTheme="majorEastAsia" w:cstheme="majorBidi"/>
      <w:i/>
      <w:iCs/>
      <w:color w:val="272727" w:themeColor="text1" w:themeTint="D8"/>
      <w:kern w:val="0"/>
      <w:sz w:val="24"/>
    </w:rPr>
  </w:style>
  <w:style w:type="character" w:customStyle="1" w:styleId="Heading9Char">
    <w:name w:val="Heading 9 Char"/>
    <w:basedOn w:val="DefaultParagraphFont"/>
    <w:link w:val="Heading9"/>
    <w:uiPriority w:val="9"/>
    <w:semiHidden/>
    <w:qFormat/>
    <w:rsid w:val="006F262D"/>
    <w:rPr>
      <w:rFonts w:eastAsiaTheme="majorEastAsia" w:cstheme="majorBidi"/>
      <w:color w:val="272727" w:themeColor="text1" w:themeTint="D8"/>
      <w:kern w:val="0"/>
      <w:sz w:val="24"/>
    </w:rPr>
  </w:style>
  <w:style w:type="character" w:customStyle="1" w:styleId="QuoteChar">
    <w:name w:val="Quote Char"/>
    <w:basedOn w:val="DefaultParagraphFont"/>
    <w:link w:val="Quote"/>
    <w:uiPriority w:val="29"/>
    <w:qFormat/>
    <w:rsid w:val="006F262D"/>
    <w:rPr>
      <w:rFonts w:ascii="Times" w:eastAsiaTheme="minorEastAsia" w:hAnsi="Times"/>
      <w:i/>
      <w:iCs/>
      <w:color w:val="404040" w:themeColor="text1" w:themeTint="BF"/>
      <w:kern w:val="0"/>
      <w:sz w:val="24"/>
    </w:rPr>
  </w:style>
  <w:style w:type="character" w:styleId="IntenseEmphasis">
    <w:name w:val="Intense Emphasis"/>
    <w:basedOn w:val="DefaultParagraphFont"/>
    <w:uiPriority w:val="21"/>
    <w:qFormat/>
    <w:rsid w:val="006F262D"/>
    <w:rPr>
      <w:i/>
      <w:iCs/>
      <w:color w:val="0F4761" w:themeColor="accent1" w:themeShade="BF"/>
    </w:rPr>
  </w:style>
  <w:style w:type="character" w:customStyle="1" w:styleId="IntenseQuoteChar">
    <w:name w:val="Intense Quote Char"/>
    <w:basedOn w:val="DefaultParagraphFont"/>
    <w:link w:val="IntenseQuote"/>
    <w:uiPriority w:val="30"/>
    <w:qFormat/>
    <w:rsid w:val="006F262D"/>
    <w:rPr>
      <w:rFonts w:ascii="Times" w:eastAsiaTheme="minorEastAsia" w:hAnsi="Times"/>
      <w:i/>
      <w:iCs/>
      <w:color w:val="0F4761" w:themeColor="accent1" w:themeShade="BF"/>
      <w:kern w:val="0"/>
      <w:sz w:val="24"/>
    </w:rPr>
  </w:style>
  <w:style w:type="character" w:styleId="IntenseReference">
    <w:name w:val="Intense Reference"/>
    <w:basedOn w:val="DefaultParagraphFont"/>
    <w:uiPriority w:val="32"/>
    <w:qFormat/>
    <w:rsid w:val="006F262D"/>
    <w:rPr>
      <w:b/>
      <w:bCs/>
      <w:smallCaps/>
      <w:color w:val="0F4761" w:themeColor="accent1" w:themeShade="BF"/>
      <w:spacing w:val="5"/>
    </w:rPr>
  </w:style>
  <w:style w:type="character" w:customStyle="1" w:styleId="EndnoteCharacters">
    <w:name w:val="Endnote Characters"/>
    <w:basedOn w:val="DefaultParagraphFont"/>
    <w:uiPriority w:val="99"/>
    <w:unhideWhenUsed/>
    <w:qFormat/>
    <w:rsid w:val="006F262D"/>
    <w:rPr>
      <w:vertAlign w:val="superscript"/>
    </w:rPr>
  </w:style>
  <w:style w:type="character" w:styleId="EndnoteReference">
    <w:name w:val="endnote reference"/>
    <w:rPr>
      <w:vertAlign w:val="superscript"/>
    </w:rPr>
  </w:style>
  <w:style w:type="character" w:styleId="Hyperlink">
    <w:name w:val="Hyperlink"/>
    <w:basedOn w:val="DefaultParagraphFont"/>
    <w:uiPriority w:val="99"/>
    <w:unhideWhenUsed/>
    <w:rsid w:val="006F262D"/>
    <w:rPr>
      <w:color w:val="467886" w:themeColor="hyperlink"/>
      <w:u w:val="single"/>
    </w:rPr>
  </w:style>
  <w:style w:type="character" w:customStyle="1" w:styleId="FootnoteCharacters">
    <w:name w:val="Footnote Characters"/>
    <w:basedOn w:val="DefaultParagraphFont"/>
    <w:uiPriority w:val="99"/>
    <w:semiHidden/>
    <w:unhideWhenUsed/>
    <w:qFormat/>
    <w:rsid w:val="00462637"/>
    <w:rPr>
      <w:vertAlign w:val="superscript"/>
    </w:rPr>
  </w:style>
  <w:style w:type="character" w:styleId="FootnoteReference">
    <w:name w:val="footnote reference"/>
    <w:rPr>
      <w:vertAlign w:val="superscript"/>
    </w:rPr>
  </w:style>
  <w:style w:type="character" w:styleId="UnresolvedMention">
    <w:name w:val="Unresolved Mention"/>
    <w:basedOn w:val="DefaultParagraphFont"/>
    <w:uiPriority w:val="99"/>
    <w:semiHidden/>
    <w:unhideWhenUsed/>
    <w:qFormat/>
    <w:rsid w:val="00CC770C"/>
    <w:rPr>
      <w:color w:val="605E5C"/>
      <w:shd w:val="clear" w:color="auto" w:fill="E1DFDD"/>
    </w:rPr>
  </w:style>
  <w:style w:type="character" w:customStyle="1" w:styleId="TitlePageInfoChar">
    <w:name w:val="Title Page Info Char"/>
    <w:basedOn w:val="DefaultParagraphFont"/>
    <w:link w:val="TitlePageInfo"/>
    <w:qFormat/>
    <w:rsid w:val="00CC770C"/>
    <w:rPr>
      <w:rFonts w:ascii="Times New Roman" w:eastAsia="Times" w:hAnsi="Times New Roman" w:cs="Times"/>
      <w:kern w:val="0"/>
      <w:sz w:val="24"/>
      <w:szCs w:val="24"/>
    </w:rPr>
  </w:style>
  <w:style w:type="character" w:customStyle="1" w:styleId="HeaderChar">
    <w:name w:val="Header Char"/>
    <w:basedOn w:val="DefaultParagraphFont"/>
    <w:link w:val="Header"/>
    <w:uiPriority w:val="99"/>
    <w:qFormat/>
    <w:rsid w:val="00583C33"/>
    <w:rPr>
      <w:rFonts w:ascii="Times" w:eastAsia="Times" w:hAnsi="Times" w:cs="Times"/>
      <w:kern w:val="0"/>
      <w:sz w:val="24"/>
      <w:szCs w:val="24"/>
    </w:rPr>
  </w:style>
  <w:style w:type="character" w:customStyle="1" w:styleId="FooterChar">
    <w:name w:val="Footer Char"/>
    <w:basedOn w:val="DefaultParagraphFont"/>
    <w:link w:val="Footer"/>
    <w:uiPriority w:val="99"/>
    <w:qFormat/>
    <w:rsid w:val="00583C33"/>
    <w:rPr>
      <w:rFonts w:ascii="Times" w:eastAsia="Times" w:hAnsi="Times" w:cs="Times"/>
      <w:kern w:val="0"/>
      <w:sz w:val="24"/>
      <w:szCs w:val="24"/>
    </w:rPr>
  </w:style>
  <w:style w:type="character" w:customStyle="1" w:styleId="FootnoteTextChar">
    <w:name w:val="Footnote Text Char"/>
    <w:basedOn w:val="DefaultParagraphFont"/>
    <w:link w:val="FootnoteText"/>
    <w:uiPriority w:val="99"/>
    <w:semiHidden/>
    <w:qFormat/>
    <w:rsid w:val="003B5497"/>
    <w:rPr>
      <w:rFonts w:ascii="Times New Roman" w:eastAsia="Times" w:hAnsi="Times New Roman" w:cs="Times"/>
      <w:kern w:val="0"/>
      <w:sz w:val="20"/>
      <w:szCs w:val="20"/>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cs="FreeSans"/>
      <w:sz w:val="28"/>
      <w:szCs w:val="28"/>
    </w:rPr>
  </w:style>
  <w:style w:type="paragraph" w:styleId="BodyText">
    <w:name w:val="Body Text"/>
    <w:basedOn w:val="Normal"/>
    <w:link w:val="BodyTextChar"/>
    <w:unhideWhenUsed/>
    <w:qFormat/>
    <w:rsid w:val="00815D0D"/>
    <w:pPr>
      <w:spacing w:after="120"/>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rPr>
  </w:style>
  <w:style w:type="paragraph" w:customStyle="1" w:styleId="Index">
    <w:name w:val="Index"/>
    <w:basedOn w:val="Normal"/>
    <w:qFormat/>
    <w:pPr>
      <w:suppressLineNumbers/>
    </w:pPr>
    <w:rPr>
      <w:rFonts w:cs="FreeSans"/>
    </w:rPr>
  </w:style>
  <w:style w:type="paragraph" w:styleId="Title">
    <w:name w:val="Title"/>
    <w:basedOn w:val="Normal"/>
    <w:next w:val="Normal"/>
    <w:link w:val="TitleChar"/>
    <w:uiPriority w:val="10"/>
    <w:qFormat/>
    <w:pPr>
      <w:spacing w:after="80"/>
      <w:jc w:val="center"/>
    </w:pPr>
  </w:style>
  <w:style w:type="paragraph" w:customStyle="1" w:styleId="ActBreaks">
    <w:name w:val="Act Breaks"/>
    <w:basedOn w:val="Normal"/>
    <w:link w:val="ActBreaksChar"/>
    <w:autoRedefine/>
    <w:qFormat/>
    <w:rsid w:val="00314989"/>
    <w:rPr>
      <w:b/>
      <w:color w:val="C00000"/>
    </w:rPr>
  </w:style>
  <w:style w:type="paragraph" w:styleId="TOC2">
    <w:name w:val="toc 2"/>
    <w:basedOn w:val="Normal"/>
    <w:next w:val="Normal"/>
    <w:autoRedefine/>
    <w:uiPriority w:val="39"/>
    <w:unhideWhenUsed/>
    <w:rsid w:val="002F31F8"/>
    <w:pPr>
      <w:ind w:left="240"/>
    </w:pPr>
    <w:rPr>
      <w:rFonts w:asciiTheme="minorHAnsi" w:hAnsiTheme="minorHAnsi"/>
      <w:smallCaps/>
      <w:sz w:val="20"/>
      <w:szCs w:val="20"/>
    </w:rPr>
  </w:style>
  <w:style w:type="paragraph" w:styleId="TOC1">
    <w:name w:val="toc 1"/>
    <w:basedOn w:val="Normal"/>
    <w:next w:val="Normal"/>
    <w:autoRedefine/>
    <w:uiPriority w:val="39"/>
    <w:unhideWhenUsed/>
    <w:rsid w:val="002F31F8"/>
    <w:pPr>
      <w:spacing w:before="120" w:after="120"/>
    </w:pPr>
    <w:rPr>
      <w:rFonts w:asciiTheme="minorHAnsi" w:hAnsiTheme="minorHAnsi"/>
      <w:b/>
      <w:bCs/>
      <w:caps/>
      <w:sz w:val="20"/>
      <w:szCs w:val="20"/>
    </w:rPr>
  </w:style>
  <w:style w:type="paragraph" w:customStyle="1" w:styleId="Endnotes">
    <w:name w:val="Endnotes"/>
    <w:basedOn w:val="EndnoteText"/>
    <w:link w:val="EndnotesChar"/>
    <w:autoRedefine/>
    <w:qFormat/>
    <w:rsid w:val="00011F07"/>
    <w:pPr>
      <w:ind w:firstLine="0"/>
    </w:pPr>
  </w:style>
  <w:style w:type="paragraph" w:styleId="EndnoteText">
    <w:name w:val="endnote text"/>
    <w:basedOn w:val="Normal"/>
    <w:link w:val="EndnoteTextChar"/>
    <w:uiPriority w:val="99"/>
    <w:semiHidden/>
    <w:unhideWhenUsed/>
    <w:rsid w:val="00FE3976"/>
    <w:pPr>
      <w:spacing w:line="240" w:lineRule="auto"/>
    </w:pPr>
    <w:rPr>
      <w:sz w:val="20"/>
      <w:szCs w:val="20"/>
    </w:rPr>
  </w:style>
  <w:style w:type="paragraph" w:customStyle="1" w:styleId="Body">
    <w:name w:val="Body"/>
    <w:basedOn w:val="Normal"/>
    <w:link w:val="BodyChar"/>
    <w:autoRedefine/>
    <w:qFormat/>
    <w:rsid w:val="004A206B"/>
    <w:rPr>
      <w:kern w:val="2"/>
    </w:rPr>
  </w:style>
  <w:style w:type="paragraph" w:customStyle="1" w:styleId="NumberedChapters">
    <w:name w:val="Numbered Chapters"/>
    <w:basedOn w:val="Heading2"/>
    <w:link w:val="NumberedChaptersChar"/>
    <w:autoRedefine/>
    <w:qFormat/>
    <w:rsid w:val="00815D0D"/>
    <w:pPr>
      <w:numPr>
        <w:numId w:val="1"/>
      </w:numPr>
      <w:ind w:left="432" w:hanging="432"/>
    </w:pPr>
  </w:style>
  <w:style w:type="paragraph" w:customStyle="1" w:styleId="NumberedChTitle">
    <w:name w:val="Numbered Ch Title"/>
    <w:basedOn w:val="Normal"/>
    <w:link w:val="NumberedChTitleChar"/>
    <w:autoRedefine/>
    <w:qFormat/>
    <w:rsid w:val="00815D0D"/>
    <w:pPr>
      <w:ind w:left="432" w:hanging="432"/>
    </w:pPr>
  </w:style>
  <w:style w:type="paragraph" w:styleId="Quote">
    <w:name w:val="Quote"/>
    <w:basedOn w:val="Normal"/>
    <w:next w:val="Normal"/>
    <w:link w:val="QuoteChar"/>
    <w:uiPriority w:val="29"/>
    <w:qFormat/>
    <w:rsid w:val="006F262D"/>
    <w:pPr>
      <w:spacing w:before="160" w:after="160"/>
      <w:jc w:val="center"/>
    </w:pPr>
    <w:rPr>
      <w:i/>
      <w:iCs/>
      <w:color w:val="404040" w:themeColor="text1" w:themeTint="BF"/>
    </w:rPr>
  </w:style>
  <w:style w:type="paragraph" w:styleId="ListParagraph">
    <w:name w:val="List Paragraph"/>
    <w:basedOn w:val="Normal"/>
    <w:uiPriority w:val="34"/>
    <w:qFormat/>
    <w:rsid w:val="006F262D"/>
    <w:pPr>
      <w:ind w:left="720"/>
      <w:contextualSpacing/>
    </w:pPr>
  </w:style>
  <w:style w:type="paragraph" w:styleId="IntenseQuote">
    <w:name w:val="Intense Quote"/>
    <w:basedOn w:val="Normal"/>
    <w:next w:val="Normal"/>
    <w:link w:val="IntenseQuoteChar"/>
    <w:uiPriority w:val="30"/>
    <w:qFormat/>
    <w:rsid w:val="006F26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paragraph" w:customStyle="1" w:styleId="font-claude-response-body">
    <w:name w:val="font-claude-response-body"/>
    <w:basedOn w:val="Normal"/>
    <w:qFormat/>
    <w:rsid w:val="00EC0869"/>
    <w:pPr>
      <w:spacing w:beforeAutospacing="1" w:afterAutospacing="1" w:line="240" w:lineRule="auto"/>
      <w:ind w:firstLine="0"/>
    </w:pPr>
    <w:rPr>
      <w:rFonts w:ascii="Times New Roman" w:eastAsia="Times New Roman" w:hAnsi="Times New Roman" w:cs="Times New Roman"/>
    </w:rPr>
  </w:style>
  <w:style w:type="paragraph" w:styleId="TOC3">
    <w:name w:val="toc 3"/>
    <w:basedOn w:val="Normal"/>
    <w:next w:val="Normal"/>
    <w:autoRedefine/>
    <w:uiPriority w:val="39"/>
    <w:unhideWhenUsed/>
    <w:rsid w:val="00CC770C"/>
    <w:pPr>
      <w:ind w:left="480"/>
    </w:pPr>
    <w:rPr>
      <w:rFonts w:asciiTheme="minorHAnsi" w:hAnsiTheme="minorHAnsi"/>
      <w:i/>
      <w:iCs/>
      <w:sz w:val="20"/>
      <w:szCs w:val="20"/>
    </w:rPr>
  </w:style>
  <w:style w:type="paragraph" w:styleId="TOC4">
    <w:name w:val="toc 4"/>
    <w:basedOn w:val="Normal"/>
    <w:next w:val="Normal"/>
    <w:autoRedefine/>
    <w:uiPriority w:val="39"/>
    <w:unhideWhenUsed/>
    <w:rsid w:val="00CC770C"/>
    <w:pPr>
      <w:ind w:left="720"/>
    </w:pPr>
    <w:rPr>
      <w:rFonts w:asciiTheme="minorHAnsi" w:hAnsiTheme="minorHAnsi"/>
      <w:sz w:val="18"/>
      <w:szCs w:val="18"/>
    </w:rPr>
  </w:style>
  <w:style w:type="paragraph" w:styleId="TOC5">
    <w:name w:val="toc 5"/>
    <w:basedOn w:val="Normal"/>
    <w:next w:val="Normal"/>
    <w:autoRedefine/>
    <w:uiPriority w:val="39"/>
    <w:unhideWhenUsed/>
    <w:rsid w:val="00CC770C"/>
    <w:pPr>
      <w:ind w:left="960"/>
    </w:pPr>
    <w:rPr>
      <w:rFonts w:asciiTheme="minorHAnsi" w:hAnsiTheme="minorHAnsi"/>
      <w:sz w:val="18"/>
      <w:szCs w:val="18"/>
    </w:rPr>
  </w:style>
  <w:style w:type="paragraph" w:styleId="TOC6">
    <w:name w:val="toc 6"/>
    <w:basedOn w:val="Normal"/>
    <w:next w:val="Normal"/>
    <w:autoRedefine/>
    <w:uiPriority w:val="39"/>
    <w:unhideWhenUsed/>
    <w:rsid w:val="00CC770C"/>
    <w:pPr>
      <w:ind w:left="1200"/>
    </w:pPr>
    <w:rPr>
      <w:rFonts w:asciiTheme="minorHAnsi" w:hAnsiTheme="minorHAnsi"/>
      <w:sz w:val="18"/>
      <w:szCs w:val="18"/>
    </w:rPr>
  </w:style>
  <w:style w:type="paragraph" w:styleId="TOC7">
    <w:name w:val="toc 7"/>
    <w:basedOn w:val="Normal"/>
    <w:next w:val="Normal"/>
    <w:autoRedefine/>
    <w:uiPriority w:val="39"/>
    <w:unhideWhenUsed/>
    <w:rsid w:val="00CC770C"/>
    <w:pPr>
      <w:ind w:left="1440"/>
    </w:pPr>
    <w:rPr>
      <w:rFonts w:asciiTheme="minorHAnsi" w:hAnsiTheme="minorHAnsi"/>
      <w:sz w:val="18"/>
      <w:szCs w:val="18"/>
    </w:rPr>
  </w:style>
  <w:style w:type="paragraph" w:styleId="TOC8">
    <w:name w:val="toc 8"/>
    <w:basedOn w:val="Normal"/>
    <w:next w:val="Normal"/>
    <w:autoRedefine/>
    <w:uiPriority w:val="39"/>
    <w:unhideWhenUsed/>
    <w:rsid w:val="00CC770C"/>
    <w:pPr>
      <w:ind w:left="1680"/>
    </w:pPr>
    <w:rPr>
      <w:rFonts w:asciiTheme="minorHAnsi" w:hAnsiTheme="minorHAnsi"/>
      <w:sz w:val="18"/>
      <w:szCs w:val="18"/>
    </w:rPr>
  </w:style>
  <w:style w:type="paragraph" w:styleId="TOC9">
    <w:name w:val="toc 9"/>
    <w:basedOn w:val="Normal"/>
    <w:next w:val="Normal"/>
    <w:autoRedefine/>
    <w:uiPriority w:val="39"/>
    <w:unhideWhenUsed/>
    <w:rsid w:val="00CC770C"/>
    <w:pPr>
      <w:ind w:left="1920"/>
    </w:pPr>
    <w:rPr>
      <w:rFonts w:asciiTheme="minorHAnsi" w:hAnsiTheme="minorHAnsi"/>
      <w:sz w:val="18"/>
      <w:szCs w:val="18"/>
    </w:rPr>
  </w:style>
  <w:style w:type="paragraph" w:customStyle="1" w:styleId="TitlePageInfo">
    <w:name w:val="Title Page Info"/>
    <w:basedOn w:val="Normal"/>
    <w:link w:val="TitlePageInfoChar"/>
    <w:qFormat/>
    <w:rsid w:val="00CC770C"/>
    <w:pPr>
      <w:spacing w:line="240" w:lineRule="auto"/>
      <w:ind w:firstLine="0"/>
    </w:pPr>
    <w:rPr>
      <w:rFonts w:ascii="Times New Roman" w:hAnsi="Times New Roman"/>
    </w:rPr>
  </w:style>
  <w:style w:type="paragraph" w:customStyle="1" w:styleId="HeaderandFooter">
    <w:name w:val="Header and Footer"/>
    <w:basedOn w:val="Normal"/>
    <w:qFormat/>
  </w:style>
  <w:style w:type="paragraph" w:styleId="Header">
    <w:name w:val="header"/>
    <w:basedOn w:val="Normal"/>
    <w:link w:val="HeaderChar"/>
    <w:uiPriority w:val="99"/>
    <w:unhideWhenUsed/>
    <w:rsid w:val="00583C33"/>
    <w:pPr>
      <w:tabs>
        <w:tab w:val="center" w:pos="4680"/>
        <w:tab w:val="right" w:pos="9360"/>
      </w:tabs>
      <w:spacing w:line="240" w:lineRule="auto"/>
    </w:pPr>
  </w:style>
  <w:style w:type="paragraph" w:styleId="Footer">
    <w:name w:val="footer"/>
    <w:basedOn w:val="Normal"/>
    <w:link w:val="FooterChar"/>
    <w:uiPriority w:val="99"/>
    <w:unhideWhenUsed/>
    <w:rsid w:val="00583C33"/>
    <w:pPr>
      <w:tabs>
        <w:tab w:val="center" w:pos="4680"/>
        <w:tab w:val="right" w:pos="9360"/>
      </w:tabs>
      <w:spacing w:line="240" w:lineRule="auto"/>
    </w:pPr>
  </w:style>
  <w:style w:type="paragraph" w:styleId="FootnoteText">
    <w:name w:val="footnote text"/>
    <w:basedOn w:val="Normal"/>
    <w:link w:val="FootnoteTextChar"/>
    <w:uiPriority w:val="99"/>
    <w:semiHidden/>
    <w:unhideWhenUsed/>
    <w:rsid w:val="003B5497"/>
    <w:pPr>
      <w:widowControl w:val="0"/>
      <w:spacing w:line="240" w:lineRule="auto"/>
    </w:pPr>
    <w:rPr>
      <w:rFonts w:ascii="Times New Roman" w:hAnsi="Times New Roman"/>
      <w:sz w:val="20"/>
      <w:szCs w:val="20"/>
    </w:rPr>
  </w:style>
  <w:style w:type="paragraph" w:styleId="Subtitle">
    <w:name w:val="Subtitle"/>
    <w:basedOn w:val="Normal"/>
    <w:next w:val="Normal"/>
    <w:link w:val="SubtitleChar"/>
    <w:uiPriority w:val="11"/>
    <w:qFormat/>
    <w:pPr>
      <w:spacing w:after="160"/>
      <w:jc w:val="center"/>
    </w:pPr>
  </w:style>
  <w:style w:type="table" w:customStyle="1" w:styleId="TableNormal0">
    <w:name w:val="TableNormal"/>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5.xml"/><Relationship Id="rId18" Type="http://schemas.openxmlformats.org/officeDocument/2006/relationships/footer" Target="footer10.xml"/><Relationship Id="rId26" Type="http://schemas.openxmlformats.org/officeDocument/2006/relationships/footer" Target="footer18.xml"/><Relationship Id="rId39" Type="http://schemas.openxmlformats.org/officeDocument/2006/relationships/footer" Target="footer31.xml"/><Relationship Id="rId21" Type="http://schemas.openxmlformats.org/officeDocument/2006/relationships/footer" Target="footer13.xml"/><Relationship Id="rId34" Type="http://schemas.openxmlformats.org/officeDocument/2006/relationships/footer" Target="footer26.xml"/><Relationship Id="rId42" Type="http://schemas.openxmlformats.org/officeDocument/2006/relationships/footer" Target="footer34.xml"/><Relationship Id="rId47" Type="http://schemas.openxmlformats.org/officeDocument/2006/relationships/footer" Target="footer39.xml"/><Relationship Id="rId50" Type="http://schemas.openxmlformats.org/officeDocument/2006/relationships/footer" Target="footer42.xml"/><Relationship Id="rId55" Type="http://schemas.openxmlformats.org/officeDocument/2006/relationships/footer" Target="footer47.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footer" Target="footer8.xml"/><Relationship Id="rId29" Type="http://schemas.openxmlformats.org/officeDocument/2006/relationships/footer" Target="footer21.xml"/><Relationship Id="rId11" Type="http://schemas.openxmlformats.org/officeDocument/2006/relationships/footer" Target="footer3.xml"/><Relationship Id="rId24" Type="http://schemas.openxmlformats.org/officeDocument/2006/relationships/footer" Target="footer16.xml"/><Relationship Id="rId32" Type="http://schemas.openxmlformats.org/officeDocument/2006/relationships/footer" Target="footer24.xml"/><Relationship Id="rId37" Type="http://schemas.openxmlformats.org/officeDocument/2006/relationships/footer" Target="footer29.xml"/><Relationship Id="rId40" Type="http://schemas.openxmlformats.org/officeDocument/2006/relationships/footer" Target="footer32.xml"/><Relationship Id="rId45" Type="http://schemas.openxmlformats.org/officeDocument/2006/relationships/footer" Target="footer37.xml"/><Relationship Id="rId53" Type="http://schemas.openxmlformats.org/officeDocument/2006/relationships/footer" Target="footer45.xml"/><Relationship Id="rId58" Type="http://schemas.openxmlformats.org/officeDocument/2006/relationships/footer" Target="footer50.xml"/><Relationship Id="rId5" Type="http://schemas.openxmlformats.org/officeDocument/2006/relationships/settings" Target="settings.xml"/><Relationship Id="rId19" Type="http://schemas.openxmlformats.org/officeDocument/2006/relationships/footer" Target="footer1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footer" Target="footer14.xml"/><Relationship Id="rId27" Type="http://schemas.openxmlformats.org/officeDocument/2006/relationships/footer" Target="footer19.xml"/><Relationship Id="rId30" Type="http://schemas.openxmlformats.org/officeDocument/2006/relationships/footer" Target="footer22.xml"/><Relationship Id="rId35" Type="http://schemas.openxmlformats.org/officeDocument/2006/relationships/footer" Target="footer27.xml"/><Relationship Id="rId43" Type="http://schemas.openxmlformats.org/officeDocument/2006/relationships/footer" Target="footer35.xml"/><Relationship Id="rId48" Type="http://schemas.openxmlformats.org/officeDocument/2006/relationships/footer" Target="footer40.xml"/><Relationship Id="rId56" Type="http://schemas.openxmlformats.org/officeDocument/2006/relationships/footer" Target="footer48.xml"/><Relationship Id="rId8" Type="http://schemas.openxmlformats.org/officeDocument/2006/relationships/endnotes" Target="endnotes.xml"/><Relationship Id="rId51" Type="http://schemas.openxmlformats.org/officeDocument/2006/relationships/footer" Target="footer43.xml"/><Relationship Id="rId3" Type="http://schemas.openxmlformats.org/officeDocument/2006/relationships/numbering" Target="numbering.xml"/><Relationship Id="rId12" Type="http://schemas.openxmlformats.org/officeDocument/2006/relationships/footer" Target="footer4.xml"/><Relationship Id="rId17" Type="http://schemas.openxmlformats.org/officeDocument/2006/relationships/footer" Target="footer9.xml"/><Relationship Id="rId25" Type="http://schemas.openxmlformats.org/officeDocument/2006/relationships/footer" Target="footer17.xml"/><Relationship Id="rId33" Type="http://schemas.openxmlformats.org/officeDocument/2006/relationships/footer" Target="footer25.xml"/><Relationship Id="rId38" Type="http://schemas.openxmlformats.org/officeDocument/2006/relationships/footer" Target="footer30.xml"/><Relationship Id="rId46" Type="http://schemas.openxmlformats.org/officeDocument/2006/relationships/footer" Target="footer38.xml"/><Relationship Id="rId59" Type="http://schemas.openxmlformats.org/officeDocument/2006/relationships/fontTable" Target="fontTable.xml"/><Relationship Id="rId20" Type="http://schemas.openxmlformats.org/officeDocument/2006/relationships/footer" Target="footer12.xml"/><Relationship Id="rId41" Type="http://schemas.openxmlformats.org/officeDocument/2006/relationships/footer" Target="footer33.xml"/><Relationship Id="rId54" Type="http://schemas.openxmlformats.org/officeDocument/2006/relationships/footer" Target="footer46.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7.xml"/><Relationship Id="rId23" Type="http://schemas.openxmlformats.org/officeDocument/2006/relationships/footer" Target="footer15.xml"/><Relationship Id="rId28" Type="http://schemas.openxmlformats.org/officeDocument/2006/relationships/footer" Target="footer20.xml"/><Relationship Id="rId36" Type="http://schemas.openxmlformats.org/officeDocument/2006/relationships/footer" Target="footer28.xml"/><Relationship Id="rId49" Type="http://schemas.openxmlformats.org/officeDocument/2006/relationships/footer" Target="footer41.xml"/><Relationship Id="rId57" Type="http://schemas.openxmlformats.org/officeDocument/2006/relationships/footer" Target="footer49.xml"/><Relationship Id="rId10" Type="http://schemas.openxmlformats.org/officeDocument/2006/relationships/footer" Target="footer2.xml"/><Relationship Id="rId31" Type="http://schemas.openxmlformats.org/officeDocument/2006/relationships/footer" Target="footer23.xml"/><Relationship Id="rId44" Type="http://schemas.openxmlformats.org/officeDocument/2006/relationships/footer" Target="footer36.xml"/><Relationship Id="rId52" Type="http://schemas.openxmlformats.org/officeDocument/2006/relationships/footer" Target="footer44.xml"/><Relationship Id="rId60" Type="http://schemas.openxmlformats.org/officeDocument/2006/relationships/theme" Target="theme/theme1.xml"/></Relationships>
</file>

<file path=word/_rels/endnotes.xml.rels><?xml version="1.0" encoding="UTF-8" standalone="yes"?>
<Relationships xmlns="http://schemas.openxmlformats.org/package/2006/relationships"><Relationship Id="rId117" Type="http://schemas.openxmlformats.org/officeDocument/2006/relationships/hyperlink" Target="https://www.nber.org/papers/w20152." TargetMode="External"/><Relationship Id="rId21" Type="http://schemas.openxmlformats.org/officeDocument/2006/relationships/hyperlink" Target="https://iebcnow.org/caring-campus/" TargetMode="External"/><Relationship Id="rId42" Type="http://schemas.openxmlformats.org/officeDocument/2006/relationships/hyperlink" Target="https://www.theguardian.com/commentisfree/2023/jun/28/wage-rises-inflation-rightwing-myth-greed-business" TargetMode="External"/><Relationship Id="rId63" Type="http://schemas.openxmlformats.org/officeDocument/2006/relationships/hyperlink" Target="https://www.ed.gov/sites/ed/files/about/offices/list/ocr/docs/crdc-exclusionary-school-discipline.pdf" TargetMode="External"/><Relationship Id="rId84" Type="http://schemas.openxmlformats.org/officeDocument/2006/relationships/hyperlink" Target="https://www.bls.gov/opub/ted/2022/consumer-prices-up-9-1-percent-over-the-year-ended-june-2022-largest-increase-in-40-years.htm" TargetMode="External"/><Relationship Id="rId138" Type="http://schemas.openxmlformats.org/officeDocument/2006/relationships/hyperlink" Target="https://www.rand.org/content/dam/rand/pubs/perspectives/PEA3000/PEA3089-1/RAND_PEA3089-1.pdf" TargetMode="External"/><Relationship Id="rId107" Type="http://schemas.openxmlformats.org/officeDocument/2006/relationships/hyperlink" Target="https://doi.org/10.1098/rstb.2020.0138." TargetMode="External"/><Relationship Id="rId11" Type="http://schemas.openxmlformats.org/officeDocument/2006/relationships/hyperlink" Target="https://nypost.com/2009/02/13/uk-veteran-killed-himself-after-madoff-loss/" TargetMode="External"/><Relationship Id="rId32" Type="http://schemas.openxmlformats.org/officeDocument/2006/relationships/hyperlink" Target="https://www.epi.org/blog/joblessness-remains-at-historic-levels-and-there-is-no-evidence-ui-is-disincentivizing-work-congress-must-extend-the-extra-600-in-ui-benefits/" TargetMode="External"/><Relationship Id="rId53" Type="http://schemas.openxmlformats.org/officeDocument/2006/relationships/hyperlink" Target="https://familyinequality.wordpress.com/2015/03/16/moynihan-backlashs-myth/" TargetMode="External"/><Relationship Id="rId74" Type="http://schemas.openxmlformats.org/officeDocument/2006/relationships/hyperlink" Target="https://shef.sheeo.org/report/" TargetMode="External"/><Relationship Id="rId128" Type="http://schemas.openxmlformats.org/officeDocument/2006/relationships/hyperlink" Target="https://www.eurekalert.org/news-releases/1106130" TargetMode="External"/><Relationship Id="rId149" Type="http://schemas.openxmlformats.org/officeDocument/2006/relationships/hyperlink" Target="https://nida.nih.gov/research-topics/fentanyl" TargetMode="External"/><Relationship Id="rId5" Type="http://schemas.openxmlformats.org/officeDocument/2006/relationships/hyperlink" Target="https://www.americanheritage.com/saloon" TargetMode="External"/><Relationship Id="rId95" Type="http://schemas.openxmlformats.org/officeDocument/2006/relationships/hyperlink" Target="https://www.worldbank.org/en/publication/poverty-prosperity-and-planet" TargetMode="External"/><Relationship Id="rId22" Type="http://schemas.openxmlformats.org/officeDocument/2006/relationships/hyperlink" Target="https://www.gao.gov/products/gao-18-49" TargetMode="External"/><Relationship Id="rId27" Type="http://schemas.openxmlformats.org/officeDocument/2006/relationships/hyperlink" Target="https://blog.johnkitzhaber.com/the-oregon-health-plan/" TargetMode="External"/><Relationship Id="rId43" Type="http://schemas.openxmlformats.org/officeDocument/2006/relationships/hyperlink" Target="https://reason.com/2025/11/10/californias-fast-food-minimum-wage-hike-is-killing-jobs/" TargetMode="External"/><Relationship Id="rId48" Type="http://schemas.openxmlformats.org/officeDocument/2006/relationships/hyperlink" Target="https://www.npr.org/2015/06/03/411524156/in-search-of-the-red-cross-500-million-in-haiti-relief" TargetMode="External"/><Relationship Id="rId64" Type="http://schemas.openxmlformats.org/officeDocument/2006/relationships/hyperlink" Target="https://doi.org/10.1037/0033-2909.126.2.309" TargetMode="External"/><Relationship Id="rId69" Type="http://schemas.openxmlformats.org/officeDocument/2006/relationships/hyperlink" Target="https://www.pew.org/en/research-and-analysis/issue-briefs/2019/10/two-decades-of-change-in-federal-and-state-higher-education-funding" TargetMode="External"/><Relationship Id="rId113" Type="http://schemas.openxmlformats.org/officeDocument/2006/relationships/hyperlink" Target="https://doi.org/10.1007/s11109-018-9443-y." TargetMode="External"/><Relationship Id="rId118" Type="http://schemas.openxmlformats.org/officeDocument/2006/relationships/hyperlink" Target="https://home.treasury.gov/system/files/136/Research%20summary%20080609.pdf" TargetMode="External"/><Relationship Id="rId134" Type="http://schemas.openxmlformats.org/officeDocument/2006/relationships/hyperlink" Target="https://www.weforum.org/stories/2025/07/why-detecting-dangerous-ai-is-key-to-keeping-trust-alive/" TargetMode="External"/><Relationship Id="rId139" Type="http://schemas.openxmlformats.org/officeDocument/2006/relationships/hyperlink" Target="https://www.malwarebytes.com/blog/news/2025/05/the-bots-are-winning" TargetMode="External"/><Relationship Id="rId80" Type="http://schemas.openxmlformats.org/officeDocument/2006/relationships/hyperlink" Target="https://www.pewresearch.org/politics/2015/11/23/10-government-and-taxes/" TargetMode="External"/><Relationship Id="rId85" Type="http://schemas.openxmlformats.org/officeDocument/2006/relationships/hyperlink" Target="https://www.washingtonpost.com/opinions/2021/02/04/larry-summers-biden-covid-stimulus/" TargetMode="External"/><Relationship Id="rId150" Type="http://schemas.openxmlformats.org/officeDocument/2006/relationships/hyperlink" Target="https://www.pewtrusts.org/en/research-and-analysis/issue-briefs/2018/03/more-imprisonment-does-not-reduce-state-drug-problems" TargetMode="External"/><Relationship Id="rId12" Type="http://schemas.openxmlformats.org/officeDocument/2006/relationships/hyperlink" Target="https://news.gallup.com/poll/106114/six-oppose-wall-street-bailouts.aspx" TargetMode="External"/><Relationship Id="rId17" Type="http://schemas.openxmlformats.org/officeDocument/2006/relationships/hyperlink" Target="https://www.sciencedirect.com/science/article/abs/pii/S027277571930024X" TargetMode="External"/><Relationship Id="rId33" Type="http://schemas.openxmlformats.org/officeDocument/2006/relationships/hyperlink" Target="https://www.nber.org/digest/202202/covid-19-unemployment-benefits-slowed-return-work" TargetMode="External"/><Relationship Id="rId38" Type="http://schemas.openxmlformats.org/officeDocument/2006/relationships/hyperlink" Target="https://sutherlandinstitute.org/publications/strengthening-the-american-dream/" TargetMode="External"/><Relationship Id="rId59" Type="http://schemas.openxmlformats.org/officeDocument/2006/relationships/hyperlink" Target="https://www.educationnext.org/life-times-james-s-coleman-school-policy-research/" TargetMode="External"/><Relationship Id="rId103" Type="http://schemas.openxmlformats.org/officeDocument/2006/relationships/hyperlink" Target="https://features.apmreports.org/sold-a-story/" TargetMode="External"/><Relationship Id="rId108" Type="http://schemas.openxmlformats.org/officeDocument/2006/relationships/hyperlink" Target="https://doi.org/10.1038/srep39589." TargetMode="External"/><Relationship Id="rId124" Type="http://schemas.openxmlformats.org/officeDocument/2006/relationships/hyperlink" Target="https://home.treasury.gov/news/featured-stories/rent-house-prices-and-demographics" TargetMode="External"/><Relationship Id="rId129" Type="http://schemas.openxmlformats.org/officeDocument/2006/relationships/hyperlink" Target="https://www.rollingstone.com/culture/culture-features/ai-chatbot-journal-research-fake-citations-1235485484" TargetMode="External"/><Relationship Id="rId54" Type="http://schemas.openxmlformats.org/officeDocument/2006/relationships/hyperlink" Target="https://doi.org/10.1177/17456916241252085" TargetMode="External"/><Relationship Id="rId70" Type="http://schemas.openxmlformats.org/officeDocument/2006/relationships/hyperlink" Target="https://shef.sheeo.org/report/" TargetMode="External"/><Relationship Id="rId75" Type="http://schemas.openxmlformats.org/officeDocument/2006/relationships/hyperlink" Target="https://www.insidehighered.com/news/2014/11/19/performance-based-funding-provokes-concern-among-college-administrators" TargetMode="External"/><Relationship Id="rId91" Type="http://schemas.openxmlformats.org/officeDocument/2006/relationships/hyperlink" Target="https://www.warren.senate.gov/newsroom/press-releases/at-hearing-warren-questions-federal-reserve-nominee-about-market-concentration-and-price-gouging-driving-inflation" TargetMode="External"/><Relationship Id="rId96" Type="http://schemas.openxmlformats.org/officeDocument/2006/relationships/hyperlink" Target="https://www.piie.com/publications/working-papers/future-worldwide-income-distribution" TargetMode="External"/><Relationship Id="rId140" Type="http://schemas.openxmlformats.org/officeDocument/2006/relationships/hyperlink" Target="https://www.stanventures.com/news/facebook-flooded-with-ai-over-40-of-posts-are-machine-generated-1847/" TargetMode="External"/><Relationship Id="rId145" Type="http://schemas.openxmlformats.org/officeDocument/2006/relationships/hyperlink" Target="https://www.weforum.org/publications/global-risks-report-2025/" TargetMode="External"/><Relationship Id="rId1" Type="http://schemas.openxmlformats.org/officeDocument/2006/relationships/hyperlink" Target="https://www.sahilbloom.com/newsletter/the-hidden-tax-holding-you-back" TargetMode="External"/><Relationship Id="rId6" Type="http://schemas.openxmlformats.org/officeDocument/2006/relationships/hyperlink" Target="https://www.sec.gov/news/studies/2009/oig-509/exhibit-0276.pdf" TargetMode="External"/><Relationship Id="rId23" Type="http://schemas.openxmlformats.org/officeDocument/2006/relationships/hyperlink" Target="https://www.aaup.org/sites/default/files/10112018%20Data%20Snapshot%20Tenure.pdf" TargetMode="External"/><Relationship Id="rId28" Type="http://schemas.openxmlformats.org/officeDocument/2006/relationships/hyperlink" Target="https://www.axios.com/coronavirus-relief-bill-lindsey-graham-bernie-sanders-619d2d7e-fea5-4884-ae48-a80fcb029e40" TargetMode="External"/><Relationship Id="rId49" Type="http://schemas.openxmlformats.org/officeDocument/2006/relationships/hyperlink" Target="https://www.grassley.senate.gov/imo/media/doc/2016-06-15%20CEG%20to%20Red%20Cross%20(Oversight%20Report).pdf" TargetMode="External"/><Relationship Id="rId114" Type="http://schemas.openxmlformats.org/officeDocument/2006/relationships/hyperlink" Target="https://doi.org/10.1016/j.jarmac.2017.07.008." TargetMode="External"/><Relationship Id="rId119" Type="http://schemas.openxmlformats.org/officeDocument/2006/relationships/hyperlink" Target="https://www.nber.org/papers/w29966." TargetMode="External"/><Relationship Id="rId44" Type="http://schemas.openxmlformats.org/officeDocument/2006/relationships/hyperlink" Target="https://www.youtube.com/watch?v=00mKvBbwhhY" TargetMode="External"/><Relationship Id="rId60" Type="http://schemas.openxmlformats.org/officeDocument/2006/relationships/hyperlink" Target="https://www.oah.org/2017/03/22/gordon-coleman-report/" TargetMode="External"/><Relationship Id="rId65" Type="http://schemas.openxmlformats.org/officeDocument/2006/relationships/hyperlink" Target="https://doi.org/10.1093/ej/uead011" TargetMode="External"/><Relationship Id="rId81" Type="http://schemas.openxmlformats.org/officeDocument/2006/relationships/hyperlink" Target="https://apnorc.org/projects/majorities-view-local-state-and-federal-taxes-as-too-high-and-delivering-too-little-value-for-people-like-them/" TargetMode="External"/><Relationship Id="rId86" Type="http://schemas.openxmlformats.org/officeDocument/2006/relationships/hyperlink" Target="https://www.frbsf.org/economic-research/publications/economic-letter/2022/june/how-much-do-supply-and-demand-drive-inflation/" TargetMode="External"/><Relationship Id="rId130" Type="http://schemas.openxmlformats.org/officeDocument/2006/relationships/hyperlink" Target="https://www.nature.com/articles/d41586-025-02853-8" TargetMode="External"/><Relationship Id="rId135" Type="http://schemas.openxmlformats.org/officeDocument/2006/relationships/hyperlink" Target="https://doi.org/10.1145/3097983.3098131" TargetMode="External"/><Relationship Id="rId151" Type="http://schemas.openxmlformats.org/officeDocument/2006/relationships/hyperlink" Target="https://www.pewtrusts.org/en/research-and-analysis/issue-briefs/2022/02/drug-arrests-stayed-high-even-as-imprisonment-fell-from-2009-to-2019" TargetMode="External"/><Relationship Id="rId13" Type="http://schemas.openxmlformats.org/officeDocument/2006/relationships/hyperlink" Target="https://www.ipsos.com/en-us/half-americans-support-government-bailouts-banks" TargetMode="External"/><Relationship Id="rId18" Type="http://schemas.openxmlformats.org/officeDocument/2006/relationships/hyperlink" Target="https://highered.aspeninstitute.org/idea/making-success-a-given-for-students/" TargetMode="External"/><Relationship Id="rId39" Type="http://schemas.openxmlformats.org/officeDocument/2006/relationships/hyperlink" Target="http://www.housingisahumanright.org/wp-content/uploads/2018/11/Diamond-McQuade-EXECUTIVE-SUMMARY.pdf" TargetMode="External"/><Relationship Id="rId109" Type="http://schemas.openxmlformats.org/officeDocument/2006/relationships/hyperlink" Target="https://doi.org/10.1111/psyp.14561." TargetMode="External"/><Relationship Id="rId34" Type="http://schemas.openxmlformats.org/officeDocument/2006/relationships/hyperlink" Target="https://pmc.ncbi.nlm.nih.gov/articles/PMC9753141/" TargetMode="External"/><Relationship Id="rId50" Type="http://schemas.openxmlformats.org/officeDocument/2006/relationships/hyperlink" Target="https://www.propublica.org/article/senator-red-cross-misled-congress-refused-to-level-with-people-haiti-money" TargetMode="External"/><Relationship Id="rId55" Type="http://schemas.openxmlformats.org/officeDocument/2006/relationships/hyperlink" Target="https://www.insidehighered.com/news/2020/07/28/leading-voice-welfare-reform-accused-racism" TargetMode="External"/><Relationship Id="rId76" Type="http://schemas.openxmlformats.org/officeDocument/2006/relationships/hyperlink" Target="https://conduitstreet.mdcounties.org/2024/11/06/community-colleges-partially-avoided-deep-cuts-in-24-whats-next/" TargetMode="External"/><Relationship Id="rId97" Type="http://schemas.openxmlformats.org/officeDocument/2006/relationships/hyperlink" Target="https://blogs.worldbank.org/en/opendata/how-has-the-profile-of-extreme-poverty-changed-over-the-last-dec" TargetMode="External"/><Relationship Id="rId104" Type="http://schemas.openxmlformats.org/officeDocument/2006/relationships/hyperlink" Target="https://doi.org/10.1016/j.neubiorev.2012.02.003." TargetMode="External"/><Relationship Id="rId120" Type="http://schemas.openxmlformats.org/officeDocument/2006/relationships/hyperlink" Target="https://www.chicagobooth.edu/review/diagnosing-william-baumols-cost-disease" TargetMode="External"/><Relationship Id="rId125" Type="http://schemas.openxmlformats.org/officeDocument/2006/relationships/hyperlink" Target="https://www.cnbc.com/2021/11/02/the-gap-in-college-costs-and-earnings-for-young-workers-since-1980.html" TargetMode="External"/><Relationship Id="rId141" Type="http://schemas.openxmlformats.org/officeDocument/2006/relationships/hyperlink" Target="https://internationalaisafetyreport.org/publication/international-ai-safety-report-2026" TargetMode="External"/><Relationship Id="rId146" Type="http://schemas.openxmlformats.org/officeDocument/2006/relationships/hyperlink" Target="https://reutersinstitute.politics.ox.ac.uk/journalism-media-and-technology-trends-and-predictions-2026" TargetMode="External"/><Relationship Id="rId7" Type="http://schemas.openxmlformats.org/officeDocument/2006/relationships/hyperlink" Target="https://www.sec.gov/news/studies/2009/oig-509.pdf" TargetMode="External"/><Relationship Id="rId71" Type="http://schemas.openxmlformats.org/officeDocument/2006/relationships/hyperlink" Target="https://www.ccdaily.com/2025/05/state-local-funding-down-for-two-year-colleges/" TargetMode="External"/><Relationship Id="rId92" Type="http://schemas.openxmlformats.org/officeDocument/2006/relationships/hyperlink" Target="https://thehill.com/homenews/ap/ap-business/greedflation-is-price-gouging-helping-fuel-high-inflation/" TargetMode="External"/><Relationship Id="rId2" Type="http://schemas.openxmlformats.org/officeDocument/2006/relationships/hyperlink" Target="https://x.com/AlexHormozi/status/1455550272713879572" TargetMode="External"/><Relationship Id="rId29" Type="http://schemas.openxmlformats.org/officeDocument/2006/relationships/hyperlink" Target="https://rollcall.com/2020/03/25/gop-senators-drop-unemployment-objection-as-senate-vote-nears/" TargetMode="External"/><Relationship Id="rId24" Type="http://schemas.openxmlformats.org/officeDocument/2006/relationships/hyperlink" Target="https://www.cupahr.org/resource/adjunct-faculty-in-the-higher-education-workforce/" TargetMode="External"/><Relationship Id="rId40" Type="http://schemas.openxmlformats.org/officeDocument/2006/relationships/hyperlink" Target="https://www.brookings.edu/articles/what-does-economic-evidence-tell-us-about-the-effects-of-rent-control/" TargetMode="External"/><Relationship Id="rId45" Type="http://schemas.openxmlformats.org/officeDocument/2006/relationships/hyperlink" Target="https://earthquake.usgs.gov/earthquakes/eventpage/usp000h60h" TargetMode="External"/><Relationship Id="rId66" Type="http://schemas.openxmlformats.org/officeDocument/2006/relationships/hyperlink" Target="https://www.tandfonline.com/doi/abs/10.1080/0161956X.2018.1435047" TargetMode="External"/><Relationship Id="rId87" Type="http://schemas.openxmlformats.org/officeDocument/2006/relationships/hyperlink" Target="https://www.nationalreview.com/corner/yes-the-biden-stimulus-made-inflation-worse/" TargetMode="External"/><Relationship Id="rId110" Type="http://schemas.openxmlformats.org/officeDocument/2006/relationships/hyperlink" Target="https://doi.org/10.1016/j.biopsycho.2007.07.002." TargetMode="External"/><Relationship Id="rId115" Type="http://schemas.openxmlformats.org/officeDocument/2006/relationships/hyperlink" Target="https://cssh.northeastern.edu/nulab/backfire-effects/" TargetMode="External"/><Relationship Id="rId131" Type="http://schemas.openxmlformats.org/officeDocument/2006/relationships/hyperlink" Target="https://doi.org/10.1145/3442188.3445922" TargetMode="External"/><Relationship Id="rId136" Type="http://schemas.openxmlformats.org/officeDocument/2006/relationships/hyperlink" Target="https://fullfact.org/about/automated/" TargetMode="External"/><Relationship Id="rId61" Type="http://schemas.openxmlformats.org/officeDocument/2006/relationships/hyperlink" Target="https://www.edweek.org/education/opinion-trashing-the-coleman-report/1981/09" TargetMode="External"/><Relationship Id="rId82" Type="http://schemas.openxmlformats.org/officeDocument/2006/relationships/hyperlink" Target="https://news.gallup.com/poll/355838/americans-revert-favoring-reduced-government-role.aspx" TargetMode="External"/><Relationship Id="rId152" Type="http://schemas.openxmlformats.org/officeDocument/2006/relationships/hyperlink" Target="https://www.cato.org/policy-analysis/four-decades-counting-continued-failure-war-drugs" TargetMode="External"/><Relationship Id="rId19" Type="http://schemas.openxmlformats.org/officeDocument/2006/relationships/hyperlink" Target="https://ccrc.tc.columbia.edu/wp-content/uploads/2023/05/implementing-caring-campus-strategies.pdf" TargetMode="External"/><Relationship Id="rId14" Type="http://schemas.openxmlformats.org/officeDocument/2006/relationships/hyperlink" Target="https://www.pewresearch.org/politics/2010/10/06/possible-negatives-for-candidates-vote-for-bank-bailout-palin-support/" TargetMode="External"/><Relationship Id="rId30" Type="http://schemas.openxmlformats.org/officeDocument/2006/relationships/hyperlink" Target="https://www.lgraham.senate.gov/public/index.cfm/2020/3/graham-supports-cares-act-plans-to-revisit-unemployment-provision" TargetMode="External"/><Relationship Id="rId35" Type="http://schemas.openxmlformats.org/officeDocument/2006/relationships/hyperlink" Target="https://www.cbo.gov/publication/50923" TargetMode="External"/><Relationship Id="rId56" Type="http://schemas.openxmlformats.org/officeDocument/2006/relationships/hyperlink" Target="https://www.insidehighered.com/news/faculty-issues/academic-freedom/2024/09/24/penns-amy-wax-punished-statements-wont-lose-job" TargetMode="External"/><Relationship Id="rId77" Type="http://schemas.openxmlformats.org/officeDocument/2006/relationships/hyperlink" Target="https://www.pewresearch.org/politics/2024/06/24/americans-views-of-governments-role-persistent-divisions-and-areas-of-agreement/" TargetMode="External"/><Relationship Id="rId100" Type="http://schemas.openxmlformats.org/officeDocument/2006/relationships/hyperlink" Target="https://www.npr.org/2017/12/13/570387479/kansas-2012-tax-cut-experiment-could-serve-as-a-cautionary-tale" TargetMode="External"/><Relationship Id="rId105" Type="http://schemas.openxmlformats.org/officeDocument/2006/relationships/hyperlink" Target="https://doi.org/10.1037/0033-2909.133.1.1." TargetMode="External"/><Relationship Id="rId126" Type="http://schemas.openxmlformats.org/officeDocument/2006/relationships/hyperlink" Target="https://usafacts.org/articles/is-college-worth-it-the-price-of-college-is-rising-faster-than-wages-for-people-with-degrees/" TargetMode="External"/><Relationship Id="rId147" Type="http://schemas.openxmlformats.org/officeDocument/2006/relationships/hyperlink" Target="https://www.weforum.org/stories/2025/07/why-detecting-dangerous-ai-is-key-to-keeping-trust-alive/" TargetMode="External"/><Relationship Id="rId8" Type="http://schemas.openxmlformats.org/officeDocument/2006/relationships/hyperlink" Target="https://www.fbi.gov/history/famous-cases/bernie-madoff" TargetMode="External"/><Relationship Id="rId51" Type="http://schemas.openxmlformats.org/officeDocument/2006/relationships/hyperlink" Target="https://journals.sagepub.com/doi/10.1177/0002716208325122" TargetMode="External"/><Relationship Id="rId72" Type="http://schemas.openxmlformats.org/officeDocument/2006/relationships/hyperlink" Target="https://shef.sheeo.org/performance-based-funding-for-higher-education/" TargetMode="External"/><Relationship Id="rId93" Type="http://schemas.openxmlformats.org/officeDocument/2006/relationships/hyperlink" Target="https://www.npr.org/2022/11/29/1139342874/corporate-greed-and-the-inflation-mystery" TargetMode="External"/><Relationship Id="rId98" Type="http://schemas.openxmlformats.org/officeDocument/2006/relationships/hyperlink" Target="https://ourworldindata.org/extreme-poverty" TargetMode="External"/><Relationship Id="rId121" Type="http://schemas.openxmlformats.org/officeDocument/2006/relationships/hyperlink" Target="https://www.healthsystemtracker.org/brief/how-does-medical-inflation-compare-to-inflation-in-the-rest-of-the-economy/" TargetMode="External"/><Relationship Id="rId142" Type="http://schemas.openxmlformats.org/officeDocument/2006/relationships/hyperlink" Target="https://www.npr.org/2024/05/16/1251917136/ai-generated-articles-are-permeating-major-news-publications" TargetMode="External"/><Relationship Id="rId3" Type="http://schemas.openxmlformats.org/officeDocument/2006/relationships/hyperlink" Target="https://www.linkedin.com/pulse/20140625153150-45579967-are-you-paying-ignorance-tax-60-seconds-to-success-tips-72" TargetMode="External"/><Relationship Id="rId25" Type="http://schemas.openxmlformats.org/officeDocument/2006/relationships/hyperlink" Target="https://www.ccsse.org/docs/ptf_special_report.pdf" TargetMode="External"/><Relationship Id="rId46" Type="http://schemas.openxmlformats.org/officeDocument/2006/relationships/hyperlink" Target="https://www.propublica.org/article/how-the-red-cross-raised-half-a-billion-dollars-for-haiti-and-built-6-homes" TargetMode="External"/><Relationship Id="rId67" Type="http://schemas.openxmlformats.org/officeDocument/2006/relationships/hyperlink" Target="https://www.rand.org/pubs/research_reports/RR2840.html" TargetMode="External"/><Relationship Id="rId116" Type="http://schemas.openxmlformats.org/officeDocument/2006/relationships/hyperlink" Target="https://doi.org/10.1007/s11109-010-9112-2." TargetMode="External"/><Relationship Id="rId137" Type="http://schemas.openxmlformats.org/officeDocument/2006/relationships/hyperlink" Target="https://cepr.org/voxeu/columns/ai-misinformation-and-value-trusted-news" TargetMode="External"/><Relationship Id="rId20" Type="http://schemas.openxmlformats.org/officeDocument/2006/relationships/hyperlink" Target="https://cccse.org/culture-of-caring" TargetMode="External"/><Relationship Id="rId41" Type="http://schemas.openxmlformats.org/officeDocument/2006/relationships/hyperlink" Target="https://sacobserver.com/2025/08/newsoms-office-challenges-report-on-20-fast-food-wage-increase/" TargetMode="External"/><Relationship Id="rId62" Type="http://schemas.openxmlformats.org/officeDocument/2006/relationships/hyperlink" Target="https://doi.org/10.17645/pag.7764" TargetMode="External"/><Relationship Id="rId83" Type="http://schemas.openxmlformats.org/officeDocument/2006/relationships/hyperlink" Target="https://www.cbo.gov/publication/61172" TargetMode="External"/><Relationship Id="rId88" Type="http://schemas.openxmlformats.org/officeDocument/2006/relationships/hyperlink" Target="https://www.factcheck.org/2022/06/stimulus-spending-a-factor-but-far-from-whole-story-on-inflation/" TargetMode="External"/><Relationship Id="rId111" Type="http://schemas.openxmlformats.org/officeDocument/2006/relationships/hyperlink" Target="https://massivesci.com/articles/brain-political-beliefs-reaction-politics/" TargetMode="External"/><Relationship Id="rId132" Type="http://schemas.openxmlformats.org/officeDocument/2006/relationships/hyperlink" Target="https://www.cnn.com/2024/02/04/asia/deepfake-cfo-scam-hong-kong-intl-hnk/index.html" TargetMode="External"/><Relationship Id="rId15" Type="http://schemas.openxmlformats.org/officeDocument/2006/relationships/hyperlink" Target="https://pmc.ncbi.nlm.nih.gov/articles/PMC4682347/" TargetMode="External"/><Relationship Id="rId36" Type="http://schemas.openxmlformats.org/officeDocument/2006/relationships/hyperlink" Target="https://www.atlantafed.org/-/media/Project/Atlanta/FRBA/Documents/research/publication/discussion-paper/2023/09/26/01-a-case-study-mitigating-benefits-cliffs-in-the-district-of-columbia.pdf" TargetMode="External"/><Relationship Id="rId57" Type="http://schemas.openxmlformats.org/officeDocument/2006/relationships/hyperlink" Target="https://www.educationnext.org/james-coleman-the-equality-of-opportunity-study-and-school-choice/" TargetMode="External"/><Relationship Id="rId106" Type="http://schemas.openxmlformats.org/officeDocument/2006/relationships/hyperlink" Target="https://doi.org/10.1038/srep39589." TargetMode="External"/><Relationship Id="rId127" Type="http://schemas.openxmlformats.org/officeDocument/2006/relationships/hyperlink" Target="https://www.nature.com/articles/s41598-023-41032-5" TargetMode="External"/><Relationship Id="rId10" Type="http://schemas.openxmlformats.org/officeDocument/2006/relationships/hyperlink" Target="https://www.nytimes.com/2008/12/24/business/24madoff.html" TargetMode="External"/><Relationship Id="rId31" Type="http://schemas.openxmlformats.org/officeDocument/2006/relationships/hyperlink" Target="https://www.bostonglobe.com/2020/07/29/opinion/no-unemployment-benefits-do-not-discourage-work/" TargetMode="External"/><Relationship Id="rId52" Type="http://schemas.openxmlformats.org/officeDocument/2006/relationships/hyperlink" Target="https://www.educationnext.org/was-moynihan-right/" TargetMode="External"/><Relationship Id="rId73" Type="http://schemas.openxmlformats.org/officeDocument/2006/relationships/hyperlink" Target="https://www.ecs.org/paying-for-college-the-latest-trends-in-performance-based-funding/" TargetMode="External"/><Relationship Id="rId78" Type="http://schemas.openxmlformats.org/officeDocument/2006/relationships/hyperlink" Target="https://bipartisanpolicy.org/article/poll-use-of-federal-taxpayer-dollars/" TargetMode="External"/><Relationship Id="rId94" Type="http://schemas.openxmlformats.org/officeDocument/2006/relationships/hyperlink" Target="https://www.worldbank.org/en/topic/poverty/overview" TargetMode="External"/><Relationship Id="rId99" Type="http://schemas.openxmlformats.org/officeDocument/2006/relationships/hyperlink" Target="https://www.brookings.edu/articles/the-kansas-tax-cut-experiment/" TargetMode="External"/><Relationship Id="rId101" Type="http://schemas.openxmlformats.org/officeDocument/2006/relationships/hyperlink" Target="https://www.reuters.com/article/markets/us/sp-downgrades-kansas-in-another-blow-to-brownback-tax-cuts-idUSL2N0QC1MO/" TargetMode="External"/><Relationship Id="rId122" Type="http://schemas.openxmlformats.org/officeDocument/2006/relationships/hyperlink" Target="https://jamanetwork.com/journals/jamanetworkopen/fullarticle/2813927" TargetMode="External"/><Relationship Id="rId143" Type="http://schemas.openxmlformats.org/officeDocument/2006/relationships/hyperlink" Target="https://www.washingtonpost.com/media/2023/01/17/cnet-ai-articles-journalism-corrections/" TargetMode="External"/><Relationship Id="rId148" Type="http://schemas.openxmlformats.org/officeDocument/2006/relationships/hyperlink" Target="https://cacm.acm.org/research/as-good-as-a-coin-toss-human-detection-of-ai-generated-content" TargetMode="External"/><Relationship Id="rId4" Type="http://schemas.openxmlformats.org/officeDocument/2006/relationships/hyperlink" Target="https://history.house.gov/Institution/Party-Divisions/Party-Divisions/" TargetMode="External"/><Relationship Id="rId9" Type="http://schemas.openxmlformats.org/officeDocument/2006/relationships/hyperlink" Target="https://www.justice.gov/usao-sdny/page/file/1283421/dl?inline" TargetMode="External"/><Relationship Id="rId26" Type="http://schemas.openxmlformats.org/officeDocument/2006/relationships/hyperlink" Target="https://pmc.ncbi.nlm.nih.gov/articles/PMC81116/" TargetMode="External"/><Relationship Id="rId47" Type="http://schemas.openxmlformats.org/officeDocument/2006/relationships/hyperlink" Target="https://www.propublica.org/article/how-the-red-cross-raised-half-a-billion-dollars-for-haiti-and-built-6-homes" TargetMode="External"/><Relationship Id="rId68" Type="http://schemas.openxmlformats.org/officeDocument/2006/relationships/hyperlink" Target="https://ccrc.tc.columbia.edu/publications/public-funding-community-colleges.html" TargetMode="External"/><Relationship Id="rId89" Type="http://schemas.openxmlformats.org/officeDocument/2006/relationships/hyperlink" Target="https://www.politifact.com/factchecks/2022/apr/20/jane-timken/bidens-american-rescue-plan-fueled-inflation-so-di/" TargetMode="External"/><Relationship Id="rId112" Type="http://schemas.openxmlformats.org/officeDocument/2006/relationships/hyperlink" Target="https://doi.org/10.1177/0956797620902386." TargetMode="External"/><Relationship Id="rId133" Type="http://schemas.openxmlformats.org/officeDocument/2006/relationships/hyperlink" Target="https://www.ic3.gov/PSA/2024/PSA241203" TargetMode="External"/><Relationship Id="rId16" Type="http://schemas.openxmlformats.org/officeDocument/2006/relationships/hyperlink" Target="https://pmc.ncbi.nlm.nih.gov/articles/PMC6219622/" TargetMode="External"/><Relationship Id="rId37" Type="http://schemas.openxmlformats.org/officeDocument/2006/relationships/hyperlink" Target="https://doi.org/10.7936/5ykn-5z34" TargetMode="External"/><Relationship Id="rId58" Type="http://schemas.openxmlformats.org/officeDocument/2006/relationships/hyperlink" Target="https://www.rsfjournal.org/content/2/5/1" TargetMode="External"/><Relationship Id="rId79" Type="http://schemas.openxmlformats.org/officeDocument/2006/relationships/hyperlink" Target="https://news.gallup.com/opinion/polling-matters/652151/americans-stand-taxes.aspx" TargetMode="External"/><Relationship Id="rId102" Type="http://schemas.openxmlformats.org/officeDocument/2006/relationships/hyperlink" Target="https://taxfoundation.org/blog/kansas-experiment-kansas-tax-cuts-critique/" TargetMode="External"/><Relationship Id="rId123" Type="http://schemas.openxmlformats.org/officeDocument/2006/relationships/hyperlink" Target="https://www.kff.org/health-costs/press-release/new-analysis-of-large-employer-health-coverage-the-cost-to-families-for-health-coverage-and-care/" TargetMode="External"/><Relationship Id="rId144" Type="http://schemas.openxmlformats.org/officeDocument/2006/relationships/hyperlink" Target="https://www.weforum.org/publications/global-risks-report-2024/" TargetMode="External"/><Relationship Id="rId90" Type="http://schemas.openxmlformats.org/officeDocument/2006/relationships/hyperlink" Target="https://www.bls.gov/opub/ted/2019/consumer-prices-increase-1-point-8-percent-in-the-12-months-ending-october-2019.ht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w+3zaS+Q2VVLONxywckRnijw3Rg==">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</go:docsCustomData>
</go:gDocsCustomXmlDataStorage>
</file>

<file path=customXml/item2.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46E8869-F873-4F49-945D-320973BBE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7171</TotalTime>
  <Pages>335</Pages>
  <Words>81497</Words>
  <Characters>464535</Characters>
  <Application>Microsoft Office Word</Application>
  <DocSecurity>0</DocSecurity>
  <Lines>3871</Lines>
  <Paragraphs>1089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Reynolds</dc:creator>
  <dc:description/>
  <cp:lastModifiedBy>Jack Reynolds</cp:lastModifiedBy>
  <cp:revision>80</cp:revision>
  <dcterms:created xsi:type="dcterms:W3CDTF">2026-04-18T18:16:00Z</dcterms:created>
  <dcterms:modified xsi:type="dcterms:W3CDTF">2026-04-25T23:04:00Z</dcterms:modified>
  <dc:language>en-US</dc:language>
</cp:coreProperties>
</file>