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099" w:rsidRPr="00AA7099" w:rsidRDefault="00AA7099" w:rsidP="00AA7099">
      <w:pPr>
        <w:spacing w:before="200" w:after="100" w:line="240" w:lineRule="auto"/>
        <w:outlineLvl w:val="1"/>
        <w:rPr>
          <w:rFonts w:ascii="Arial" w:eastAsia="Arial" w:hAnsi="Arial" w:cs="Arial"/>
          <w:b/>
          <w:bCs/>
          <w:color w:val="1A3E6E"/>
          <w:sz w:val="24"/>
          <w:szCs w:val="24"/>
          <w:lang w:eastAsia="en-IN"/>
        </w:rPr>
      </w:pPr>
      <w:r>
        <w:rPr>
          <w:rFonts w:ascii="Arial" w:eastAsia="Arial" w:hAnsi="Arial" w:cs="Arial"/>
          <w:b/>
          <w:bCs/>
          <w:color w:val="1A3E6E"/>
          <w:sz w:val="24"/>
          <w:szCs w:val="24"/>
          <w:lang w:eastAsia="en-IN"/>
        </w:rPr>
        <w:t xml:space="preserve"> </w:t>
      </w:r>
      <w:r w:rsidRPr="00AA7099">
        <w:rPr>
          <w:rFonts w:ascii="Arial" w:eastAsia="Arial" w:hAnsi="Arial" w:cs="Arial"/>
          <w:b/>
          <w:bCs/>
          <w:color w:val="1A3E6E"/>
          <w:sz w:val="24"/>
          <w:szCs w:val="24"/>
          <w:lang w:eastAsia="en-IN"/>
        </w:rPr>
        <w:t>5</w:t>
      </w:r>
      <w:bookmarkStart w:id="0" w:name="_GoBack"/>
      <w:bookmarkEnd w:id="0"/>
      <w:r w:rsidRPr="00AA7099">
        <w:rPr>
          <w:rFonts w:ascii="Arial" w:eastAsia="Arial" w:hAnsi="Arial" w:cs="Arial"/>
          <w:b/>
          <w:bCs/>
          <w:color w:val="1A3E6E"/>
          <w:sz w:val="24"/>
          <w:szCs w:val="24"/>
          <w:lang w:eastAsia="en-IN"/>
        </w:rPr>
        <w:t>.1 Criterion Weight Perturbation</w:t>
      </w:r>
    </w:p>
    <w:p w:rsidR="00AA7099" w:rsidRPr="00AA7099" w:rsidRDefault="00AA7099" w:rsidP="00AA7099">
      <w:pPr>
        <w:spacing w:line="276" w:lineRule="auto"/>
        <w:jc w:val="both"/>
        <w:rPr>
          <w:rFonts w:ascii="Arial" w:eastAsia="Arial" w:hAnsi="Arial" w:cs="Arial"/>
          <w:lang w:eastAsia="en-IN"/>
        </w:rPr>
      </w:pPr>
      <w:r w:rsidRPr="00AA7099">
        <w:rPr>
          <w:rFonts w:ascii="Arial" w:eastAsia="Arial" w:hAnsi="Arial" w:cs="Arial"/>
          <w:lang w:eastAsia="en-IN"/>
        </w:rPr>
        <w:t>Fourteen perturbation scenarios were constructed by inflating each criterion weight by 20% while proportionally deflating the remaining weights. Eight additional scenarios examined ±40% perturbations of the four highest-weighted criteria. Spearman rank correlation coefficients and S3 first-rank retention across all 22 scenarios are summarised in Table 9.</w:t>
      </w:r>
    </w:p>
    <w:p w:rsidR="00AA7099" w:rsidRPr="00AA7099" w:rsidRDefault="00AA7099" w:rsidP="00AA7099">
      <w:pPr>
        <w:spacing w:after="80" w:line="240" w:lineRule="auto"/>
        <w:rPr>
          <w:rFonts w:ascii="Arial" w:eastAsia="Arial" w:hAnsi="Arial" w:cs="Arial"/>
          <w:lang w:eastAsia="en-IN"/>
        </w:rPr>
      </w:pPr>
    </w:p>
    <w:p w:rsidR="00AA7099" w:rsidRPr="00AA7099" w:rsidRDefault="00AA7099" w:rsidP="00AA7099">
      <w:pPr>
        <w:spacing w:before="200" w:after="80" w:line="240" w:lineRule="auto"/>
        <w:rPr>
          <w:rFonts w:ascii="Arial" w:eastAsia="Arial" w:hAnsi="Arial" w:cs="Arial"/>
          <w:lang w:eastAsia="en-IN"/>
        </w:rPr>
      </w:pPr>
      <w:r w:rsidRPr="00AA7099">
        <w:rPr>
          <w:rFonts w:ascii="Arial" w:eastAsia="Arial" w:hAnsi="Arial" w:cs="Arial"/>
          <w:b/>
          <w:bCs/>
          <w:sz w:val="20"/>
          <w:szCs w:val="20"/>
          <w:lang w:eastAsia="en-IN"/>
        </w:rPr>
        <w:t xml:space="preserve">Table 9. </w:t>
      </w:r>
      <w:r w:rsidRPr="00AA7099">
        <w:rPr>
          <w:rFonts w:ascii="Arial" w:eastAsia="Arial" w:hAnsi="Arial" w:cs="Arial"/>
          <w:sz w:val="20"/>
          <w:szCs w:val="20"/>
          <w:lang w:eastAsia="en-IN"/>
        </w:rPr>
        <w:t>Criterion weight perturbation sensitivity analysis: Spearman correlations and rank-1 stability.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08"/>
        <w:gridCol w:w="1760"/>
        <w:gridCol w:w="880"/>
        <w:gridCol w:w="1132"/>
        <w:gridCol w:w="1498"/>
        <w:gridCol w:w="1006"/>
        <w:gridCol w:w="1542"/>
      </w:tblGrid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6" w:space="0" w:color="1A3E6E"/>
              <w:left w:val="single" w:sz="6" w:space="0" w:color="1A3E6E"/>
              <w:bottom w:val="single" w:sz="6" w:space="0" w:color="1A3E6E"/>
              <w:right w:val="single" w:sz="6" w:space="0" w:color="1A3E6E"/>
            </w:tcBorders>
            <w:shd w:val="clear" w:color="auto" w:fill="1A3E6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>Scenario</w:t>
            </w:r>
          </w:p>
        </w:tc>
        <w:tc>
          <w:tcPr>
            <w:tcW w:w="1400" w:type="dxa"/>
            <w:tcBorders>
              <w:top w:val="single" w:sz="6" w:space="0" w:color="1A3E6E"/>
              <w:left w:val="single" w:sz="6" w:space="0" w:color="1A3E6E"/>
              <w:bottom w:val="single" w:sz="6" w:space="0" w:color="1A3E6E"/>
              <w:right w:val="single" w:sz="6" w:space="0" w:color="1A3E6E"/>
            </w:tcBorders>
            <w:shd w:val="clear" w:color="auto" w:fill="1A3E6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>Criterion Perturbed</w:t>
            </w:r>
          </w:p>
        </w:tc>
        <w:tc>
          <w:tcPr>
            <w:tcW w:w="700" w:type="dxa"/>
            <w:tcBorders>
              <w:top w:val="single" w:sz="6" w:space="0" w:color="1A3E6E"/>
              <w:left w:val="single" w:sz="6" w:space="0" w:color="1A3E6E"/>
              <w:bottom w:val="single" w:sz="6" w:space="0" w:color="1A3E6E"/>
              <w:right w:val="single" w:sz="6" w:space="0" w:color="1A3E6E"/>
            </w:tcBorders>
            <w:shd w:val="clear" w:color="auto" w:fill="1A3E6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proofErr w:type="spellStart"/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>Δw</w:t>
            </w:r>
            <w:proofErr w:type="spellEnd"/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 xml:space="preserve"> (%)</w:t>
            </w:r>
          </w:p>
        </w:tc>
        <w:tc>
          <w:tcPr>
            <w:tcW w:w="900" w:type="dxa"/>
            <w:tcBorders>
              <w:top w:val="single" w:sz="6" w:space="0" w:color="1A3E6E"/>
              <w:left w:val="single" w:sz="6" w:space="0" w:color="1A3E6E"/>
              <w:bottom w:val="single" w:sz="6" w:space="0" w:color="1A3E6E"/>
              <w:right w:val="single" w:sz="6" w:space="0" w:color="1A3E6E"/>
            </w:tcBorders>
            <w:shd w:val="clear" w:color="auto" w:fill="1A3E6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>New w</w:t>
            </w:r>
            <w:r w:rsidRPr="00AA7099">
              <w:rPr>
                <w:rFonts w:ascii="Cambria Math" w:eastAsia="Arial" w:hAnsi="Cambria Math" w:cs="Cambria Math"/>
                <w:b/>
                <w:bCs/>
                <w:color w:val="FFFFFF"/>
                <w:sz w:val="18"/>
                <w:szCs w:val="18"/>
                <w:lang w:eastAsia="en-IN"/>
              </w:rPr>
              <w:t>ₖ</w:t>
            </w:r>
          </w:p>
        </w:tc>
        <w:tc>
          <w:tcPr>
            <w:tcW w:w="1000" w:type="dxa"/>
            <w:tcBorders>
              <w:top w:val="single" w:sz="6" w:space="0" w:color="1A3E6E"/>
              <w:left w:val="single" w:sz="6" w:space="0" w:color="1A3E6E"/>
              <w:bottom w:val="single" w:sz="6" w:space="0" w:color="1A3E6E"/>
              <w:right w:val="single" w:sz="6" w:space="0" w:color="1A3E6E"/>
            </w:tcBorders>
            <w:shd w:val="clear" w:color="auto" w:fill="1A3E6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>ρ (Spearman)</w:t>
            </w:r>
          </w:p>
        </w:tc>
        <w:tc>
          <w:tcPr>
            <w:tcW w:w="800" w:type="dxa"/>
            <w:tcBorders>
              <w:top w:val="single" w:sz="6" w:space="0" w:color="1A3E6E"/>
              <w:left w:val="single" w:sz="6" w:space="0" w:color="1A3E6E"/>
              <w:bottom w:val="single" w:sz="6" w:space="0" w:color="1A3E6E"/>
              <w:right w:val="single" w:sz="6" w:space="0" w:color="1A3E6E"/>
            </w:tcBorders>
            <w:shd w:val="clear" w:color="auto" w:fill="1A3E6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>S3 Top?</w:t>
            </w:r>
          </w:p>
        </w:tc>
        <w:tc>
          <w:tcPr>
            <w:tcW w:w="1226" w:type="dxa"/>
            <w:tcBorders>
              <w:top w:val="single" w:sz="6" w:space="0" w:color="1A3E6E"/>
              <w:left w:val="single" w:sz="6" w:space="0" w:color="1A3E6E"/>
              <w:bottom w:val="single" w:sz="6" w:space="0" w:color="1A3E6E"/>
              <w:right w:val="single" w:sz="6" w:space="0" w:color="1A3E6E"/>
            </w:tcBorders>
            <w:shd w:val="clear" w:color="auto" w:fill="1A3E6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  <w:lang w:eastAsia="en-IN"/>
              </w:rPr>
              <w:t>Next-Best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SC-01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C5 — SDRT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0.1102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0.9714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SC-02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C12 — RCM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0.1110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0.9681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SC-03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C14 — SCVS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0.1040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0.9728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SC-04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 — OTDR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0.1073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0.9655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SC-05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C13 — DIL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0.1044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0.9607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SC-06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C4 — QDR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0.0999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0.9543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SC-07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C3 — LTV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0.0913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0.9572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SC-08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C9 — CEI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0.0710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0.9621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SC-09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C11 — CEP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+20%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0.0578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0.9589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SC-10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C5 — SDRT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+40%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0.1285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0.9313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SC-11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C5 — SDRT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−40%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0.0551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0.9087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S9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SC-12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C12 — RCM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+40%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0.1295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0.9241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SC-13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C14 — SCVS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−40%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0.0520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0.9188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4F6F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S9</w:t>
            </w:r>
          </w:p>
        </w:tc>
      </w:tr>
      <w:tr w:rsidR="00AA7099" w:rsidRPr="00AA7099" w:rsidTr="0044193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SC-14</w:t>
            </w:r>
          </w:p>
        </w:tc>
        <w:tc>
          <w:tcPr>
            <w:tcW w:w="14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C1 — OTDR</w:t>
            </w:r>
          </w:p>
        </w:tc>
        <w:tc>
          <w:tcPr>
            <w:tcW w:w="7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−40%</w:t>
            </w:r>
          </w:p>
        </w:tc>
        <w:tc>
          <w:tcPr>
            <w:tcW w:w="9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0.0536</w:t>
            </w:r>
          </w:p>
        </w:tc>
        <w:tc>
          <w:tcPr>
            <w:tcW w:w="10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0.9312</w:t>
            </w:r>
          </w:p>
        </w:tc>
        <w:tc>
          <w:tcPr>
            <w:tcW w:w="800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b/>
                <w:bCs/>
                <w:sz w:val="17"/>
                <w:szCs w:val="17"/>
                <w:lang w:eastAsia="en-IN"/>
              </w:rPr>
              <w:t>Yes</w:t>
            </w:r>
          </w:p>
        </w:tc>
        <w:tc>
          <w:tcPr>
            <w:tcW w:w="1226" w:type="dxa"/>
            <w:tcBorders>
              <w:top w:val="single" w:sz="4" w:space="0" w:color="2E75B6"/>
              <w:left w:val="single" w:sz="4" w:space="0" w:color="2E75B6"/>
              <w:bottom w:val="single" w:sz="4" w:space="0" w:color="2E75B6"/>
              <w:right w:val="single" w:sz="4" w:space="0" w:color="2E75B6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A7099" w:rsidRPr="00AA7099" w:rsidRDefault="00AA7099" w:rsidP="00AA7099">
            <w:pPr>
              <w:spacing w:after="0" w:line="240" w:lineRule="auto"/>
              <w:jc w:val="center"/>
              <w:rPr>
                <w:rFonts w:ascii="Arial" w:eastAsia="Arial" w:hAnsi="Arial" w:cs="Arial"/>
                <w:lang w:eastAsia="en-IN"/>
              </w:rPr>
            </w:pPr>
            <w:r w:rsidRPr="00AA7099">
              <w:rPr>
                <w:rFonts w:ascii="Arial" w:eastAsia="Arial" w:hAnsi="Arial" w:cs="Arial"/>
                <w:sz w:val="17"/>
                <w:szCs w:val="17"/>
                <w:lang w:eastAsia="en-IN"/>
              </w:rPr>
              <w:t>S2</w:t>
            </w:r>
          </w:p>
        </w:tc>
      </w:tr>
    </w:tbl>
    <w:p w:rsidR="00AA7099" w:rsidRPr="00AA7099" w:rsidRDefault="00AA7099" w:rsidP="00AA7099">
      <w:pPr>
        <w:spacing w:after="80" w:line="240" w:lineRule="auto"/>
        <w:rPr>
          <w:rFonts w:ascii="Arial" w:eastAsia="Arial" w:hAnsi="Arial" w:cs="Arial"/>
          <w:lang w:eastAsia="en-IN"/>
        </w:rPr>
      </w:pPr>
    </w:p>
    <w:p w:rsidR="00AA7099" w:rsidRPr="00AA7099" w:rsidRDefault="00AA7099" w:rsidP="00AA7099">
      <w:pPr>
        <w:spacing w:line="276" w:lineRule="auto"/>
        <w:jc w:val="both"/>
        <w:rPr>
          <w:rFonts w:ascii="Arial" w:eastAsia="Arial" w:hAnsi="Arial" w:cs="Arial"/>
          <w:lang w:eastAsia="en-IN"/>
        </w:rPr>
      </w:pPr>
      <w:r w:rsidRPr="00AA7099">
        <w:rPr>
          <w:rFonts w:ascii="Arial" w:eastAsia="Arial" w:hAnsi="Arial" w:cs="Arial"/>
          <w:lang w:eastAsia="en-IN"/>
        </w:rPr>
        <w:t>All 14 perturbation scenarios yield Spearman rank correlations ρ &gt; 0.90, and S3 retains first rank across all scenarios without exception. The minimum correlation observed (ρ = 0.9087, SC-11) corresponds to the most extreme ±40% perturbation of SDRT, confirming that even substantial weighting shifts do not destabilise the compromise ranking.</w:t>
      </w:r>
    </w:p>
    <w:p w:rsidR="00A2206C" w:rsidRDefault="00A2206C"/>
    <w:sectPr w:rsidR="00A22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D"/>
    <w:rsid w:val="007C2A2D"/>
    <w:rsid w:val="00A2206C"/>
    <w:rsid w:val="00AA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731C5"/>
  <w15:chartTrackingRefBased/>
  <w15:docId w15:val="{7B1679BE-FA46-40FB-AC6D-17E1A5DB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</dc:creator>
  <cp:keywords/>
  <dc:description/>
  <cp:lastModifiedBy>glau</cp:lastModifiedBy>
  <cp:revision>2</cp:revision>
  <dcterms:created xsi:type="dcterms:W3CDTF">2026-05-04T05:18:00Z</dcterms:created>
  <dcterms:modified xsi:type="dcterms:W3CDTF">2026-05-04T05:18:00Z</dcterms:modified>
</cp:coreProperties>
</file>