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eastAsia="Arial"/>
          <w:b/>
          <w:color w:val="1F4E79"/>
          <w:sz w:val="40"/>
        </w:rPr>
        <w:t>The Time Demand of Clinical Documentation</w:t>
      </w:r>
    </w:p>
    <w:p>
      <w:pPr>
        <w:jc w:val="center"/>
      </w:pPr>
      <w:r>
        <w:rPr>
          <w:rFonts w:ascii="Arial" w:hAnsi="Arial" w:eastAsia="Arial"/>
          <w:i/>
          <w:sz w:val="24"/>
        </w:rPr>
        <w:t>A Consolidated Evidence Document for the Time Documentation Model</w:t>
      </w:r>
    </w:p>
    <w:p>
      <w:pPr>
        <w:jc w:val="center"/>
      </w:pPr>
      <w:r>
        <w:rPr>
          <w:i/>
          <w:sz w:val="18"/>
        </w:rPr>
        <w:t>Prepared from the evidence excerpts and reference lists supplied in the working draft conversation.</w:t>
      </w:r>
    </w:p>
    <w:p/>
    <w:p>
      <w:pPr>
        <w:pStyle w:val="Heading1"/>
      </w:pPr>
      <w:r>
        <w:t>Purpose and Scope</w:t>
      </w:r>
    </w:p>
    <w:p>
      <w:r>
        <w:t>This document consolidates the evidence assembled for the Time documentation model into a single source document. Its purpose is to make explicit how the model was built: which empirical findings support the assumptions, where evidence is strong, where evidence is indirect, and where local validation is required. The document is organized around the central premise of the writing framework: the clinical note is not merely a storage object or a billing artifact. It is a clinical communication, a record of reasoning, and a downstream data object. Therefore, the relevant operational question is not simply how long it takes to sign a note. The relevant question is how much protected time a physician needs to create a note that is accurate, adequate for the task, useful to the next reader, practically actionable, timely, and safe for downstream reuse.</w:t>
      </w:r>
    </w:p>
    <w:p>
      <w:r>
        <w:t>The evidence is intentionally presented as an integrated narrative rather than as disconnected abstracts. In-text citations use Chicago author-date style, and the references are collected at the end in Chicago-style bibliography format. Bibliographic details should be verified before journal submission, particularly for very recent and forthcoming publications.</w:t>
      </w:r>
    </w:p>
    <w:p>
      <w:pPr>
        <w:pStyle w:val="Heading1"/>
      </w:pPr>
      <w:r>
        <w:t>Core Definitions Used in the Model</w:t>
      </w:r>
    </w:p>
    <w:p>
      <w:r>
        <w:t>The model distinguishes documentation production from clinical writing. Documentation production includes assembling structured fields, importing laboratory data, updating templated sections, satisfying billing requirements, and signing a note. Clinical writing is the cognitive work of making a clinician’s judgment visible on the page. It includes stating the working diagnosis, articulating uncertainty, prioritizing problems, explaining the reason for action or inaction, naming important agents, specifying triggers, and handing a usable record to the next reader.</w:t>
      </w:r>
    </w:p>
    <w:p>
      <w:r>
        <w:t>The model defines a high-quality note as a signed clinical document that is timely, accurate, adequate for its task, clinically useful, practically actionable, concise enough to be read, and safe for downstream reuse. Accuracy is the floor: the note must be true to the encounter and the record. Adequacy means the note contains enough content for its purpose, without equating completeness with length. Usefulness means the note reduces the cognitive work of the next reader. Practical actionability means that the next reader can understand what should happen next, what should change the plan, and who is responsible. Timeliness means that the note is available within the clinical window in which it can still affect care.</w:t>
      </w:r>
    </w:p>
    <w:p>
      <w:r>
        <w:t>This conceptual foundation matters because the time required for a note cannot be interpreted apart from the task the note is supposed to perform. A short note can be excellent if it contains the right reasoning for a low-risk encounter. A long note can be poor if the plan is hidden inside copied-forward data. A delayed note can be signed but no longer useful for same-day decision-making. A note drafted by AI or a template can be fluent yet fail if the physician has not verified accuracy, supplied reasoning, and accepted authorship.</w:t>
      </w:r>
    </w:p>
    <w:p>
      <w:pPr>
        <w:pStyle w:val="Heading1"/>
      </w:pPr>
      <w:r>
        <w:t>1. The Scope of the Documentation Burden</w:t>
      </w:r>
    </w:p>
    <w:p>
      <w:r>
        <w:t>A substantial body of literature from the past decade shows that physicians devote a large share of their workday to EHR-related tasks, and that documentation is a major component of this burden. In a landmark time-and-motion study of ambulatory physicians, Sinsky and colleagues found that for every hour of direct clinical face time, physicians spent nearly two additional hours on EHR and desk work, with another one to two hours of personal time each evening devoted to after-hours charting (Sinsky et al. 2016). This finding established the modern concept of documentation burden as not only a workflow issue but also an intrusion into physicians’ personal time.</w:t>
      </w:r>
    </w:p>
    <w:p>
      <w:r>
        <w:t>Overhage and McCallie analyzed EHR use for approximately 155,000 physicians across 100 million outpatient encounters. They found an average of 16 minutes and 14 seconds of EHR time per encounter. Documentation accounted for approximately 24 percent of this time, while chart review accounted for 33 percent and ordering accounted for 17 percent (Overhage and McCallie 2020). This distinction is important for modeling because total EHR time is not the same as note-writing time; chart review, order entry, inbox work, and administrative tasks are related to documentation but should not be treated as equivalent to the act of composing or editing the note.</w:t>
      </w:r>
    </w:p>
    <w:p>
      <w:r>
        <w:t>In the inpatient setting, objective EHR data show that physicians spend a large fraction of the workday in the medical record. Verma and colleagues measured EHR use among 248 inpatient physicians in a large community hospital and found that inpatient physicians averaged approximately 3.8 hours per day in the EHR, representing roughly 37 to 40 percent of the workday. Interns spent the most time in the EHR, approximately 45 percent of their day. Documentation accounted for about 28 percent of EHR time, while chart review accounted for 38 percent, orders for 17 percent, and other tasks for 17 percent (Verma et al. 2020). When applied to average inpatient EHR time, this implies approximately 64 minutes per day of documentation-specific time, but it does not yield a clean minutes-per-note estimate.</w:t>
      </w:r>
    </w:p>
    <w:p>
      <w:r>
        <w:t>The iCOMPARE time-motion study offers a complementary view of inpatient training environments. Chaiyachati and colleagues observed 80 internal medicine interns across six programs and found that interns spent a mean of 10.3 hours per 24-hour period interacting with the medical record or documenting, representing 43 percent of the entire day, while direct patient care occupied only 3.0 hours, or 13 percent (Chaiyachati et al. 2019). This finding captures the scale of the inpatient documentation burden but, like most inpatient data, does not isolate the time required to write an individual progress note, admission H&amp;P, consult note, or discharge summary.</w:t>
      </w:r>
    </w:p>
    <w:p>
      <w:r>
        <w:t>Resident self-report reinforces the same pattern. Oxentenko and colleagues surveyed internal medicine residents and program directors and found that 67.9 percent of residents reported spending more than four hours daily on documentation, whereas only 38.9 percent reported spending that much time in direct patient contact (Oxentenko et al. 2010). Although this study predates the current state of EHR optimization, it remains relevant because it shows that documentation workload has long been a dominant component of inpatient training.</w:t>
      </w:r>
    </w:p>
    <w:p>
      <w:pPr>
        <w:pStyle w:val="Heading1"/>
      </w:pPr>
      <w:r>
        <w:t>2. Outpatient Documentation Time</w:t>
      </w:r>
    </w:p>
    <w:p>
      <w:r>
        <w:t>Outpatient documentation is better studied than inpatient documentation. National EHR-log studies provide more direct estimates of time in notes per visit, note closure patterns, and after-hours work. The key operational insight is that outpatient documentation can be modeled as a flow and backlog problem. Unlike inpatient progress notes, which lose clinical value if they are unavailable during the same-day decision cycle, outpatient notes can often be sequenced after the encounter. However, the flexibility is not unlimited. Delayed outpatient documentation can increase after-hours work, memory reconstruction, copy-forward reliance, rework, and burnout.</w:t>
      </w:r>
    </w:p>
    <w:p>
      <w:r>
        <w:t>Apathy, Rotenstein, Bates, and Holmgren examined documentation dynamics among 203,728 ambulatory physicians and reported that the national average time in notes was approximately 9.1 minutes per visit. Median-decile physicians spent about 8.1 minutes per visit in notes, while physicians in the top decile spent 14.8 minutes. Same-day visit closure averaged approximately 72 percent nationally. Primary care physicians closed 76.5 percent of visits on the same day, medical specialists closed 66.8 percent, and surgical specialists closed 74.5 percent. Physicians writing the longest notes closed fewer visits on the same day and spent more after-hours time per visit (Apathy et al. 2023).</w:t>
      </w:r>
    </w:p>
    <w:p>
      <w:r>
        <w:rPr>
          <w:rFonts w:ascii="Arial" w:hAnsi="Arial" w:eastAsia="Arial"/>
          <w:sz w:val="20"/>
        </w:rPr>
        <w:t>The same ambulatory documentation work showed a dose-response relationship between note length and burden. Physicians writing the longest notes had lower same-day closure rates, approximately 64 to 65 percent, compared with roughly 72 to 74 percent among physicians with shorter or median-length notes. Long-note physicians spent more than twice as much time per note, roughly 15 minutes versus 6 minutes, and more after-hours time per visit. In the initial evidence synthesis, physicians in the highest note-length decile spent approximately 7.3 minutes of after-hours time per visit compared with 3.3 minutes among those with the shortest notes (Apathy et al. 2023).</w:t>
      </w:r>
    </w:p>
    <w:p>
      <w:r>
        <w:t>Specialty variation is substantial. In the same documentation dynamics work, medical specialists spent approximately 11.6 minutes per visit in notes and had the longest notes, averaging 6,129 characters. Surgical specialists spent approximately 5.5 minutes per visit in notes and had shorter notes, averaging 3,752 characters (Apathy et al. 2023). This variation argues against a single universal benchmark for outpatient notes. The benchmark must account for specialty, visit type, complexity, and note purpose.</w:t>
      </w:r>
    </w:p>
    <w:p>
      <w:r>
        <w:t>Primary care appears especially burdensome because documentation occurs alongside panel management, inbox work, and longitudinal coordination. Young and colleagues performed a time-motion study of primary care physicians and found that total work per visit, including all activities, was approximately 35.8 minutes; after-hours EHR work averaged 6.9 minutes per visit (Young et al. 2018). Arndt and colleagues similarly described primary care physicians as tethered to the EHR, with EHR logs and time-motion observations showing substantial work outside scheduled visit time (Arndt et al. 2017). Rotenstein and colleagues later reported that full-time primary care physicians worked a median of 61.8 hours per week for patient care and panel management, underscoring that visit-based documentation underestimates the total cognitive and administrative workload of outpatient practice (Rotenstein et al. 2025).</w:t>
      </w:r>
    </w:p>
    <w:p>
      <w:r>
        <w:t>Telehealth appears to add documentation burden. Holmgren and colleagues found that the expansion of telemedicine was associated with increased physician EHR use, including approximately 0.8 to 1.6 additional hours of documentation time per eight patient-scheduled hours compared with all-face-to-face weeks, and approximately 0.4 to 0.7 additional hours after hours (Holmgren et al. 2023). Apathy and colleagues found that mixed telehealth and in-person primary care days added approximately 4.7 minutes of documentation time, suggesting that modality mixing itself may create workflow inefficiency (Apathy et al. 2024).</w:t>
      </w:r>
    </w:p>
    <w:p>
      <w:r>
        <w:rPr>
          <w:rFonts w:ascii="Arial" w:hAnsi="Arial" w:eastAsia="Arial"/>
          <w:sz w:val="20"/>
        </w:rPr>
        <w:t>Preferences also shape the burden of documentation. Apathy, Hartman-Hall, Tran, and colleagues found that completing clinical documentation after clinic hours at home was rated the most burdensome scenario by 52.8 percent of physicians, and that preferences partially mediated the relationship between after-hours documentation time and burnout (Apathy et al. 2024). This supports the model’s treatment of pajama time as a quality and workforce signal rather than a neutral scheduling choice.</w:t>
      </w:r>
    </w:p>
    <w:p>
      <w:r>
        <w:t>Older work on visit intensity remains useful for complexity adjustment. Lasker and Marquis found that total work was 23 percent greater for new patients than for established patients in visits of equal duration, and 30 percent greater for initial versus follow-up hospital visits (Lasker and Marquis 1999). Although the study predates modern EHRs, the finding supports a general modeling principle: new encounters and initial evaluations require more cognitive and documentation work than follow-up encounters of the same scheduled duration.</w:t>
      </w:r>
    </w:p>
    <w:tbl>
      <w:tblPr>
        <w:tblStyle w:val="TableGrid"/>
        <w:tblW w:type="auto" w:w="0"/>
        <w:jc w:val="center"/>
        <w:tblLayout w:type="autofit"/>
        <w:tblLook w:firstColumn="1" w:firstRow="1" w:lastColumn="0" w:lastRow="0" w:noHBand="0" w:noVBand="1" w:val="04A0"/>
      </w:tblPr>
      <w:tblGrid>
        <w:gridCol w:w="3360"/>
        <w:gridCol w:w="3360"/>
        <w:gridCol w:w="3360"/>
      </w:tblGrid>
      <w:tr>
        <w:tc>
          <w:tcPr>
            <w:tcW w:type="dxa" w:w="3360"/>
            <w:shd w:fill="D9EAF7"/>
            <w:vAlign w:val="center"/>
          </w:tcPr>
          <w:p>
            <w:pPr>
              <w:spacing w:after="0"/>
            </w:pPr>
            <w:r/>
            <w:r>
              <w:rPr>
                <w:rFonts w:ascii="Arial" w:hAnsi="Arial" w:eastAsia="Arial"/>
                <w:b/>
                <w:sz w:val="17"/>
              </w:rPr>
              <w:t>Outpatient note or visit type</w:t>
            </w:r>
          </w:p>
        </w:tc>
        <w:tc>
          <w:tcPr>
            <w:tcW w:type="dxa" w:w="3360"/>
            <w:shd w:fill="D9EAF7"/>
            <w:vAlign w:val="center"/>
          </w:tcPr>
          <w:p>
            <w:pPr>
              <w:spacing w:after="0"/>
            </w:pPr>
            <w:r/>
            <w:r>
              <w:rPr>
                <w:rFonts w:ascii="Arial" w:hAnsi="Arial" w:eastAsia="Arial"/>
                <w:b/>
                <w:sz w:val="17"/>
              </w:rPr>
              <w:t>Evidence-informed planning assumption</w:t>
            </w:r>
          </w:p>
        </w:tc>
        <w:tc>
          <w:tcPr>
            <w:tcW w:type="dxa" w:w="3360"/>
            <w:shd w:fill="D9EAF7"/>
            <w:vAlign w:val="center"/>
          </w:tcPr>
          <w:p>
            <w:pPr>
              <w:spacing w:after="0"/>
            </w:pPr>
            <w:r/>
            <w:r>
              <w:rPr>
                <w:rFonts w:ascii="Arial" w:hAnsi="Arial" w:eastAsia="Arial"/>
                <w:b/>
                <w:sz w:val="17"/>
              </w:rPr>
              <w:t>Completion standard used in the model</w:t>
            </w:r>
          </w:p>
        </w:tc>
      </w:tr>
      <w:tr>
        <w:tc>
          <w:tcPr>
            <w:tcW w:type="dxa" w:w="3360"/>
            <w:vAlign w:val="top"/>
          </w:tcPr>
          <w:p>
            <w:pPr>
              <w:spacing w:after="0"/>
            </w:pPr>
            <w:r/>
            <w:r>
              <w:rPr>
                <w:rFonts w:ascii="Arial" w:hAnsi="Arial" w:eastAsia="Arial"/>
                <w:b w:val="0"/>
                <w:sz w:val="17"/>
              </w:rPr>
              <w:t>Simple follow-up</w:t>
            </w:r>
          </w:p>
        </w:tc>
        <w:tc>
          <w:tcPr>
            <w:tcW w:type="dxa" w:w="3360"/>
            <w:vAlign w:val="top"/>
          </w:tcPr>
          <w:p>
            <w:pPr>
              <w:spacing w:after="0"/>
            </w:pPr>
            <w:r/>
            <w:r>
              <w:rPr>
                <w:rFonts w:ascii="Arial" w:hAnsi="Arial" w:eastAsia="Arial"/>
                <w:b w:val="0"/>
                <w:sz w:val="17"/>
              </w:rPr>
              <w:t>P50 about 5 min; P75 about 8 min; P90 about 12 min</w:t>
            </w:r>
          </w:p>
        </w:tc>
        <w:tc>
          <w:tcPr>
            <w:tcW w:type="dxa" w:w="3360"/>
            <w:vAlign w:val="top"/>
          </w:tcPr>
          <w:p>
            <w:pPr>
              <w:spacing w:after="0"/>
            </w:pPr>
            <w:r/>
            <w:r>
              <w:rPr>
                <w:rFonts w:ascii="Arial" w:hAnsi="Arial" w:eastAsia="Arial"/>
                <w:b w:val="0"/>
                <w:sz w:val="17"/>
              </w:rPr>
              <w:t>Within 24-48 h when low risk</w:t>
            </w:r>
          </w:p>
        </w:tc>
      </w:tr>
      <w:tr>
        <w:tc>
          <w:tcPr>
            <w:tcW w:type="dxa" w:w="3360"/>
            <w:vAlign w:val="top"/>
          </w:tcPr>
          <w:p>
            <w:pPr>
              <w:spacing w:after="0"/>
            </w:pPr>
            <w:r/>
            <w:r>
              <w:rPr>
                <w:rFonts w:ascii="Arial" w:hAnsi="Arial" w:eastAsia="Arial"/>
                <w:b w:val="0"/>
                <w:sz w:val="17"/>
              </w:rPr>
              <w:t>Standard return visit</w:t>
            </w:r>
          </w:p>
        </w:tc>
        <w:tc>
          <w:tcPr>
            <w:tcW w:type="dxa" w:w="3360"/>
            <w:vAlign w:val="top"/>
          </w:tcPr>
          <w:p>
            <w:pPr>
              <w:spacing w:after="0"/>
            </w:pPr>
            <w:r/>
            <w:r>
              <w:rPr>
                <w:rFonts w:ascii="Arial" w:hAnsi="Arial" w:eastAsia="Arial"/>
                <w:b w:val="0"/>
                <w:sz w:val="17"/>
              </w:rPr>
              <w:t>P50 about 9 min; P75 about 12 min; P90 about 18 min</w:t>
            </w:r>
          </w:p>
        </w:tc>
        <w:tc>
          <w:tcPr>
            <w:tcW w:type="dxa" w:w="3360"/>
            <w:vAlign w:val="top"/>
          </w:tcPr>
          <w:p>
            <w:pPr>
              <w:spacing w:after="0"/>
            </w:pPr>
            <w:r/>
            <w:r>
              <w:rPr>
                <w:rFonts w:ascii="Arial" w:hAnsi="Arial" w:eastAsia="Arial"/>
                <w:b w:val="0"/>
                <w:sz w:val="17"/>
              </w:rPr>
              <w:t>Within 24 h</w:t>
            </w:r>
          </w:p>
        </w:tc>
      </w:tr>
      <w:tr>
        <w:tc>
          <w:tcPr>
            <w:tcW w:type="dxa" w:w="3360"/>
            <w:vAlign w:val="top"/>
          </w:tcPr>
          <w:p>
            <w:pPr>
              <w:spacing w:after="0"/>
            </w:pPr>
            <w:r/>
            <w:r>
              <w:rPr>
                <w:rFonts w:ascii="Arial" w:hAnsi="Arial" w:eastAsia="Arial"/>
                <w:b w:val="0"/>
                <w:sz w:val="17"/>
              </w:rPr>
              <w:t>Complex return visit</w:t>
            </w:r>
          </w:p>
        </w:tc>
        <w:tc>
          <w:tcPr>
            <w:tcW w:type="dxa" w:w="3360"/>
            <w:vAlign w:val="top"/>
          </w:tcPr>
          <w:p>
            <w:pPr>
              <w:spacing w:after="0"/>
            </w:pPr>
            <w:r/>
            <w:r>
              <w:rPr>
                <w:rFonts w:ascii="Arial" w:hAnsi="Arial" w:eastAsia="Arial"/>
                <w:b w:val="0"/>
                <w:sz w:val="17"/>
              </w:rPr>
              <w:t>P50 about 15 min; P75 about 25 min; P90 about 35 min</w:t>
            </w:r>
          </w:p>
        </w:tc>
        <w:tc>
          <w:tcPr>
            <w:tcW w:type="dxa" w:w="3360"/>
            <w:vAlign w:val="top"/>
          </w:tcPr>
          <w:p>
            <w:pPr>
              <w:spacing w:after="0"/>
            </w:pPr>
            <w:r/>
            <w:r>
              <w:rPr>
                <w:rFonts w:ascii="Arial" w:hAnsi="Arial" w:eastAsia="Arial"/>
                <w:b w:val="0"/>
                <w:sz w:val="17"/>
              </w:rPr>
              <w:t>Same day to 24 h</w:t>
            </w:r>
          </w:p>
        </w:tc>
      </w:tr>
      <w:tr>
        <w:tc>
          <w:tcPr>
            <w:tcW w:type="dxa" w:w="3360"/>
            <w:vAlign w:val="top"/>
          </w:tcPr>
          <w:p>
            <w:pPr>
              <w:spacing w:after="0"/>
            </w:pPr>
            <w:r/>
            <w:r>
              <w:rPr>
                <w:rFonts w:ascii="Arial" w:hAnsi="Arial" w:eastAsia="Arial"/>
                <w:b w:val="0"/>
                <w:sz w:val="17"/>
              </w:rPr>
              <w:t>New patient visit</w:t>
            </w:r>
          </w:p>
        </w:tc>
        <w:tc>
          <w:tcPr>
            <w:tcW w:type="dxa" w:w="3360"/>
            <w:vAlign w:val="top"/>
          </w:tcPr>
          <w:p>
            <w:pPr>
              <w:spacing w:after="0"/>
            </w:pPr>
            <w:r/>
            <w:r>
              <w:rPr>
                <w:rFonts w:ascii="Arial" w:hAnsi="Arial" w:eastAsia="Arial"/>
                <w:b w:val="0"/>
                <w:sz w:val="17"/>
              </w:rPr>
              <w:t>P50 about 20 min; P75 about 30 min; P90 about 45 min</w:t>
            </w:r>
          </w:p>
        </w:tc>
        <w:tc>
          <w:tcPr>
            <w:tcW w:type="dxa" w:w="3360"/>
            <w:vAlign w:val="top"/>
          </w:tcPr>
          <w:p>
            <w:pPr>
              <w:spacing w:after="0"/>
            </w:pPr>
            <w:r/>
            <w:r>
              <w:rPr>
                <w:rFonts w:ascii="Arial" w:hAnsi="Arial" w:eastAsia="Arial"/>
                <w:b w:val="0"/>
                <w:sz w:val="17"/>
              </w:rPr>
              <w:t>Same day to 24 h</w:t>
            </w:r>
          </w:p>
        </w:tc>
      </w:tr>
      <w:tr>
        <w:tc>
          <w:tcPr>
            <w:tcW w:type="dxa" w:w="3360"/>
            <w:vAlign w:val="top"/>
          </w:tcPr>
          <w:p>
            <w:pPr>
              <w:spacing w:after="0"/>
            </w:pPr>
            <w:r/>
            <w:r>
              <w:rPr>
                <w:rFonts w:ascii="Arial" w:hAnsi="Arial" w:eastAsia="Arial"/>
                <w:b w:val="0"/>
                <w:sz w:val="17"/>
              </w:rPr>
              <w:t>Serious illness, oncology, or palliative-type visit</w:t>
            </w:r>
          </w:p>
        </w:tc>
        <w:tc>
          <w:tcPr>
            <w:tcW w:type="dxa" w:w="3360"/>
            <w:vAlign w:val="top"/>
          </w:tcPr>
          <w:p>
            <w:pPr>
              <w:spacing w:after="0"/>
            </w:pPr>
            <w:r/>
            <w:r>
              <w:rPr>
                <w:rFonts w:ascii="Arial" w:hAnsi="Arial" w:eastAsia="Arial"/>
                <w:b w:val="0"/>
                <w:sz w:val="17"/>
              </w:rPr>
              <w:t>P50 about 25 min; P75 about 40 min; P90 about 60 min</w:t>
            </w:r>
          </w:p>
        </w:tc>
        <w:tc>
          <w:tcPr>
            <w:tcW w:type="dxa" w:w="3360"/>
            <w:vAlign w:val="top"/>
          </w:tcPr>
          <w:p>
            <w:pPr>
              <w:spacing w:after="0"/>
            </w:pPr>
            <w:r/>
            <w:r>
              <w:rPr>
                <w:rFonts w:ascii="Arial" w:hAnsi="Arial" w:eastAsia="Arial"/>
                <w:b w:val="0"/>
                <w:sz w:val="17"/>
              </w:rPr>
              <w:t>Same day to 24 h</w:t>
            </w:r>
          </w:p>
        </w:tc>
      </w:tr>
      <w:tr>
        <w:tc>
          <w:tcPr>
            <w:tcW w:type="dxa" w:w="3360"/>
            <w:vAlign w:val="top"/>
          </w:tcPr>
          <w:p>
            <w:pPr>
              <w:spacing w:after="0"/>
            </w:pPr>
            <w:r/>
            <w:r>
              <w:rPr>
                <w:rFonts w:ascii="Arial" w:hAnsi="Arial" w:eastAsia="Arial"/>
                <w:b w:val="0"/>
                <w:sz w:val="17"/>
              </w:rPr>
              <w:t>Telehealth visit</w:t>
            </w:r>
          </w:p>
        </w:tc>
        <w:tc>
          <w:tcPr>
            <w:tcW w:type="dxa" w:w="3360"/>
            <w:vAlign w:val="top"/>
          </w:tcPr>
          <w:p>
            <w:pPr>
              <w:spacing w:after="0"/>
            </w:pPr>
            <w:r/>
            <w:r>
              <w:rPr>
                <w:rFonts w:ascii="Arial" w:hAnsi="Arial" w:eastAsia="Arial"/>
                <w:b w:val="0"/>
                <w:sz w:val="17"/>
              </w:rPr>
              <w:t>Add 10-20% or approximately 3-8 min when workflow is inefficient</w:t>
            </w:r>
          </w:p>
        </w:tc>
        <w:tc>
          <w:tcPr>
            <w:tcW w:type="dxa" w:w="3360"/>
            <w:vAlign w:val="top"/>
          </w:tcPr>
          <w:p>
            <w:pPr>
              <w:spacing w:after="0"/>
            </w:pPr>
            <w:r/>
            <w:r>
              <w:rPr>
                <w:rFonts w:ascii="Arial" w:hAnsi="Arial" w:eastAsia="Arial"/>
                <w:b w:val="0"/>
                <w:sz w:val="17"/>
              </w:rPr>
              <w:t>Same standard as clinical risk level</w:t>
            </w:r>
          </w:p>
        </w:tc>
      </w:tr>
      <w:tr>
        <w:tc>
          <w:tcPr>
            <w:tcW w:type="dxa" w:w="3360"/>
            <w:vAlign w:val="top"/>
          </w:tcPr>
          <w:p>
            <w:pPr>
              <w:spacing w:after="0"/>
            </w:pPr>
            <w:r/>
            <w:r>
              <w:rPr>
                <w:rFonts w:ascii="Arial" w:hAnsi="Arial" w:eastAsia="Arial"/>
                <w:b w:val="0"/>
                <w:sz w:val="17"/>
              </w:rPr>
              <w:t>High-risk medication change, urgent referral, or serious new diagnosis</w:t>
            </w:r>
          </w:p>
        </w:tc>
        <w:tc>
          <w:tcPr>
            <w:tcW w:type="dxa" w:w="3360"/>
            <w:vAlign w:val="top"/>
          </w:tcPr>
          <w:p>
            <w:pPr>
              <w:spacing w:after="0"/>
            </w:pPr>
            <w:r/>
            <w:r>
              <w:rPr>
                <w:rFonts w:ascii="Arial" w:hAnsi="Arial" w:eastAsia="Arial"/>
                <w:b w:val="0"/>
                <w:sz w:val="17"/>
              </w:rPr>
              <w:t>Variable, driven by complexity and follow-up responsibility</w:t>
            </w:r>
          </w:p>
        </w:tc>
        <w:tc>
          <w:tcPr>
            <w:tcW w:type="dxa" w:w="3360"/>
            <w:vAlign w:val="top"/>
          </w:tcPr>
          <w:p>
            <w:pPr>
              <w:spacing w:after="0"/>
            </w:pPr>
            <w:r/>
            <w:r>
              <w:rPr>
                <w:rFonts w:ascii="Arial" w:hAnsi="Arial" w:eastAsia="Arial"/>
                <w:b w:val="0"/>
                <w:sz w:val="17"/>
              </w:rPr>
              <w:t>Same day</w:t>
            </w:r>
          </w:p>
        </w:tc>
      </w:tr>
    </w:tbl>
    <w:p/>
    <w:p>
      <w:pPr>
        <w:pStyle w:val="Heading1"/>
      </w:pPr>
      <w:r>
        <w:t>3. Inpatient Documentation Time</w:t>
      </w:r>
    </w:p>
    <w:p>
      <w:r>
        <w:t>The inpatient literature is notably sparser than the outpatient literature. No modern large-scale EHR-log or time-motion study directly reports a clean “minutes to write one inpatient progress note” metric by clinician type and note type. Most inpatient time estimates require triangulation from total EHR time, documentation fractions, indirect care time, note-signing patterns, and specific studies of admission and discharge processes. This gap is the single largest limitation for inpatient documentation capacity modeling.</w:t>
      </w:r>
    </w:p>
    <w:p>
      <w:r>
        <w:rPr>
          <w:rFonts w:ascii="Arial" w:hAnsi="Arial" w:eastAsia="Arial"/>
          <w:sz w:val="20"/>
        </w:rPr>
        <w:t>A 2025 systematic review of hospitalist time-motion studies reached a similar conclusion: inpatient physician time allocation has been studied, but the literature remains heterogeneous and does not yet provide clean, generalizable per-note estimates for specific inpatient note types (Porter et al. 2025).</w:t>
      </w:r>
    </w:p>
    <w:p>
      <w:r>
        <w:t>For inpatient progress notes, the best available estimate is derived rather than directly measured. Verma and colleagues found that inpatient physicians averaged 3.8 hours per day in the EHR and that documentation represented 28 percent of EHR time (Verma et al. 2020). Malkenson and colleagues found that academic hospitalists spent 54.7 +/- 11.1 minutes of indirect care per patient per day, while community hospitalists spent 41.9 +/- 9.8 minutes per patient per day; this included documentation, communication, and coordination rather than documentation alone (Malkenson et al. 2010). Applying a 28 percent documentation fraction to these per-patient indirect care estimates yields a derived estimate of roughly 12 to 15 minutes of documentation per patient per day for hospitalists. Because this method is indirect, the model treats standard attending progress notes as approximately 10 to 18 minutes and complex progress notes as 18 to 35 minutes depending on role, complexity, and support.</w:t>
      </w:r>
    </w:p>
    <w:p>
      <w:r>
        <w:t>Resident data support longer estimates. Wang and colleagues analyzed EHR event logs for internal medicine residents and found that residents spent an average of 5.38 hours per day using the EHR, with PGY1 interns spending 2.4 times more time on information review than on information entry (Wang et al. 2019). This suggests that note-writing is only one component of resident EHR work and that chart review needed to write a note may be substantial. Chaiyachati and colleagues’ finding of 10.3 hours per day interacting with the record or documenting among interns similarly supports a higher resident progress-note burden, especially when census is high and documentation includes progress notes, admission H&amp;Ps, orders, discharge work, and handoff preparation (Chaiyachati et al. 2019).</w:t>
      </w:r>
    </w:p>
    <w:p>
      <w:r>
        <w:t>For admission H&amp;P notes, the best granular evidence comes from Sabin and colleagues, who studied how doctors spend their time admitting a patient during the acute medical take in the United Kingdom. A foundation-year trainee required a mean of 55 minutes for complete admission clerking, including history, examination, documentation, prescriptions, and investigation ordering, whereas a consultant in acute medicine required approximately 15 minutes. History taking and examination alone took 21 to 22 minutes for a core medical trainee (Sabin et al. 2016). Although practice context differs from the United States, this study provides a seniority-stratified framework. Older U.S. house-staff data from Parenti and Lurie found that house staff spent an average of 25 minutes on history and physical examination and 29 minutes charting new patient information during daytime admissions, suggesting that the documentation component of a new admission can equal or exceed the clinical evaluation time (Parenti and Lurie 1993).</w:t>
      </w:r>
    </w:p>
    <w:p>
      <w:r>
        <w:t>For discharge summaries, the strongest direct measurement comes from Sharma and colleagues. In a time-motion study of 11 residents and two medical students performing 32 patient discharges from general internal medicine wards, total discharge process time averaged 69.2 +/- 41.2 minutes and spanned 3.7 hours from start to finish. Documentation accounted for 32.8 minutes, or 47.3 percent of the total. Direct patient communication accounted for 13.5 minutes, clinician communication for 10.8 minutes, and arranging outpatient care for 6.5 minutes. Housestaff were interrupted an average of 5.5 times and switched tasks 8.7 times per discharge (Sharma et al. 2017). This 32.8-minute estimate is the most defensible evidence anchor for inpatient note-type modeling.</w:t>
      </w:r>
    </w:p>
    <w:p>
      <w:r>
        <w:t>Timeliness of discharge summary completion is also problematic. Bischoff and colleagues found that before a quality-improvement intervention, the average time from discharge to summary completion was 3.5 days and only 38 percent were completed the same day. After a structured improvement bundle including a template, education, feedback, and incentive, completion time fell to 0.61 days and same-day completion rose to 83 percent, sustained for six months. Quality elements improved from 5 percent to 88 percent (Bischoff et al. 2013). Horwitz and colleagues examined 377 discharge summaries for acute coronary syndrome, heart failure, and pneumonia and found that only 46.3 percent were dictated on the day of discharge and 24.7 percent were completed more than one week after discharge. Hospitalist-authored summaries were more timely and more complete than those authored by housestaff or advanced practice practitioners; no discharge summary met all three quality criteria of timeliness, transmission, and content (Horwitz et al. 2013). Al-Damluji and colleagues found wide hospital-level variation in discharge summary quality for heart-failure patients; the median hospital dictated 69.2 percent of summaries on the day of discharge, with a range from 0 to 98 percent, and no summary across hospitals met all quality criteria simultaneously (Al-Damluji et al. 2015).</w:t>
      </w:r>
    </w:p>
    <w:p>
      <w:r>
        <w:rPr>
          <w:rFonts w:ascii="Arial" w:hAnsi="Arial" w:eastAsia="Arial"/>
          <w:sz w:val="20"/>
        </w:rPr>
        <w:t>Recent work has also examined the role of large language models in discharge summaries. Williams and colleagues surveyed 815 U.S. physicians and found that 44 percent of hospitalists reported being too busy to prepare high-quality discharge summaries. Their study explored physician- and large language model-generated discharge summaries as one possible response to this time pressure (Williams et al. 2025). The finding reinforces that discharge-summary quality is constrained by both time and workflow, not merely by clinician knowledge.</w:t>
      </w:r>
    </w:p>
    <w:p>
      <w:r>
        <w:t>Consult notes and event notes are especially under-measured. No strong published per-note time data exist for consult notes, event notes, addenda, or goals-of-care documentation. Cunningham and colleagues measured consult turnaround rather than writing time and found that mean turnaround from consult order to consultant note completion was approximately 1,098 minutes, or 18.3 hours, before intervention and 1,011 minutes, or 16.9 hours, after intervention (Cunningham et al. 2025). This offers a benchmark for consult-note availability but not for the time required to compose the note itself.</w:t>
      </w:r>
    </w:p>
    <w:p>
      <w:r>
        <w:t>Advanced practice practitioner documentation also lacks inpatient-specific measurement. Rotenstein and colleagues compared work patterns between physicians and advanced practice practitioners in ambulatory primary care and specialty settings and found that in medical and surgical specialties, APPs spent 20.3 and 22.0 more minutes per day on notes than physicians, respectively. In primary care, the difference was only 4.3 minutes per day. Over a week, medical and surgical APPs spent 1.4 and 1.1 hours more on notes, respectively, than physicians in those specialties (Rotenstein et al. 2023). Although ambulatory, this pattern is relevant because APPs often carry substantial inpatient documentation responsibility. Seligson and colleagues showed that standardized inpatient APP note templates in vascular surgery increased evaluation-and-management charge capture from 0.4 percent to 70.4 percent of billable APP services, with a 78.5 percent increase in total E/M charges and a 65 percent increase in CMS reimbursement, illustrating the financial and compliance impact of APP documentation quality (Seligson et al. 2021).</w:t>
      </w:r>
    </w:p>
    <w:p>
      <w:r>
        <w:rPr>
          <w:rFonts w:ascii="Arial" w:hAnsi="Arial" w:eastAsia="Arial"/>
          <w:sz w:val="20"/>
        </w:rPr>
        <w:t>Attestation and co-signature time are also under-measured. Jenkins and colleagues found that specialty and operator status influenced EHR-use variation and that procedural operators had higher delayed co-signature rates than non-operators, 9.5 percent versus 5.7 percent (Jenkins et al. 2026). The study does not provide per-note attestation time, but it supports the model’s decision to track attestation as hidden documentation work.</w:t>
      </w:r>
    </w:p>
    <w:tbl>
      <w:tblPr>
        <w:tblStyle w:val="TableGrid"/>
        <w:tblW w:type="auto" w:w="0"/>
        <w:jc w:val="center"/>
        <w:tblLayout w:type="autofit"/>
        <w:tblLook w:firstColumn="1" w:firstRow="1" w:lastColumn="0" w:lastRow="0" w:noHBand="0" w:noVBand="1" w:val="04A0"/>
      </w:tblPr>
      <w:tblGrid>
        <w:gridCol w:w="2520"/>
        <w:gridCol w:w="2520"/>
        <w:gridCol w:w="2520"/>
        <w:gridCol w:w="2520"/>
      </w:tblGrid>
      <w:tr>
        <w:tc>
          <w:tcPr>
            <w:tcW w:type="dxa" w:w="2520"/>
            <w:shd w:fill="D9EAF7"/>
            <w:vAlign w:val="center"/>
          </w:tcPr>
          <w:p>
            <w:pPr>
              <w:spacing w:after="0"/>
            </w:pPr>
            <w:r/>
            <w:r>
              <w:rPr>
                <w:rFonts w:ascii="Arial" w:hAnsi="Arial" w:eastAsia="Arial"/>
                <w:b/>
                <w:sz w:val="17"/>
              </w:rPr>
              <w:t>Inpatient note type</w:t>
            </w:r>
          </w:p>
        </w:tc>
        <w:tc>
          <w:tcPr>
            <w:tcW w:type="dxa" w:w="2520"/>
            <w:shd w:fill="D9EAF7"/>
            <w:vAlign w:val="center"/>
          </w:tcPr>
          <w:p>
            <w:pPr>
              <w:spacing w:after="0"/>
            </w:pPr>
            <w:r/>
            <w:r>
              <w:rPr>
                <w:rFonts w:ascii="Arial" w:hAnsi="Arial" w:eastAsia="Arial"/>
                <w:b/>
                <w:sz w:val="17"/>
              </w:rPr>
              <w:t>Evidence-informed planning assumption</w:t>
            </w:r>
          </w:p>
        </w:tc>
        <w:tc>
          <w:tcPr>
            <w:tcW w:type="dxa" w:w="2520"/>
            <w:shd w:fill="D9EAF7"/>
            <w:vAlign w:val="center"/>
          </w:tcPr>
          <w:p>
            <w:pPr>
              <w:spacing w:after="0"/>
            </w:pPr>
            <w:r/>
            <w:r>
              <w:rPr>
                <w:rFonts w:ascii="Arial" w:hAnsi="Arial" w:eastAsia="Arial"/>
                <w:b/>
                <w:sz w:val="17"/>
              </w:rPr>
              <w:t>Completion standard used in the model</w:t>
            </w:r>
          </w:p>
        </w:tc>
        <w:tc>
          <w:tcPr>
            <w:tcW w:type="dxa" w:w="2520"/>
            <w:shd w:fill="D9EAF7"/>
            <w:vAlign w:val="center"/>
          </w:tcPr>
          <w:p>
            <w:pPr>
              <w:spacing w:after="0"/>
            </w:pPr>
            <w:r/>
            <w:r>
              <w:rPr>
                <w:rFonts w:ascii="Arial" w:hAnsi="Arial" w:eastAsia="Arial"/>
                <w:b/>
                <w:sz w:val="17"/>
              </w:rPr>
              <w:t>Evidence confidence</w:t>
            </w:r>
          </w:p>
        </w:tc>
      </w:tr>
      <w:tr>
        <w:tc>
          <w:tcPr>
            <w:tcW w:type="dxa" w:w="2520"/>
            <w:vAlign w:val="top"/>
          </w:tcPr>
          <w:p>
            <w:pPr>
              <w:spacing w:after="0"/>
            </w:pPr>
            <w:r/>
            <w:r>
              <w:rPr>
                <w:rFonts w:ascii="Arial" w:hAnsi="Arial" w:eastAsia="Arial"/>
                <w:b w:val="0"/>
                <w:sz w:val="17"/>
              </w:rPr>
              <w:t>Daily progress note, attending or hospitalist</w:t>
            </w:r>
          </w:p>
        </w:tc>
        <w:tc>
          <w:tcPr>
            <w:tcW w:type="dxa" w:w="2520"/>
            <w:vAlign w:val="top"/>
          </w:tcPr>
          <w:p>
            <w:pPr>
              <w:spacing w:after="0"/>
            </w:pPr>
            <w:r/>
            <w:r>
              <w:rPr>
                <w:rFonts w:ascii="Arial" w:hAnsi="Arial" w:eastAsia="Arial"/>
                <w:b w:val="0"/>
                <w:sz w:val="17"/>
              </w:rPr>
              <w:t>P50 10-12 min; P75 15-18 min; P90 22-25 min</w:t>
            </w:r>
          </w:p>
        </w:tc>
        <w:tc>
          <w:tcPr>
            <w:tcW w:type="dxa" w:w="2520"/>
            <w:vAlign w:val="top"/>
          </w:tcPr>
          <w:p>
            <w:pPr>
              <w:spacing w:after="0"/>
            </w:pPr>
            <w:r/>
            <w:r>
              <w:rPr>
                <w:rFonts w:ascii="Arial" w:hAnsi="Arial" w:eastAsia="Arial"/>
                <w:b w:val="0"/>
                <w:sz w:val="17"/>
              </w:rPr>
              <w:t>Same day; preferably before noon</w:t>
            </w:r>
          </w:p>
        </w:tc>
        <w:tc>
          <w:tcPr>
            <w:tcW w:type="dxa" w:w="2520"/>
            <w:vAlign w:val="top"/>
          </w:tcPr>
          <w:p>
            <w:pPr>
              <w:spacing w:after="0"/>
            </w:pPr>
            <w:r/>
            <w:r>
              <w:rPr>
                <w:rFonts w:ascii="Arial" w:hAnsi="Arial" w:eastAsia="Arial"/>
                <w:b w:val="0"/>
                <w:sz w:val="17"/>
              </w:rPr>
              <w:t>Low-moderate; derived</w:t>
            </w:r>
          </w:p>
        </w:tc>
      </w:tr>
      <w:tr>
        <w:tc>
          <w:tcPr>
            <w:tcW w:type="dxa" w:w="2520"/>
            <w:vAlign w:val="top"/>
          </w:tcPr>
          <w:p>
            <w:pPr>
              <w:spacing w:after="0"/>
            </w:pPr>
            <w:r/>
            <w:r>
              <w:rPr>
                <w:rFonts w:ascii="Arial" w:hAnsi="Arial" w:eastAsia="Arial"/>
                <w:b w:val="0"/>
                <w:sz w:val="17"/>
              </w:rPr>
              <w:t>Daily progress note, APP</w:t>
            </w:r>
          </w:p>
        </w:tc>
        <w:tc>
          <w:tcPr>
            <w:tcW w:type="dxa" w:w="2520"/>
            <w:vAlign w:val="top"/>
          </w:tcPr>
          <w:p>
            <w:pPr>
              <w:spacing w:after="0"/>
            </w:pPr>
            <w:r/>
            <w:r>
              <w:rPr>
                <w:rFonts w:ascii="Arial" w:hAnsi="Arial" w:eastAsia="Arial"/>
                <w:b w:val="0"/>
                <w:sz w:val="17"/>
              </w:rPr>
              <w:t>P50 12-15 min; P75 18-22 min; P90 25-30 min</w:t>
            </w:r>
          </w:p>
        </w:tc>
        <w:tc>
          <w:tcPr>
            <w:tcW w:type="dxa" w:w="2520"/>
            <w:vAlign w:val="top"/>
          </w:tcPr>
          <w:p>
            <w:pPr>
              <w:spacing w:after="0"/>
            </w:pPr>
            <w:r/>
            <w:r>
              <w:rPr>
                <w:rFonts w:ascii="Arial" w:hAnsi="Arial" w:eastAsia="Arial"/>
                <w:b w:val="0"/>
                <w:sz w:val="17"/>
              </w:rPr>
              <w:t>Same day; preferably before noon</w:t>
            </w:r>
          </w:p>
        </w:tc>
        <w:tc>
          <w:tcPr>
            <w:tcW w:type="dxa" w:w="2520"/>
            <w:vAlign w:val="top"/>
          </w:tcPr>
          <w:p>
            <w:pPr>
              <w:spacing w:after="0"/>
            </w:pPr>
            <w:r/>
            <w:r>
              <w:rPr>
                <w:rFonts w:ascii="Arial" w:hAnsi="Arial" w:eastAsia="Arial"/>
                <w:b w:val="0"/>
                <w:sz w:val="17"/>
              </w:rPr>
              <w:t>Low; extrapolated</w:t>
            </w:r>
          </w:p>
        </w:tc>
      </w:tr>
      <w:tr>
        <w:tc>
          <w:tcPr>
            <w:tcW w:type="dxa" w:w="2520"/>
            <w:vAlign w:val="top"/>
          </w:tcPr>
          <w:p>
            <w:pPr>
              <w:spacing w:after="0"/>
            </w:pPr>
            <w:r/>
            <w:r>
              <w:rPr>
                <w:rFonts w:ascii="Arial" w:hAnsi="Arial" w:eastAsia="Arial"/>
                <w:b w:val="0"/>
                <w:sz w:val="17"/>
              </w:rPr>
              <w:t>Daily progress note, resident or intern</w:t>
            </w:r>
          </w:p>
        </w:tc>
        <w:tc>
          <w:tcPr>
            <w:tcW w:type="dxa" w:w="2520"/>
            <w:vAlign w:val="top"/>
          </w:tcPr>
          <w:p>
            <w:pPr>
              <w:spacing w:after="0"/>
            </w:pPr>
            <w:r/>
            <w:r>
              <w:rPr>
                <w:rFonts w:ascii="Arial" w:hAnsi="Arial" w:eastAsia="Arial"/>
                <w:b w:val="0"/>
                <w:sz w:val="17"/>
              </w:rPr>
              <w:t>P50 15-20 min; P75 25-30 min; P90 35-40 min</w:t>
            </w:r>
          </w:p>
        </w:tc>
        <w:tc>
          <w:tcPr>
            <w:tcW w:type="dxa" w:w="2520"/>
            <w:vAlign w:val="top"/>
          </w:tcPr>
          <w:p>
            <w:pPr>
              <w:spacing w:after="0"/>
            </w:pPr>
            <w:r/>
            <w:r>
              <w:rPr>
                <w:rFonts w:ascii="Arial" w:hAnsi="Arial" w:eastAsia="Arial"/>
                <w:b w:val="0"/>
                <w:sz w:val="17"/>
              </w:rPr>
              <w:t>Same day; preferably before noon</w:t>
            </w:r>
          </w:p>
        </w:tc>
        <w:tc>
          <w:tcPr>
            <w:tcW w:type="dxa" w:w="2520"/>
            <w:vAlign w:val="top"/>
          </w:tcPr>
          <w:p>
            <w:pPr>
              <w:spacing w:after="0"/>
            </w:pPr>
            <w:r/>
            <w:r>
              <w:rPr>
                <w:rFonts w:ascii="Arial" w:hAnsi="Arial" w:eastAsia="Arial"/>
                <w:b w:val="0"/>
                <w:sz w:val="17"/>
              </w:rPr>
              <w:t>Low-moderate; derived</w:t>
            </w:r>
          </w:p>
        </w:tc>
      </w:tr>
      <w:tr>
        <w:tc>
          <w:tcPr>
            <w:tcW w:type="dxa" w:w="2520"/>
            <w:vAlign w:val="top"/>
          </w:tcPr>
          <w:p>
            <w:pPr>
              <w:spacing w:after="0"/>
            </w:pPr>
            <w:r/>
            <w:r>
              <w:rPr>
                <w:rFonts w:ascii="Arial" w:hAnsi="Arial" w:eastAsia="Arial"/>
                <w:b w:val="0"/>
                <w:sz w:val="17"/>
              </w:rPr>
              <w:t>Admission H&amp;P, senior clinician</w:t>
            </w:r>
          </w:p>
        </w:tc>
        <w:tc>
          <w:tcPr>
            <w:tcW w:type="dxa" w:w="2520"/>
            <w:vAlign w:val="top"/>
          </w:tcPr>
          <w:p>
            <w:pPr>
              <w:spacing w:after="0"/>
            </w:pPr>
            <w:r/>
            <w:r>
              <w:rPr>
                <w:rFonts w:ascii="Arial" w:hAnsi="Arial" w:eastAsia="Arial"/>
                <w:b w:val="0"/>
                <w:sz w:val="17"/>
              </w:rPr>
              <w:t>P50 20-30 min; P75 35-45 min; P90 50-60 min</w:t>
            </w:r>
          </w:p>
        </w:tc>
        <w:tc>
          <w:tcPr>
            <w:tcW w:type="dxa" w:w="2520"/>
            <w:vAlign w:val="top"/>
          </w:tcPr>
          <w:p>
            <w:pPr>
              <w:spacing w:after="0"/>
            </w:pPr>
            <w:r/>
            <w:r>
              <w:rPr>
                <w:rFonts w:ascii="Arial" w:hAnsi="Arial" w:eastAsia="Arial"/>
                <w:b w:val="0"/>
                <w:sz w:val="17"/>
              </w:rPr>
              <w:t>Same day; same shift when possible</w:t>
            </w:r>
          </w:p>
        </w:tc>
        <w:tc>
          <w:tcPr>
            <w:tcW w:type="dxa" w:w="2520"/>
            <w:vAlign w:val="top"/>
          </w:tcPr>
          <w:p>
            <w:pPr>
              <w:spacing w:after="0"/>
            </w:pPr>
            <w:r/>
            <w:r>
              <w:rPr>
                <w:rFonts w:ascii="Arial" w:hAnsi="Arial" w:eastAsia="Arial"/>
                <w:b w:val="0"/>
                <w:sz w:val="17"/>
              </w:rPr>
              <w:t>Moderate</w:t>
            </w:r>
          </w:p>
        </w:tc>
      </w:tr>
      <w:tr>
        <w:tc>
          <w:tcPr>
            <w:tcW w:type="dxa" w:w="2520"/>
            <w:vAlign w:val="top"/>
          </w:tcPr>
          <w:p>
            <w:pPr>
              <w:spacing w:after="0"/>
            </w:pPr>
            <w:r/>
            <w:r>
              <w:rPr>
                <w:rFonts w:ascii="Arial" w:hAnsi="Arial" w:eastAsia="Arial"/>
                <w:b w:val="0"/>
                <w:sz w:val="17"/>
              </w:rPr>
              <w:t>Admission H&amp;P, trainee</w:t>
            </w:r>
          </w:p>
        </w:tc>
        <w:tc>
          <w:tcPr>
            <w:tcW w:type="dxa" w:w="2520"/>
            <w:vAlign w:val="top"/>
          </w:tcPr>
          <w:p>
            <w:pPr>
              <w:spacing w:after="0"/>
            </w:pPr>
            <w:r/>
            <w:r>
              <w:rPr>
                <w:rFonts w:ascii="Arial" w:hAnsi="Arial" w:eastAsia="Arial"/>
                <w:b w:val="0"/>
                <w:sz w:val="17"/>
              </w:rPr>
              <w:t>P50 40-55 min; P75 60-75 min; P90 about 90 min</w:t>
            </w:r>
          </w:p>
        </w:tc>
        <w:tc>
          <w:tcPr>
            <w:tcW w:type="dxa" w:w="2520"/>
            <w:vAlign w:val="top"/>
          </w:tcPr>
          <w:p>
            <w:pPr>
              <w:spacing w:after="0"/>
            </w:pPr>
            <w:r/>
            <w:r>
              <w:rPr>
                <w:rFonts w:ascii="Arial" w:hAnsi="Arial" w:eastAsia="Arial"/>
                <w:b w:val="0"/>
                <w:sz w:val="17"/>
              </w:rPr>
              <w:t>Same day; supervised</w:t>
            </w:r>
          </w:p>
        </w:tc>
        <w:tc>
          <w:tcPr>
            <w:tcW w:type="dxa" w:w="2520"/>
            <w:vAlign w:val="top"/>
          </w:tcPr>
          <w:p>
            <w:pPr>
              <w:spacing w:after="0"/>
            </w:pPr>
            <w:r/>
            <w:r>
              <w:rPr>
                <w:rFonts w:ascii="Arial" w:hAnsi="Arial" w:eastAsia="Arial"/>
                <w:b w:val="0"/>
                <w:sz w:val="17"/>
              </w:rPr>
              <w:t>Moderate</w:t>
            </w:r>
          </w:p>
        </w:tc>
      </w:tr>
      <w:tr>
        <w:tc>
          <w:tcPr>
            <w:tcW w:type="dxa" w:w="2520"/>
            <w:vAlign w:val="top"/>
          </w:tcPr>
          <w:p>
            <w:pPr>
              <w:spacing w:after="0"/>
            </w:pPr>
            <w:r/>
            <w:r>
              <w:rPr>
                <w:rFonts w:ascii="Arial" w:hAnsi="Arial" w:eastAsia="Arial"/>
                <w:b w:val="0"/>
                <w:sz w:val="17"/>
              </w:rPr>
              <w:t>Discharge summary</w:t>
            </w:r>
          </w:p>
        </w:tc>
        <w:tc>
          <w:tcPr>
            <w:tcW w:type="dxa" w:w="2520"/>
            <w:vAlign w:val="top"/>
          </w:tcPr>
          <w:p>
            <w:pPr>
              <w:spacing w:after="0"/>
            </w:pPr>
            <w:r/>
            <w:r>
              <w:rPr>
                <w:rFonts w:ascii="Arial" w:hAnsi="Arial" w:eastAsia="Arial"/>
                <w:b w:val="0"/>
                <w:sz w:val="17"/>
              </w:rPr>
              <w:t>P50 33 min; P75 45 min; P90 60-70 min</w:t>
            </w:r>
          </w:p>
        </w:tc>
        <w:tc>
          <w:tcPr>
            <w:tcW w:type="dxa" w:w="2520"/>
            <w:vAlign w:val="top"/>
          </w:tcPr>
          <w:p>
            <w:pPr>
              <w:spacing w:after="0"/>
            </w:pPr>
            <w:r/>
            <w:r>
              <w:rPr>
                <w:rFonts w:ascii="Arial" w:hAnsi="Arial" w:eastAsia="Arial"/>
                <w:b w:val="0"/>
                <w:sz w:val="17"/>
              </w:rPr>
              <w:t>Same day as discharge when possible</w:t>
            </w:r>
          </w:p>
        </w:tc>
        <w:tc>
          <w:tcPr>
            <w:tcW w:type="dxa" w:w="2520"/>
            <w:vAlign w:val="top"/>
          </w:tcPr>
          <w:p>
            <w:pPr>
              <w:spacing w:after="0"/>
            </w:pPr>
            <w:r/>
            <w:r>
              <w:rPr>
                <w:rFonts w:ascii="Arial" w:hAnsi="Arial" w:eastAsia="Arial"/>
                <w:b w:val="0"/>
                <w:sz w:val="17"/>
              </w:rPr>
              <w:t>Strongest inpatient estimate</w:t>
            </w:r>
          </w:p>
        </w:tc>
      </w:tr>
      <w:tr>
        <w:tc>
          <w:tcPr>
            <w:tcW w:type="dxa" w:w="2520"/>
            <w:vAlign w:val="top"/>
          </w:tcPr>
          <w:p>
            <w:pPr>
              <w:spacing w:after="0"/>
            </w:pPr>
            <w:r/>
            <w:r>
              <w:rPr>
                <w:rFonts w:ascii="Arial" w:hAnsi="Arial" w:eastAsia="Arial"/>
                <w:b w:val="0"/>
                <w:sz w:val="17"/>
              </w:rPr>
              <w:t>Consult note</w:t>
            </w:r>
          </w:p>
        </w:tc>
        <w:tc>
          <w:tcPr>
            <w:tcW w:type="dxa" w:w="2520"/>
            <w:vAlign w:val="top"/>
          </w:tcPr>
          <w:p>
            <w:pPr>
              <w:spacing w:after="0"/>
            </w:pPr>
            <w:r/>
            <w:r>
              <w:rPr>
                <w:rFonts w:ascii="Arial" w:hAnsi="Arial" w:eastAsia="Arial"/>
                <w:b w:val="0"/>
                <w:sz w:val="17"/>
              </w:rPr>
              <w:t>P50 20 min; P75 30 min; P90 45 min</w:t>
            </w:r>
          </w:p>
        </w:tc>
        <w:tc>
          <w:tcPr>
            <w:tcW w:type="dxa" w:w="2520"/>
            <w:vAlign w:val="top"/>
          </w:tcPr>
          <w:p>
            <w:pPr>
              <w:spacing w:after="0"/>
            </w:pPr>
            <w:r/>
            <w:r>
              <w:rPr>
                <w:rFonts w:ascii="Arial" w:hAnsi="Arial" w:eastAsia="Arial"/>
                <w:b w:val="0"/>
                <w:sz w:val="17"/>
              </w:rPr>
              <w:t>Same day; before decision cycle when possible</w:t>
            </w:r>
          </w:p>
        </w:tc>
        <w:tc>
          <w:tcPr>
            <w:tcW w:type="dxa" w:w="2520"/>
            <w:vAlign w:val="top"/>
          </w:tcPr>
          <w:p>
            <w:pPr>
              <w:spacing w:after="0"/>
            </w:pPr>
            <w:r/>
            <w:r>
              <w:rPr>
                <w:rFonts w:ascii="Arial" w:hAnsi="Arial" w:eastAsia="Arial"/>
                <w:b w:val="0"/>
                <w:sz w:val="17"/>
              </w:rPr>
              <w:t>Low</w:t>
            </w:r>
          </w:p>
        </w:tc>
      </w:tr>
      <w:tr>
        <w:tc>
          <w:tcPr>
            <w:tcW w:type="dxa" w:w="2520"/>
            <w:vAlign w:val="top"/>
          </w:tcPr>
          <w:p>
            <w:pPr>
              <w:spacing w:after="0"/>
            </w:pPr>
            <w:r/>
            <w:r>
              <w:rPr>
                <w:rFonts w:ascii="Arial" w:hAnsi="Arial" w:eastAsia="Arial"/>
                <w:b w:val="0"/>
                <w:sz w:val="17"/>
              </w:rPr>
              <w:t>Event, family meeting, or goals-of-care note</w:t>
            </w:r>
          </w:p>
        </w:tc>
        <w:tc>
          <w:tcPr>
            <w:tcW w:type="dxa" w:w="2520"/>
            <w:vAlign w:val="top"/>
          </w:tcPr>
          <w:p>
            <w:pPr>
              <w:spacing w:after="0"/>
            </w:pPr>
            <w:r/>
            <w:r>
              <w:rPr>
                <w:rFonts w:ascii="Arial" w:hAnsi="Arial" w:eastAsia="Arial"/>
                <w:b w:val="0"/>
                <w:sz w:val="17"/>
              </w:rPr>
              <w:t>P50 12-15 min; P75 20-25 min; P90 30-40 min</w:t>
            </w:r>
          </w:p>
        </w:tc>
        <w:tc>
          <w:tcPr>
            <w:tcW w:type="dxa" w:w="2520"/>
            <w:vAlign w:val="top"/>
          </w:tcPr>
          <w:p>
            <w:pPr>
              <w:spacing w:after="0"/>
            </w:pPr>
            <w:r/>
            <w:r>
              <w:rPr>
                <w:rFonts w:ascii="Arial" w:hAnsi="Arial" w:eastAsia="Arial"/>
                <w:b w:val="0"/>
                <w:sz w:val="17"/>
              </w:rPr>
              <w:t>Same day; close to event</w:t>
            </w:r>
          </w:p>
        </w:tc>
        <w:tc>
          <w:tcPr>
            <w:tcW w:type="dxa" w:w="2520"/>
            <w:vAlign w:val="top"/>
          </w:tcPr>
          <w:p>
            <w:pPr>
              <w:spacing w:after="0"/>
            </w:pPr>
            <w:r/>
            <w:r>
              <w:rPr>
                <w:rFonts w:ascii="Arial" w:hAnsi="Arial" w:eastAsia="Arial"/>
                <w:b w:val="0"/>
                <w:sz w:val="17"/>
              </w:rPr>
              <w:t>Low</w:t>
            </w:r>
          </w:p>
        </w:tc>
      </w:tr>
      <w:tr>
        <w:tc>
          <w:tcPr>
            <w:tcW w:type="dxa" w:w="2520"/>
            <w:vAlign w:val="top"/>
          </w:tcPr>
          <w:p>
            <w:pPr>
              <w:spacing w:after="0"/>
            </w:pPr>
            <w:r/>
            <w:r>
              <w:rPr>
                <w:rFonts w:ascii="Arial" w:hAnsi="Arial" w:eastAsia="Arial"/>
                <w:b w:val="0"/>
                <w:sz w:val="17"/>
              </w:rPr>
              <w:t>Attestation or co-signature</w:t>
            </w:r>
          </w:p>
        </w:tc>
        <w:tc>
          <w:tcPr>
            <w:tcW w:type="dxa" w:w="2520"/>
            <w:vAlign w:val="top"/>
          </w:tcPr>
          <w:p>
            <w:pPr>
              <w:spacing w:after="0"/>
            </w:pPr>
            <w:r/>
            <w:r>
              <w:rPr>
                <w:rFonts w:ascii="Arial" w:hAnsi="Arial" w:eastAsia="Arial"/>
                <w:b w:val="0"/>
                <w:sz w:val="17"/>
              </w:rPr>
              <w:t>P50 3 min; P75 5 min; P90 8-10 min</w:t>
            </w:r>
          </w:p>
        </w:tc>
        <w:tc>
          <w:tcPr>
            <w:tcW w:type="dxa" w:w="2520"/>
            <w:vAlign w:val="top"/>
          </w:tcPr>
          <w:p>
            <w:pPr>
              <w:spacing w:after="0"/>
            </w:pPr>
            <w:r/>
            <w:r>
              <w:rPr>
                <w:rFonts w:ascii="Arial" w:hAnsi="Arial" w:eastAsia="Arial"/>
                <w:b w:val="0"/>
                <w:sz w:val="17"/>
              </w:rPr>
              <w:t>Same day for clinically material notes</w:t>
            </w:r>
          </w:p>
        </w:tc>
        <w:tc>
          <w:tcPr>
            <w:tcW w:type="dxa" w:w="2520"/>
            <w:vAlign w:val="top"/>
          </w:tcPr>
          <w:p>
            <w:pPr>
              <w:spacing w:after="0"/>
            </w:pPr>
            <w:r/>
            <w:r>
              <w:rPr>
                <w:rFonts w:ascii="Arial" w:hAnsi="Arial" w:eastAsia="Arial"/>
                <w:b w:val="0"/>
                <w:sz w:val="17"/>
              </w:rPr>
              <w:t>Very low; must validate locally</w:t>
            </w:r>
          </w:p>
        </w:tc>
      </w:tr>
    </w:tbl>
    <w:p/>
    <w:p>
      <w:pPr>
        <w:pStyle w:val="Heading1"/>
      </w:pPr>
      <w:r>
        <w:t>4. Note Timing, Freshness, and the Loss of Clinical Usefulness</w:t>
      </w:r>
    </w:p>
    <w:p>
      <w:r>
        <w:t>Direct head-to-head studies comparing note quality immediately after an encounter versus hours or days later are sparse. No large randomized or controlled study directly measures how time lapse from encounter to note completion affects richness, accuracy, nuance, or clinical reasoning. However, multiple evidence streams support the operational assumption that delayed documentation degrades quality through memory decay, reduced readership, greater reconstruction burden, greater copy-forward reliance, and higher rework risk.</w:t>
      </w:r>
    </w:p>
    <w:p>
      <w:r>
        <w:t>The most direct clinical evidence comes from studies of inpatient progress-note signing and readership. Payne and colleagues analyzed 4,938 inpatient progress notes from 418 authors and found that 29 percent were signed after 4 PM. Notes signed later in the day were read less often. The average note length was 886 words, much of the content was located in the Assessment and Plan section, notes were highly similar from one day to the next, and 26 percent had clinical risk associated with preserved or copy-forwarded content (Payne et al. 2021). Trang and colleagues analyzed 8,384 surgical progress notes authored by residents and APPs and found that 53 percent were filed before 10 AM, 44 percent between 10 AM and 6 PM, and only 3 percent after 6 PM. Notes filed before 10 AM received significantly more same-day views than notes filed later, 11.8 versus 8.4 views, with p &lt; 0.0001 (Trang et al. 2022). These data show that note timing affects whether the note is used, which is central to the model’s definition of usefulness.</w:t>
      </w:r>
    </w:p>
    <w:p>
      <w:r>
        <w:t>Educational interventions suggest that earlier notes can also be better notes when time is directed toward structure and reasoning. Kahn and colleagues tested a best-practice progress-note template and documentation lecture across four academic hospitals. The intervention produced notes that were 25 percent shorter, signed an average of 1.3 hours earlier in the day, and improved significantly across all PDQI-9 quality domains, including relevant data, discharge planning, and conciseness (Kahn et al. 2018). The study did not isolate timing as the causal factor, but it supports the model’s premise that earlier, structured, concise notes can be higher quality rather than merely faster.</w:t>
      </w:r>
    </w:p>
    <w:p>
      <w:r>
        <w:t>Resident note-writing patterns also matter. Gong and colleagues identified five distinct temporal patterns of clinical note production among first-year residents. Residents who wrote notes in dispersed sessions throughout the day had higher total daily work hours, while those who wrote notes in a single uninterrupted morning session had lower work hours (Gong et al. 2021). This supports an operational strategy in which inpatient progress notes are completed in a protected morning window rather than scattered across the day or deferred into after-hours work.</w:t>
      </w:r>
    </w:p>
    <w:p>
      <w:r>
        <w:t>Cognitive science offers a theoretical foundation for treating delayed documentation as a quality risk. Barsky described the instability of medical history through forgetting, fabricating, and telescoping, showing that recall of clinical events is inherently unstable (Barsky 2002). Although this evidence focused on patient recall, the same principles apply to physician memory of encounter-specific details. Episodic memory, the memory system used to recall the patient’s exact words, the nuance of affect, and the reasoning behind a decision, is vulnerable to decay, fatigue, stress, and competing demands (Cansino 2009; Hardt, Nader, and Nadel 2013; Luo and Craik 2008). Pajama-time documentation places the physician in precisely this vulnerable state: fatigued, after multiple intervening encounters, reconstructing details from memory and fragments.</w:t>
      </w:r>
    </w:p>
    <w:p>
      <w:r>
        <w:t>Documentation accuracy is imperfect even without long delays. Weiner and colleagues compared 105 physician notes with concealed audio recordings of unannounced standardized patient encounters and found 636 documentation errors: 181 charted findings that never occurred and 455 findings that occurred but were not charted. Ninety percent of notes contained at least one error (Weiner et al. 2020). The study did not measure time lag directly, but it shows that the transformation from encounter to record is already error-prone. Delay plausibly compounds this risk.</w:t>
      </w:r>
    </w:p>
    <w:p>
      <w:r>
        <w:t>Clinicians also report relying on memory and informal artifacts. Saleem and colleagues found that ambulatory clinicians used efficiency strategies such as jotting notes on paper artifacts and later reconstructing full notes from memory and fragments (Saleem et al. 2013). In an emergency department communication study, 11.3 percent of clinicians admitted that they forgot some information before writing notes, and 21 percent reported not having time to write adequate notes (Pun et al. 2017). These findings support the model’s use of a documentation freshness multiplier.</w:t>
      </w:r>
    </w:p>
    <w:p>
      <w:r>
        <w:t>The model therefore treats documentation timing as a quality variable rather than a scheduling preference. For inpatient care, next-day completion of a progress note or event note is usually a capacity failure because the note no longer supports same-day rounds, handoffs, consultants, discharge planning, and care coordination. For outpatient care, a bounded delay may be acceptable, but notes should be managed within a 24-, 48-, or 72-hour service-level agreement depending on clinical risk.</w:t>
      </w:r>
    </w:p>
    <w:tbl>
      <w:tblPr>
        <w:tblStyle w:val="TableGrid"/>
        <w:tblW w:type="auto" w:w="0"/>
        <w:jc w:val="center"/>
        <w:tblLayout w:type="autofit"/>
        <w:tblLook w:firstColumn="1" w:firstRow="1" w:lastColumn="0" w:lastRow="0" w:noHBand="0" w:noVBand="1" w:val="04A0"/>
      </w:tblPr>
      <w:tblGrid>
        <w:gridCol w:w="3360"/>
        <w:gridCol w:w="3360"/>
        <w:gridCol w:w="3360"/>
      </w:tblGrid>
      <w:tr>
        <w:tc>
          <w:tcPr>
            <w:tcW w:type="dxa" w:w="3360"/>
            <w:shd w:fill="D9EAF7"/>
            <w:vAlign w:val="center"/>
          </w:tcPr>
          <w:p>
            <w:pPr>
              <w:spacing w:after="0"/>
            </w:pPr>
            <w:r/>
            <w:r>
              <w:rPr>
                <w:rFonts w:ascii="Arial" w:hAnsi="Arial" w:eastAsia="Arial"/>
                <w:b/>
                <w:sz w:val="17"/>
              </w:rPr>
              <w:t>Time from encounter or inpatient event to signed note</w:t>
            </w:r>
          </w:p>
        </w:tc>
        <w:tc>
          <w:tcPr>
            <w:tcW w:type="dxa" w:w="3360"/>
            <w:shd w:fill="D9EAF7"/>
            <w:vAlign w:val="center"/>
          </w:tcPr>
          <w:p>
            <w:pPr>
              <w:spacing w:after="0"/>
            </w:pPr>
            <w:r/>
            <w:r>
              <w:rPr>
                <w:rFonts w:ascii="Arial" w:hAnsi="Arial" w:eastAsia="Arial"/>
                <w:b/>
                <w:sz w:val="17"/>
              </w:rPr>
              <w:t>Freshness status</w:t>
            </w:r>
          </w:p>
        </w:tc>
        <w:tc>
          <w:tcPr>
            <w:tcW w:type="dxa" w:w="3360"/>
            <w:shd w:fill="D9EAF7"/>
            <w:vAlign w:val="center"/>
          </w:tcPr>
          <w:p>
            <w:pPr>
              <w:spacing w:after="0"/>
            </w:pPr>
            <w:r/>
            <w:r>
              <w:rPr>
                <w:rFonts w:ascii="Arial" w:hAnsi="Arial" w:eastAsia="Arial"/>
                <w:b/>
                <w:sz w:val="17"/>
              </w:rPr>
              <w:t>Model implication</w:t>
            </w:r>
          </w:p>
        </w:tc>
      </w:tr>
      <w:tr>
        <w:tc>
          <w:tcPr>
            <w:tcW w:type="dxa" w:w="3360"/>
            <w:vAlign w:val="top"/>
          </w:tcPr>
          <w:p>
            <w:pPr>
              <w:spacing w:after="0"/>
            </w:pPr>
            <w:r/>
            <w:r>
              <w:rPr>
                <w:rFonts w:ascii="Arial" w:hAnsi="Arial" w:eastAsia="Arial"/>
                <w:b w:val="0"/>
                <w:sz w:val="17"/>
              </w:rPr>
              <w:t>During encounter or immediately after</w:t>
            </w:r>
          </w:p>
        </w:tc>
        <w:tc>
          <w:tcPr>
            <w:tcW w:type="dxa" w:w="3360"/>
            <w:vAlign w:val="top"/>
          </w:tcPr>
          <w:p>
            <w:pPr>
              <w:spacing w:after="0"/>
            </w:pPr>
            <w:r/>
            <w:r>
              <w:rPr>
                <w:rFonts w:ascii="Arial" w:hAnsi="Arial" w:eastAsia="Arial"/>
                <w:b w:val="0"/>
                <w:sz w:val="17"/>
              </w:rPr>
              <w:t>Fresh</w:t>
            </w:r>
          </w:p>
        </w:tc>
        <w:tc>
          <w:tcPr>
            <w:tcW w:type="dxa" w:w="3360"/>
            <w:vAlign w:val="top"/>
          </w:tcPr>
          <w:p>
            <w:pPr>
              <w:spacing w:after="0"/>
            </w:pPr>
            <w:r/>
            <w:r>
              <w:rPr>
                <w:rFonts w:ascii="Arial" w:hAnsi="Arial" w:eastAsia="Arial"/>
                <w:b w:val="0"/>
                <w:sz w:val="17"/>
              </w:rPr>
              <w:t>Lowest reconstruction risk; multiplier 1.00</w:t>
            </w:r>
          </w:p>
        </w:tc>
      </w:tr>
      <w:tr>
        <w:tc>
          <w:tcPr>
            <w:tcW w:type="dxa" w:w="3360"/>
            <w:vAlign w:val="top"/>
          </w:tcPr>
          <w:p>
            <w:pPr>
              <w:spacing w:after="0"/>
            </w:pPr>
            <w:r/>
            <w:r>
              <w:rPr>
                <w:rFonts w:ascii="Arial" w:hAnsi="Arial" w:eastAsia="Arial"/>
                <w:b w:val="0"/>
                <w:sz w:val="17"/>
              </w:rPr>
              <w:t>Within 30-60 min</w:t>
            </w:r>
          </w:p>
        </w:tc>
        <w:tc>
          <w:tcPr>
            <w:tcW w:type="dxa" w:w="3360"/>
            <w:vAlign w:val="top"/>
          </w:tcPr>
          <w:p>
            <w:pPr>
              <w:spacing w:after="0"/>
            </w:pPr>
            <w:r/>
            <w:r>
              <w:rPr>
                <w:rFonts w:ascii="Arial" w:hAnsi="Arial" w:eastAsia="Arial"/>
                <w:b w:val="0"/>
                <w:sz w:val="17"/>
              </w:rPr>
              <w:t>High freshness</w:t>
            </w:r>
          </w:p>
        </w:tc>
        <w:tc>
          <w:tcPr>
            <w:tcW w:type="dxa" w:w="3360"/>
            <w:vAlign w:val="top"/>
          </w:tcPr>
          <w:p>
            <w:pPr>
              <w:spacing w:after="0"/>
            </w:pPr>
            <w:r/>
            <w:r>
              <w:rPr>
                <w:rFonts w:ascii="Arial" w:hAnsi="Arial" w:eastAsia="Arial"/>
                <w:b w:val="0"/>
                <w:sz w:val="17"/>
              </w:rPr>
              <w:t>Low risk; multiplier 1.00-1.05</w:t>
            </w:r>
          </w:p>
        </w:tc>
      </w:tr>
      <w:tr>
        <w:tc>
          <w:tcPr>
            <w:tcW w:type="dxa" w:w="3360"/>
            <w:vAlign w:val="top"/>
          </w:tcPr>
          <w:p>
            <w:pPr>
              <w:spacing w:after="0"/>
            </w:pPr>
            <w:r/>
            <w:r>
              <w:rPr>
                <w:rFonts w:ascii="Arial" w:hAnsi="Arial" w:eastAsia="Arial"/>
                <w:b w:val="0"/>
                <w:sz w:val="17"/>
              </w:rPr>
              <w:t>Same day during work hours</w:t>
            </w:r>
          </w:p>
        </w:tc>
        <w:tc>
          <w:tcPr>
            <w:tcW w:type="dxa" w:w="3360"/>
            <w:vAlign w:val="top"/>
          </w:tcPr>
          <w:p>
            <w:pPr>
              <w:spacing w:after="0"/>
            </w:pPr>
            <w:r/>
            <w:r>
              <w:rPr>
                <w:rFonts w:ascii="Arial" w:hAnsi="Arial" w:eastAsia="Arial"/>
                <w:b w:val="0"/>
                <w:sz w:val="17"/>
              </w:rPr>
              <w:t>Acceptable</w:t>
            </w:r>
          </w:p>
        </w:tc>
        <w:tc>
          <w:tcPr>
            <w:tcW w:type="dxa" w:w="3360"/>
            <w:vAlign w:val="top"/>
          </w:tcPr>
          <w:p>
            <w:pPr>
              <w:spacing w:after="0"/>
            </w:pPr>
            <w:r/>
            <w:r>
              <w:rPr>
                <w:rFonts w:ascii="Arial" w:hAnsi="Arial" w:eastAsia="Arial"/>
                <w:b w:val="0"/>
                <w:sz w:val="17"/>
              </w:rPr>
              <w:t>Moderate risk; multiplier 1.05-1.10</w:t>
            </w:r>
          </w:p>
        </w:tc>
      </w:tr>
      <w:tr>
        <w:tc>
          <w:tcPr>
            <w:tcW w:type="dxa" w:w="3360"/>
            <w:vAlign w:val="top"/>
          </w:tcPr>
          <w:p>
            <w:pPr>
              <w:spacing w:after="0"/>
            </w:pPr>
            <w:r/>
            <w:r>
              <w:rPr>
                <w:rFonts w:ascii="Arial" w:hAnsi="Arial" w:eastAsia="Arial"/>
                <w:b w:val="0"/>
                <w:sz w:val="17"/>
              </w:rPr>
              <w:t>Evening or pajama time</w:t>
            </w:r>
          </w:p>
        </w:tc>
        <w:tc>
          <w:tcPr>
            <w:tcW w:type="dxa" w:w="3360"/>
            <w:vAlign w:val="top"/>
          </w:tcPr>
          <w:p>
            <w:pPr>
              <w:spacing w:after="0"/>
            </w:pPr>
            <w:r/>
            <w:r>
              <w:rPr>
                <w:rFonts w:ascii="Arial" w:hAnsi="Arial" w:eastAsia="Arial"/>
                <w:b w:val="0"/>
                <w:sz w:val="17"/>
              </w:rPr>
              <w:t>Degraded</w:t>
            </w:r>
          </w:p>
        </w:tc>
        <w:tc>
          <w:tcPr>
            <w:tcW w:type="dxa" w:w="3360"/>
            <w:vAlign w:val="top"/>
          </w:tcPr>
          <w:p>
            <w:pPr>
              <w:spacing w:after="0"/>
            </w:pPr>
            <w:r/>
            <w:r>
              <w:rPr>
                <w:rFonts w:ascii="Arial" w:hAnsi="Arial" w:eastAsia="Arial"/>
                <w:b w:val="0"/>
                <w:sz w:val="17"/>
              </w:rPr>
              <w:t>Fatigue and reconstruction risk; multiplier 1.10-1.25</w:t>
            </w:r>
          </w:p>
        </w:tc>
      </w:tr>
      <w:tr>
        <w:tc>
          <w:tcPr>
            <w:tcW w:type="dxa" w:w="3360"/>
            <w:vAlign w:val="top"/>
          </w:tcPr>
          <w:p>
            <w:pPr>
              <w:spacing w:after="0"/>
            </w:pPr>
            <w:r/>
            <w:r>
              <w:rPr>
                <w:rFonts w:ascii="Arial" w:hAnsi="Arial" w:eastAsia="Arial"/>
                <w:b w:val="0"/>
                <w:sz w:val="17"/>
              </w:rPr>
              <w:t>Next day</w:t>
            </w:r>
          </w:p>
        </w:tc>
        <w:tc>
          <w:tcPr>
            <w:tcW w:type="dxa" w:w="3360"/>
            <w:vAlign w:val="top"/>
          </w:tcPr>
          <w:p>
            <w:pPr>
              <w:spacing w:after="0"/>
            </w:pPr>
            <w:r/>
            <w:r>
              <w:rPr>
                <w:rFonts w:ascii="Arial" w:hAnsi="Arial" w:eastAsia="Arial"/>
                <w:b w:val="0"/>
                <w:sz w:val="17"/>
              </w:rPr>
              <w:t>Stale</w:t>
            </w:r>
          </w:p>
        </w:tc>
        <w:tc>
          <w:tcPr>
            <w:tcW w:type="dxa" w:w="3360"/>
            <w:vAlign w:val="top"/>
          </w:tcPr>
          <w:p>
            <w:pPr>
              <w:spacing w:after="0"/>
            </w:pPr>
            <w:r/>
            <w:r>
              <w:rPr>
                <w:rFonts w:ascii="Arial" w:hAnsi="Arial" w:eastAsia="Arial"/>
                <w:b w:val="0"/>
                <w:sz w:val="17"/>
              </w:rPr>
              <w:t>High risk; multiplier 1.25-1.50</w:t>
            </w:r>
          </w:p>
        </w:tc>
      </w:tr>
      <w:tr>
        <w:tc>
          <w:tcPr>
            <w:tcW w:type="dxa" w:w="3360"/>
            <w:vAlign w:val="top"/>
          </w:tcPr>
          <w:p>
            <w:pPr>
              <w:spacing w:after="0"/>
            </w:pPr>
            <w:r/>
            <w:r>
              <w:rPr>
                <w:rFonts w:ascii="Arial" w:hAnsi="Arial" w:eastAsia="Arial"/>
                <w:b w:val="0"/>
                <w:sz w:val="17"/>
              </w:rPr>
              <w:t>More than 48 h</w:t>
            </w:r>
          </w:p>
        </w:tc>
        <w:tc>
          <w:tcPr>
            <w:tcW w:type="dxa" w:w="3360"/>
            <w:vAlign w:val="top"/>
          </w:tcPr>
          <w:p>
            <w:pPr>
              <w:spacing w:after="0"/>
            </w:pPr>
            <w:r/>
            <w:r>
              <w:rPr>
                <w:rFonts w:ascii="Arial" w:hAnsi="Arial" w:eastAsia="Arial"/>
                <w:b w:val="0"/>
                <w:sz w:val="17"/>
              </w:rPr>
              <w:t>Very stale</w:t>
            </w:r>
          </w:p>
        </w:tc>
        <w:tc>
          <w:tcPr>
            <w:tcW w:type="dxa" w:w="3360"/>
            <w:vAlign w:val="top"/>
          </w:tcPr>
          <w:p>
            <w:pPr>
              <w:spacing w:after="0"/>
            </w:pPr>
            <w:r/>
            <w:r>
              <w:rPr>
                <w:rFonts w:ascii="Arial" w:hAnsi="Arial" w:eastAsia="Arial"/>
                <w:b w:val="0"/>
                <w:sz w:val="17"/>
              </w:rPr>
              <w:t>Quality review trigger; multiplier 1.50 or greater</w:t>
            </w:r>
          </w:p>
        </w:tc>
      </w:tr>
    </w:tbl>
    <w:p/>
    <w:p>
      <w:pPr>
        <w:pStyle w:val="Heading1"/>
      </w:pPr>
      <w:r>
        <w:t>5. Documentation Method, Support, and Time Multipliers</w:t>
      </w:r>
    </w:p>
    <w:p>
      <w:r>
        <w:t>Documentation method materially affects time demand, but method effects must be interpreted in relation to quality. A method that reduces drafting time but increases editing, rework, note bloat, or accuracy risk should not be counted as a true productivity gain. The relevant endpoint is minutes per high-quality signed note, not minutes per signed note.</w:t>
      </w:r>
    </w:p>
    <w:p>
      <w:r>
        <w:t>Rotenstein, Apathy, Holmgren, and Bates identified six distinct note-composition strategies among 215,207 ambulatory physicians and found substantial variation in time costs. Physicians using primarily voice recognition and transcription spent the least time on notes, averaging 4.8 minutes per visit. Physicians relying predominantly on copy/paste spent the most time on notes, averaging 13.1 minutes per visit, and had more after-hours EHR use. SmartTools and templates were the most common strategy and had moderate note time (Rotenstein et al. 2023). This finding is important because copy/paste, often perceived as a time-saving strategy, may be associated with longer notes, more after-hours work, and higher downstream risk.</w:t>
      </w:r>
    </w:p>
    <w:p>
      <w:r>
        <w:t>Blackley and colleagues compared speech recognition with typing in clinical documentation and found that documentation time was similar between methods, but dictated notes were longer, with 321 versus 181 words, and of higher quality. Physicians perceived dictation as faster and more efficient (Blackley et al. 2020). Willoughby, Hekman, and Schnapp found in emergency medicine that dictated notes were completed within 24 hours at a higher rate than typed notes, 77.9 percent versus 70.9 percent, and contained more characters (Willoughby, Hekman, and Schnapp 2025). Dawdy, Munter, and Gilmore found that workload correlated with documentation errors in handwritten charts but that dictation appeared to buffer this effect, likely because dictation captured information closer to the encounter (Dawdy, Munter, and Gilmore 1997).</w:t>
      </w:r>
    </w:p>
    <w:p>
      <w:r>
        <w:t>Human scribes and team-based documentation support can reduce documentation time, but benefits depend on intensity and adoption. Apathy, Holmgren, and Cross studied 18,265 physicians and found that adopting team-based documentation reduced documentation time by 9.1 percent overall, equivalent to 23 minutes per week. After a 20-week learning period, high-intensity adopters, defined as those with more than 40 percent of note text authored by others, experienced a 28.1 percent decrease, or about 72 minutes per week less documentation time. Low-intensity scribe use did not meaningfully reduce EHR time (Apathy, Holmgren, and Cross 2024). Mishra, Kiang, and Grant, in a crossover study of 18 primary care physicians, found that scribes reduced documentation time by approximately 3.5 minutes per patient, reduced note finalization time from 0.96 days to 0.26 days, and reduced after-hours EHR burden (Mishra, Kiang, and Grant 2018). Jhaveri and colleagues reported related benefits in outpatient pediatric primary care (Jhaveri et al. 2022).</w:t>
      </w:r>
    </w:p>
    <w:p>
      <w:r>
        <w:t>Ambient AI documentation tools appear promising but should be modeled with adoption intensity, learning curve, and quality verification requirements. Rotenstein, Holmgren, Thombley, and colleagues conducted a large 2026 JAMA study across five academic medical centers and 8,581 clinicians. AI scribe adoption was associated with 13 fewer minutes of total EHR time and 16 fewer minutes of documentation time per eight hours of scheduled patient care, representing 3.0 percent and 10.0 percent relative decreases, respectively. Primary care clinicians saw larger reductions, with 25 fewer minutes of total EHR time and 27 fewer minutes of documentation time. High-intensity users, defined as using the AI scribe for at least 50 percent of visits, had roughly twice the reduction in total EHR time and three times the reduction in documentation time compared with low-intensity users. Female clinicians saw 19 fewer minutes in both total EHR time and documentation time (Rotenstein et al. 2026).</w:t>
      </w:r>
    </w:p>
    <w:p>
      <w:r>
        <w:t>Emergency and hybrid models also suggest potential benefit. Lipinski, Smith, and Vaillancourt reported in a simulated emergency department study that ambient AI reduced documentation time by 39 percent compared with voice dictation, with AI note editing taking 1 minute and 15 seconds compared with 2 minutes and 5 seconds for dictation, and 69 percent of AI-generated note sections requiring no edits (Lipinski, Smith, and Vaillancourt 2026). Moura and colleagues described a hybrid ambient documentation model combining AI with a virtual scribe, reducing documentation delay by 66.5 percent and increasing financial productivity by 12.1 percent within 50 days (Moura et al. 2026).</w:t>
      </w:r>
    </w:p>
    <w:p>
      <w:r>
        <w:t>The model therefore uses method multipliers rather than fixed time savings. Efficient templates may reduce time if they are concise and support reasoning. Copy-forward-heavy workflows may increase the effective time burden through rework and bloat. Dictation and transcription often reduce composition time for narrative notes. Scribes and AI require adoption thresholds and a learning curve. AI may reduce drafting time but cannot eliminate physician review of accuracy, reasoning, and actionability.</w:t>
      </w:r>
    </w:p>
    <w:tbl>
      <w:tblPr>
        <w:tblStyle w:val="TableGrid"/>
        <w:tblW w:type="auto" w:w="0"/>
        <w:jc w:val="center"/>
        <w:tblLayout w:type="autofit"/>
        <w:tblLook w:firstColumn="1" w:firstRow="1" w:lastColumn="0" w:lastRow="0" w:noHBand="0" w:noVBand="1" w:val="04A0"/>
      </w:tblPr>
      <w:tblGrid>
        <w:gridCol w:w="3360"/>
        <w:gridCol w:w="3360"/>
        <w:gridCol w:w="3360"/>
      </w:tblGrid>
      <w:tr>
        <w:tc>
          <w:tcPr>
            <w:tcW w:type="dxa" w:w="3360"/>
            <w:shd w:fill="D9EAF7"/>
            <w:vAlign w:val="center"/>
          </w:tcPr>
          <w:p>
            <w:pPr>
              <w:spacing w:after="0"/>
            </w:pPr>
            <w:r/>
            <w:r>
              <w:rPr>
                <w:rFonts w:ascii="Arial" w:hAnsi="Arial" w:eastAsia="Arial"/>
                <w:b/>
                <w:sz w:val="17"/>
              </w:rPr>
              <w:t>Documentation method</w:t>
            </w:r>
          </w:p>
        </w:tc>
        <w:tc>
          <w:tcPr>
            <w:tcW w:type="dxa" w:w="3360"/>
            <w:shd w:fill="D9EAF7"/>
            <w:vAlign w:val="center"/>
          </w:tcPr>
          <w:p>
            <w:pPr>
              <w:spacing w:after="0"/>
            </w:pPr>
            <w:r/>
            <w:r>
              <w:rPr>
                <w:rFonts w:ascii="Arial" w:hAnsi="Arial" w:eastAsia="Arial"/>
                <w:b/>
                <w:sz w:val="17"/>
              </w:rPr>
              <w:t>Suggested multiplier</w:t>
            </w:r>
          </w:p>
        </w:tc>
        <w:tc>
          <w:tcPr>
            <w:tcW w:type="dxa" w:w="3360"/>
            <w:shd w:fill="D9EAF7"/>
            <w:vAlign w:val="center"/>
          </w:tcPr>
          <w:p>
            <w:pPr>
              <w:spacing w:after="0"/>
            </w:pPr>
            <w:r/>
            <w:r>
              <w:rPr>
                <w:rFonts w:ascii="Arial" w:hAnsi="Arial" w:eastAsia="Arial"/>
                <w:b/>
                <w:sz w:val="17"/>
              </w:rPr>
              <w:t>Model interpretation</w:t>
            </w:r>
          </w:p>
        </w:tc>
      </w:tr>
      <w:tr>
        <w:tc>
          <w:tcPr>
            <w:tcW w:type="dxa" w:w="3360"/>
            <w:vAlign w:val="top"/>
          </w:tcPr>
          <w:p>
            <w:pPr>
              <w:spacing w:after="0"/>
            </w:pPr>
            <w:r/>
            <w:r>
              <w:rPr>
                <w:rFonts w:ascii="Arial" w:hAnsi="Arial" w:eastAsia="Arial"/>
                <w:b w:val="0"/>
                <w:sz w:val="17"/>
              </w:rPr>
              <w:t>Manual typing</w:t>
            </w:r>
          </w:p>
        </w:tc>
        <w:tc>
          <w:tcPr>
            <w:tcW w:type="dxa" w:w="3360"/>
            <w:vAlign w:val="top"/>
          </w:tcPr>
          <w:p>
            <w:pPr>
              <w:spacing w:after="0"/>
            </w:pPr>
            <w:r/>
            <w:r>
              <w:rPr>
                <w:rFonts w:ascii="Arial" w:hAnsi="Arial" w:eastAsia="Arial"/>
                <w:b w:val="0"/>
                <w:sz w:val="17"/>
              </w:rPr>
              <w:t>1.00</w:t>
            </w:r>
          </w:p>
        </w:tc>
        <w:tc>
          <w:tcPr>
            <w:tcW w:type="dxa" w:w="3360"/>
            <w:vAlign w:val="top"/>
          </w:tcPr>
          <w:p>
            <w:pPr>
              <w:spacing w:after="0"/>
            </w:pPr>
            <w:r/>
            <w:r>
              <w:rPr>
                <w:rFonts w:ascii="Arial" w:hAnsi="Arial" w:eastAsia="Arial"/>
                <w:b w:val="0"/>
                <w:sz w:val="17"/>
              </w:rPr>
              <w:t>Baseline</w:t>
            </w:r>
          </w:p>
        </w:tc>
      </w:tr>
      <w:tr>
        <w:tc>
          <w:tcPr>
            <w:tcW w:type="dxa" w:w="3360"/>
            <w:vAlign w:val="top"/>
          </w:tcPr>
          <w:p>
            <w:pPr>
              <w:spacing w:after="0"/>
            </w:pPr>
            <w:r/>
            <w:r>
              <w:rPr>
                <w:rFonts w:ascii="Arial" w:hAnsi="Arial" w:eastAsia="Arial"/>
                <w:b w:val="0"/>
                <w:sz w:val="17"/>
              </w:rPr>
              <w:t>Efficient template or structured A&amp;P</w:t>
            </w:r>
          </w:p>
        </w:tc>
        <w:tc>
          <w:tcPr>
            <w:tcW w:type="dxa" w:w="3360"/>
            <w:vAlign w:val="top"/>
          </w:tcPr>
          <w:p>
            <w:pPr>
              <w:spacing w:after="0"/>
            </w:pPr>
            <w:r/>
            <w:r>
              <w:rPr>
                <w:rFonts w:ascii="Arial" w:hAnsi="Arial" w:eastAsia="Arial"/>
                <w:b w:val="0"/>
                <w:sz w:val="17"/>
              </w:rPr>
              <w:t>0.85-1.00</w:t>
            </w:r>
          </w:p>
        </w:tc>
        <w:tc>
          <w:tcPr>
            <w:tcW w:type="dxa" w:w="3360"/>
            <w:vAlign w:val="top"/>
          </w:tcPr>
          <w:p>
            <w:pPr>
              <w:spacing w:after="0"/>
            </w:pPr>
            <w:r/>
            <w:r>
              <w:rPr>
                <w:rFonts w:ascii="Arial" w:hAnsi="Arial" w:eastAsia="Arial"/>
                <w:b w:val="0"/>
                <w:sz w:val="17"/>
              </w:rPr>
              <w:t>Helpful if concise and clinically oriented</w:t>
            </w:r>
          </w:p>
        </w:tc>
      </w:tr>
      <w:tr>
        <w:tc>
          <w:tcPr>
            <w:tcW w:type="dxa" w:w="3360"/>
            <w:vAlign w:val="top"/>
          </w:tcPr>
          <w:p>
            <w:pPr>
              <w:spacing w:after="0"/>
            </w:pPr>
            <w:r/>
            <w:r>
              <w:rPr>
                <w:rFonts w:ascii="Arial" w:hAnsi="Arial" w:eastAsia="Arial"/>
                <w:b w:val="0"/>
                <w:sz w:val="17"/>
              </w:rPr>
              <w:t>Dictation or transcription</w:t>
            </w:r>
          </w:p>
        </w:tc>
        <w:tc>
          <w:tcPr>
            <w:tcW w:type="dxa" w:w="3360"/>
            <w:vAlign w:val="top"/>
          </w:tcPr>
          <w:p>
            <w:pPr>
              <w:spacing w:after="0"/>
            </w:pPr>
            <w:r/>
            <w:r>
              <w:rPr>
                <w:rFonts w:ascii="Arial" w:hAnsi="Arial" w:eastAsia="Arial"/>
                <w:b w:val="0"/>
                <w:sz w:val="17"/>
              </w:rPr>
              <w:t>0.60-0.85</w:t>
            </w:r>
          </w:p>
        </w:tc>
        <w:tc>
          <w:tcPr>
            <w:tcW w:type="dxa" w:w="3360"/>
            <w:vAlign w:val="top"/>
          </w:tcPr>
          <w:p>
            <w:pPr>
              <w:spacing w:after="0"/>
            </w:pPr>
            <w:r/>
            <w:r>
              <w:rPr>
                <w:rFonts w:ascii="Arial" w:hAnsi="Arial" w:eastAsia="Arial"/>
                <w:b w:val="0"/>
                <w:sz w:val="17"/>
              </w:rPr>
              <w:t>Often faster for narrative notes</w:t>
            </w:r>
          </w:p>
        </w:tc>
      </w:tr>
      <w:tr>
        <w:tc>
          <w:tcPr>
            <w:tcW w:type="dxa" w:w="3360"/>
            <w:vAlign w:val="top"/>
          </w:tcPr>
          <w:p>
            <w:pPr>
              <w:spacing w:after="0"/>
            </w:pPr>
            <w:r/>
            <w:r>
              <w:rPr>
                <w:rFonts w:ascii="Arial" w:hAnsi="Arial" w:eastAsia="Arial"/>
                <w:b w:val="0"/>
                <w:sz w:val="17"/>
              </w:rPr>
              <w:t>Low-intensity human scribe/team documentation</w:t>
            </w:r>
          </w:p>
        </w:tc>
        <w:tc>
          <w:tcPr>
            <w:tcW w:type="dxa" w:w="3360"/>
            <w:vAlign w:val="top"/>
          </w:tcPr>
          <w:p>
            <w:pPr>
              <w:spacing w:after="0"/>
            </w:pPr>
            <w:r/>
            <w:r>
              <w:rPr>
                <w:rFonts w:ascii="Arial" w:hAnsi="Arial" w:eastAsia="Arial"/>
                <w:b w:val="0"/>
                <w:sz w:val="17"/>
              </w:rPr>
              <w:t>0.90-1.00</w:t>
            </w:r>
          </w:p>
        </w:tc>
        <w:tc>
          <w:tcPr>
            <w:tcW w:type="dxa" w:w="3360"/>
            <w:vAlign w:val="top"/>
          </w:tcPr>
          <w:p>
            <w:pPr>
              <w:spacing w:after="0"/>
            </w:pPr>
            <w:r/>
            <w:r>
              <w:rPr>
                <w:rFonts w:ascii="Arial" w:hAnsi="Arial" w:eastAsia="Arial"/>
                <w:b w:val="0"/>
                <w:sz w:val="17"/>
              </w:rPr>
              <w:t>Often insufficient to change workload</w:t>
            </w:r>
          </w:p>
        </w:tc>
      </w:tr>
      <w:tr>
        <w:tc>
          <w:tcPr>
            <w:tcW w:type="dxa" w:w="3360"/>
            <w:vAlign w:val="top"/>
          </w:tcPr>
          <w:p>
            <w:pPr>
              <w:spacing w:after="0"/>
            </w:pPr>
            <w:r/>
            <w:r>
              <w:rPr>
                <w:rFonts w:ascii="Arial" w:hAnsi="Arial" w:eastAsia="Arial"/>
                <w:b w:val="0"/>
                <w:sz w:val="17"/>
              </w:rPr>
              <w:t>High-intensity human scribe/team documentation</w:t>
            </w:r>
          </w:p>
        </w:tc>
        <w:tc>
          <w:tcPr>
            <w:tcW w:type="dxa" w:w="3360"/>
            <w:vAlign w:val="top"/>
          </w:tcPr>
          <w:p>
            <w:pPr>
              <w:spacing w:after="0"/>
            </w:pPr>
            <w:r/>
            <w:r>
              <w:rPr>
                <w:rFonts w:ascii="Arial" w:hAnsi="Arial" w:eastAsia="Arial"/>
                <w:b w:val="0"/>
                <w:sz w:val="17"/>
              </w:rPr>
              <w:t>0.70-0.85</w:t>
            </w:r>
          </w:p>
        </w:tc>
        <w:tc>
          <w:tcPr>
            <w:tcW w:type="dxa" w:w="3360"/>
            <w:vAlign w:val="top"/>
          </w:tcPr>
          <w:p>
            <w:pPr>
              <w:spacing w:after="0"/>
            </w:pPr>
            <w:r/>
            <w:r>
              <w:rPr>
                <w:rFonts w:ascii="Arial" w:hAnsi="Arial" w:eastAsia="Arial"/>
                <w:b w:val="0"/>
                <w:sz w:val="17"/>
              </w:rPr>
              <w:t>Benefits improve after learning curve</w:t>
            </w:r>
          </w:p>
        </w:tc>
      </w:tr>
      <w:tr>
        <w:tc>
          <w:tcPr>
            <w:tcW w:type="dxa" w:w="3360"/>
            <w:vAlign w:val="top"/>
          </w:tcPr>
          <w:p>
            <w:pPr>
              <w:spacing w:after="0"/>
            </w:pPr>
            <w:r/>
            <w:r>
              <w:rPr>
                <w:rFonts w:ascii="Arial" w:hAnsi="Arial" w:eastAsia="Arial"/>
                <w:b w:val="0"/>
                <w:sz w:val="17"/>
              </w:rPr>
              <w:t>Low-intensity ambient AI</w:t>
            </w:r>
          </w:p>
        </w:tc>
        <w:tc>
          <w:tcPr>
            <w:tcW w:type="dxa" w:w="3360"/>
            <w:vAlign w:val="top"/>
          </w:tcPr>
          <w:p>
            <w:pPr>
              <w:spacing w:after="0"/>
            </w:pPr>
            <w:r/>
            <w:r>
              <w:rPr>
                <w:rFonts w:ascii="Arial" w:hAnsi="Arial" w:eastAsia="Arial"/>
                <w:b w:val="0"/>
                <w:sz w:val="17"/>
              </w:rPr>
              <w:t>0.85-0.95</w:t>
            </w:r>
          </w:p>
        </w:tc>
        <w:tc>
          <w:tcPr>
            <w:tcW w:type="dxa" w:w="3360"/>
            <w:vAlign w:val="top"/>
          </w:tcPr>
          <w:p>
            <w:pPr>
              <w:spacing w:after="0"/>
            </w:pPr>
            <w:r/>
            <w:r>
              <w:rPr>
                <w:rFonts w:ascii="Arial" w:hAnsi="Arial" w:eastAsia="Arial"/>
                <w:b w:val="0"/>
                <w:sz w:val="17"/>
              </w:rPr>
              <w:t>Modest benefit</w:t>
            </w:r>
          </w:p>
        </w:tc>
      </w:tr>
      <w:tr>
        <w:tc>
          <w:tcPr>
            <w:tcW w:type="dxa" w:w="3360"/>
            <w:vAlign w:val="top"/>
          </w:tcPr>
          <w:p>
            <w:pPr>
              <w:spacing w:after="0"/>
            </w:pPr>
            <w:r/>
            <w:r>
              <w:rPr>
                <w:rFonts w:ascii="Arial" w:hAnsi="Arial" w:eastAsia="Arial"/>
                <w:b w:val="0"/>
                <w:sz w:val="17"/>
              </w:rPr>
              <w:t>High-intensity ambient AI with clinician review</w:t>
            </w:r>
          </w:p>
        </w:tc>
        <w:tc>
          <w:tcPr>
            <w:tcW w:type="dxa" w:w="3360"/>
            <w:vAlign w:val="top"/>
          </w:tcPr>
          <w:p>
            <w:pPr>
              <w:spacing w:after="0"/>
            </w:pPr>
            <w:r/>
            <w:r>
              <w:rPr>
                <w:rFonts w:ascii="Arial" w:hAnsi="Arial" w:eastAsia="Arial"/>
                <w:b w:val="0"/>
                <w:sz w:val="17"/>
              </w:rPr>
              <w:t>0.70-0.90</w:t>
            </w:r>
          </w:p>
        </w:tc>
        <w:tc>
          <w:tcPr>
            <w:tcW w:type="dxa" w:w="3360"/>
            <w:vAlign w:val="top"/>
          </w:tcPr>
          <w:p>
            <w:pPr>
              <w:spacing w:after="0"/>
            </w:pPr>
            <w:r/>
            <w:r>
              <w:rPr>
                <w:rFonts w:ascii="Arial" w:hAnsi="Arial" w:eastAsia="Arial"/>
                <w:b w:val="0"/>
                <w:sz w:val="17"/>
              </w:rPr>
              <w:t>Greater benefit when used for at least half of eligible visits</w:t>
            </w:r>
          </w:p>
        </w:tc>
      </w:tr>
      <w:tr>
        <w:tc>
          <w:tcPr>
            <w:tcW w:type="dxa" w:w="3360"/>
            <w:vAlign w:val="top"/>
          </w:tcPr>
          <w:p>
            <w:pPr>
              <w:spacing w:after="0"/>
            </w:pPr>
            <w:r/>
            <w:r>
              <w:rPr>
                <w:rFonts w:ascii="Arial" w:hAnsi="Arial" w:eastAsia="Arial"/>
                <w:b w:val="0"/>
                <w:sz w:val="17"/>
              </w:rPr>
              <w:t>Copy-forward-heavy workflow</w:t>
            </w:r>
          </w:p>
        </w:tc>
        <w:tc>
          <w:tcPr>
            <w:tcW w:type="dxa" w:w="3360"/>
            <w:vAlign w:val="top"/>
          </w:tcPr>
          <w:p>
            <w:pPr>
              <w:spacing w:after="0"/>
            </w:pPr>
            <w:r/>
            <w:r>
              <w:rPr>
                <w:rFonts w:ascii="Arial" w:hAnsi="Arial" w:eastAsia="Arial"/>
                <w:b w:val="0"/>
                <w:sz w:val="17"/>
              </w:rPr>
              <w:t>1.10-1.40</w:t>
            </w:r>
          </w:p>
        </w:tc>
        <w:tc>
          <w:tcPr>
            <w:tcW w:type="dxa" w:w="3360"/>
            <w:vAlign w:val="top"/>
          </w:tcPr>
          <w:p>
            <w:pPr>
              <w:spacing w:after="0"/>
            </w:pPr>
            <w:r/>
            <w:r>
              <w:rPr>
                <w:rFonts w:ascii="Arial" w:hAnsi="Arial" w:eastAsia="Arial"/>
                <w:b w:val="0"/>
                <w:sz w:val="17"/>
              </w:rPr>
              <w:t>May appear fast but increases bloat, rework, and error risk</w:t>
            </w:r>
          </w:p>
        </w:tc>
      </w:tr>
      <w:tr>
        <w:tc>
          <w:tcPr>
            <w:tcW w:type="dxa" w:w="3360"/>
            <w:vAlign w:val="top"/>
          </w:tcPr>
          <w:p>
            <w:pPr>
              <w:spacing w:after="0"/>
            </w:pPr>
            <w:r/>
            <w:r>
              <w:rPr>
                <w:rFonts w:ascii="Arial" w:hAnsi="Arial" w:eastAsia="Arial"/>
                <w:b w:val="0"/>
                <w:sz w:val="17"/>
              </w:rPr>
              <w:t>New implementation period</w:t>
            </w:r>
          </w:p>
        </w:tc>
        <w:tc>
          <w:tcPr>
            <w:tcW w:type="dxa" w:w="3360"/>
            <w:vAlign w:val="top"/>
          </w:tcPr>
          <w:p>
            <w:pPr>
              <w:spacing w:after="0"/>
            </w:pPr>
            <w:r/>
            <w:r>
              <w:rPr>
                <w:rFonts w:ascii="Arial" w:hAnsi="Arial" w:eastAsia="Arial"/>
                <w:b w:val="0"/>
                <w:sz w:val="17"/>
              </w:rPr>
              <w:t>Add 10-20% friction</w:t>
            </w:r>
          </w:p>
        </w:tc>
        <w:tc>
          <w:tcPr>
            <w:tcW w:type="dxa" w:w="3360"/>
            <w:vAlign w:val="top"/>
          </w:tcPr>
          <w:p>
            <w:pPr>
              <w:spacing w:after="0"/>
            </w:pPr>
            <w:r/>
            <w:r>
              <w:rPr>
                <w:rFonts w:ascii="Arial" w:hAnsi="Arial" w:eastAsia="Arial"/>
                <w:b w:val="0"/>
                <w:sz w:val="17"/>
              </w:rPr>
              <w:t>Especially during first 8-20 weeks</w:t>
            </w:r>
          </w:p>
        </w:tc>
      </w:tr>
    </w:tbl>
    <w:p/>
    <w:p>
      <w:pPr>
        <w:pStyle w:val="Heading1"/>
      </w:pPr>
      <w:r>
        <w:t>6. Measuring Note Quality</w:t>
      </w:r>
    </w:p>
    <w:p>
      <w:r>
        <w:t>Several validated instruments and frameworks define and measure clinical note quality. These tools support the model’s claim that documentation time must be evaluated against quality rather than signature alone. They also show that quality includes dimensions beyond billing adequacy or template completion.</w:t>
      </w:r>
    </w:p>
    <w:p>
      <w:r>
        <w:t>QNOTE is a validated instrument that assesses 12 note elements on a 0-to-100 scale and has strong inter-rater agreement, with an intraclass correlation coefficient of 0.82. It evaluates up-to-date status, accuracy, thoroughness, usefulness, organization, comprehensibility, conciseness, synthesis, and internal consistency. QNOTE has been used to show that EHR adoption improved note quality from a mean of 52 for handwritten notes to 80.4 five years after EHR implementation, and that structured and standardized documentation improved scores from 64.4 to 77.2, with p &lt; 0.001 (Burke et al. 2014; Burke et al. 2015; Ebbers et al. 2022).</w:t>
      </w:r>
    </w:p>
    <w:p>
      <w:r>
        <w:t>The Physician Documentation Quality Instrument, or PDQI, is a 22-item semantic differential scale later shortened to PDQI-9. It identifies four core quality dimensions that factor together across note types: up-to-date and current; brief, concise, and succinct; organized and structured; and correct, comprehensible, and consistent. Internal consistency reliability ranges from 0.86 to 0.88 across admission, progress, and discharge notes (Stetson et al. 2008; Stetson et al. 2012). A validated Spanish PDQI-9 study of discharge summaries found that accuracy scored highest, with a mean of 4.32 out of 5, while conciseness scored lowest, with a mean of 3.28 out of 5 (Carral et al. 2026).</w:t>
      </w:r>
    </w:p>
    <w:p>
      <w:r>
        <w:t>The Admission Note Assessment Tool, or ANAT, is a 16-item checklist plus two global assessment items designed for trainee admission notes. It incorporates billing criteria, targets note bloat, and maps to ACGME milestones. Rater agreement ranged from 72 to 100 percent for checklist items (Weber et al. 2020). The CRANAPL rubric, designed specifically for the Assessment and Plan section of admission notes, evaluates problem-list completeness, prioritization, diagnostic reasoning, differential diagnosis, data supporting and refuting diagnoses, diagnostic workup, therapeutic plan, contingency planning, and disposition or follow-up. Kotwal and colleagues found a mean score of 6.4 out of 9 across 285 admission notes, with academic hospitals scoring higher than community hospitals, 7.4 versus 5.2, p &lt; 0.001 (Kotwal et al. 2019).</w:t>
      </w:r>
    </w:p>
    <w:p>
      <w:r>
        <w:rPr>
          <w:rFonts w:ascii="Arial" w:hAnsi="Arial" w:eastAsia="Arial"/>
          <w:sz w:val="20"/>
        </w:rPr>
        <w:t>Electronic admission-note design can also affect quality. Jamieson and colleagues conducted a randomized trial and found that an electronic documentation system improved admission-note quality, including a significantly higher Impression and Plan subsection score in electronic notes compared with paper notes, 89 versus 77, p = 0.001 (Jamieson et al. 2017). This evidence supports the claim that structure can improve quality when it helps clinicians express reasoning rather than merely increasing templated content.</w:t>
      </w:r>
    </w:p>
    <w:p>
      <w:r>
        <w:t>The revised IDEA tool focuses on clinical reasoning documentation through the interpretive summary, differential diagnosis, explanation of reasoning for the lead diagnosis, and explanation of reasoning for alternative diagnoses. Schaye and colleagues found that only 53 percent of trainee admission notes met the threshold for high-quality clinical reasoning documentation, defined as a score of 6 or greater out of 10 (Schaye et al. 2022). In the book manuscript’s broader argument, this supports the distinction between producing a record and writing the reasoning.</w:t>
      </w:r>
    </w:p>
    <w:p>
      <w:r>
        <w:t>A recent hospitalist-focused 14-item progress-note rubric developed by Vaid and colleagues correlated highly, r = 0.72, with a global rating of how well the note would prepare the next provider to take over care. A randomized educational intervention improved all 14 rubric items without increasing note length (Vaid et al. 2025). This is especially important for the Time model because it shows that note quality can improve without making notes longer. The model’s target is not longer documentation but higher-value documentation.</w:t>
      </w:r>
    </w:p>
    <w:p>
      <w:r>
        <w:t>Stakeholder research also defines note quality around usefulness, readability, and actionability. Hanson and colleagues derived a stakeholder definition of outpatient note quality and identified content codes such as problem prioritization, care delivered, interdisciplinary information, readability, and actionability. Clinicians and administrators identified ease of translation into billing codes as a quality characteristic, while patients and nurses did not, illustrating the multiple audiences of a note (Hanson et al. 2012).</w:t>
      </w:r>
    </w:p>
    <w:p>
      <w:r>
        <w:rPr>
          <w:rFonts w:ascii="Arial" w:hAnsi="Arial" w:eastAsia="Arial"/>
          <w:sz w:val="20"/>
        </w:rPr>
        <w:t>Accuracy and thoroughness problems are observable even in routine outpatient documentation. Weiner and colleagues studied outpatient primary care documentation in the U.S. Department of Veterans Affairs and found that many issues raised by patients during encounters were omitted from notes, and that nearly half of notes contained information that could not be verified from the encounter itself (Weiner et al. 2024). This evidence supports the model’s treatment of accuracy as a gate rather than a simple scoring domain.</w:t>
      </w:r>
    </w:p>
    <w:p>
      <w:r>
        <w:t>The American College of Physicians emphasized that the primary purpose of clinical documentation should be to support patient care and improve outcomes through enhanced communication (Kuhn et al. 2015). This policy position aligns with the model’s claim that billing adequacy is necessary but not sufficient. A note can support billing while failing its primary clinical function if it does not communicate reasoning, uncertainty, and action.</w:t>
      </w:r>
    </w:p>
    <w:tbl>
      <w:tblPr>
        <w:tblStyle w:val="TableGrid"/>
        <w:tblW w:type="auto" w:w="0"/>
        <w:jc w:val="center"/>
        <w:tblLayout w:type="autofit"/>
        <w:tblLook w:firstColumn="1" w:firstRow="1" w:lastColumn="0" w:lastRow="0" w:noHBand="0" w:noVBand="1" w:val="04A0"/>
      </w:tblPr>
      <w:tblGrid>
        <w:gridCol w:w="5040"/>
        <w:gridCol w:w="5040"/>
      </w:tblGrid>
      <w:tr>
        <w:tc>
          <w:tcPr>
            <w:tcW w:type="dxa" w:w="5040"/>
            <w:shd w:fill="D9EAF7"/>
            <w:vAlign w:val="center"/>
          </w:tcPr>
          <w:p>
            <w:pPr>
              <w:spacing w:after="0"/>
            </w:pPr>
            <w:r/>
            <w:r>
              <w:rPr>
                <w:rFonts w:ascii="Arial" w:hAnsi="Arial" w:eastAsia="Arial"/>
                <w:b/>
                <w:sz w:val="17"/>
              </w:rPr>
              <w:t>Quality domain</w:t>
            </w:r>
          </w:p>
        </w:tc>
        <w:tc>
          <w:tcPr>
            <w:tcW w:type="dxa" w:w="5040"/>
            <w:shd w:fill="D9EAF7"/>
            <w:vAlign w:val="center"/>
          </w:tcPr>
          <w:p>
            <w:pPr>
              <w:spacing w:after="0"/>
            </w:pPr>
            <w:r/>
            <w:r>
              <w:rPr>
                <w:rFonts w:ascii="Arial" w:hAnsi="Arial" w:eastAsia="Arial"/>
                <w:b/>
                <w:sz w:val="17"/>
              </w:rPr>
              <w:t>Operational definition in the model</w:t>
            </w:r>
          </w:p>
        </w:tc>
      </w:tr>
      <w:tr>
        <w:tc>
          <w:tcPr>
            <w:tcW w:type="dxa" w:w="5040"/>
            <w:vAlign w:val="top"/>
          </w:tcPr>
          <w:p>
            <w:pPr>
              <w:spacing w:after="0"/>
            </w:pPr>
            <w:r/>
            <w:r>
              <w:rPr>
                <w:rFonts w:ascii="Arial" w:hAnsi="Arial" w:eastAsia="Arial"/>
                <w:b w:val="0"/>
                <w:sz w:val="17"/>
              </w:rPr>
              <w:t>Accuracy/currentness</w:t>
            </w:r>
          </w:p>
        </w:tc>
        <w:tc>
          <w:tcPr>
            <w:tcW w:type="dxa" w:w="5040"/>
            <w:vAlign w:val="top"/>
          </w:tcPr>
          <w:p>
            <w:pPr>
              <w:spacing w:after="0"/>
            </w:pPr>
            <w:r/>
            <w:r>
              <w:rPr>
                <w:rFonts w:ascii="Arial" w:hAnsi="Arial" w:eastAsia="Arial"/>
                <w:b w:val="0"/>
                <w:sz w:val="17"/>
              </w:rPr>
              <w:t>Facts are correct, current, and internally consistent; copied material is verified</w:t>
            </w:r>
          </w:p>
        </w:tc>
      </w:tr>
      <w:tr>
        <w:tc>
          <w:tcPr>
            <w:tcW w:type="dxa" w:w="5040"/>
            <w:vAlign w:val="top"/>
          </w:tcPr>
          <w:p>
            <w:pPr>
              <w:spacing w:after="0"/>
            </w:pPr>
            <w:r/>
            <w:r>
              <w:rPr>
                <w:rFonts w:ascii="Arial" w:hAnsi="Arial" w:eastAsia="Arial"/>
                <w:b w:val="0"/>
                <w:sz w:val="17"/>
              </w:rPr>
              <w:t>Adequacy for the task</w:t>
            </w:r>
          </w:p>
        </w:tc>
        <w:tc>
          <w:tcPr>
            <w:tcW w:type="dxa" w:w="5040"/>
            <w:vAlign w:val="top"/>
          </w:tcPr>
          <w:p>
            <w:pPr>
              <w:spacing w:after="0"/>
            </w:pPr>
            <w:r/>
            <w:r>
              <w:rPr>
                <w:rFonts w:ascii="Arial" w:hAnsi="Arial" w:eastAsia="Arial"/>
                <w:b w:val="0"/>
                <w:sz w:val="17"/>
              </w:rPr>
              <w:t>The note contains enough content for its purpose and risk level without unnecessary bloat</w:t>
            </w:r>
          </w:p>
        </w:tc>
      </w:tr>
      <w:tr>
        <w:tc>
          <w:tcPr>
            <w:tcW w:type="dxa" w:w="5040"/>
            <w:vAlign w:val="top"/>
          </w:tcPr>
          <w:p>
            <w:pPr>
              <w:spacing w:after="0"/>
            </w:pPr>
            <w:r/>
            <w:r>
              <w:rPr>
                <w:rFonts w:ascii="Arial" w:hAnsi="Arial" w:eastAsia="Arial"/>
                <w:b w:val="0"/>
                <w:sz w:val="17"/>
              </w:rPr>
              <w:t>Assessment/Plan reasoning</w:t>
            </w:r>
          </w:p>
        </w:tc>
        <w:tc>
          <w:tcPr>
            <w:tcW w:type="dxa" w:w="5040"/>
            <w:vAlign w:val="top"/>
          </w:tcPr>
          <w:p>
            <w:pPr>
              <w:spacing w:after="0"/>
            </w:pPr>
            <w:r/>
            <w:r>
              <w:rPr>
                <w:rFonts w:ascii="Arial" w:hAnsi="Arial" w:eastAsia="Arial"/>
                <w:b w:val="0"/>
                <w:sz w:val="17"/>
              </w:rPr>
              <w:t>Working diagnosis, differential when needed, rationale, plan, and contingencies are visible</w:t>
            </w:r>
          </w:p>
        </w:tc>
      </w:tr>
      <w:tr>
        <w:tc>
          <w:tcPr>
            <w:tcW w:type="dxa" w:w="5040"/>
            <w:vAlign w:val="top"/>
          </w:tcPr>
          <w:p>
            <w:pPr>
              <w:spacing w:after="0"/>
            </w:pPr>
            <w:r/>
            <w:r>
              <w:rPr>
                <w:rFonts w:ascii="Arial" w:hAnsi="Arial" w:eastAsia="Arial"/>
                <w:b w:val="0"/>
                <w:sz w:val="17"/>
              </w:rPr>
              <w:t>Clinical usefulness</w:t>
            </w:r>
          </w:p>
        </w:tc>
        <w:tc>
          <w:tcPr>
            <w:tcW w:type="dxa" w:w="5040"/>
            <w:vAlign w:val="top"/>
          </w:tcPr>
          <w:p>
            <w:pPr>
              <w:spacing w:after="0"/>
            </w:pPr>
            <w:r/>
            <w:r>
              <w:rPr>
                <w:rFonts w:ascii="Arial" w:hAnsi="Arial" w:eastAsia="Arial"/>
                <w:b w:val="0"/>
                <w:sz w:val="17"/>
              </w:rPr>
              <w:t>The next clinician can understand and act without reconstructing the case from raw data</w:t>
            </w:r>
          </w:p>
        </w:tc>
      </w:tr>
      <w:tr>
        <w:tc>
          <w:tcPr>
            <w:tcW w:type="dxa" w:w="5040"/>
            <w:vAlign w:val="top"/>
          </w:tcPr>
          <w:p>
            <w:pPr>
              <w:spacing w:after="0"/>
            </w:pPr>
            <w:r/>
            <w:r>
              <w:rPr>
                <w:rFonts w:ascii="Arial" w:hAnsi="Arial" w:eastAsia="Arial"/>
                <w:b w:val="0"/>
                <w:sz w:val="17"/>
              </w:rPr>
              <w:t>Practical actionability</w:t>
            </w:r>
          </w:p>
        </w:tc>
        <w:tc>
          <w:tcPr>
            <w:tcW w:type="dxa" w:w="5040"/>
            <w:vAlign w:val="top"/>
          </w:tcPr>
          <w:p>
            <w:pPr>
              <w:spacing w:after="0"/>
            </w:pPr>
            <w:r/>
            <w:r>
              <w:rPr>
                <w:rFonts w:ascii="Arial" w:hAnsi="Arial" w:eastAsia="Arial"/>
                <w:b w:val="0"/>
                <w:sz w:val="17"/>
              </w:rPr>
              <w:t>Specific next steps, thresholds, follow-up responsibilities, and named agents are present when needed</w:t>
            </w:r>
          </w:p>
        </w:tc>
      </w:tr>
      <w:tr>
        <w:tc>
          <w:tcPr>
            <w:tcW w:type="dxa" w:w="5040"/>
            <w:vAlign w:val="top"/>
          </w:tcPr>
          <w:p>
            <w:pPr>
              <w:spacing w:after="0"/>
            </w:pPr>
            <w:r/>
            <w:r>
              <w:rPr>
                <w:rFonts w:ascii="Arial" w:hAnsi="Arial" w:eastAsia="Arial"/>
                <w:b w:val="0"/>
                <w:sz w:val="17"/>
              </w:rPr>
              <w:t>Conciseness</w:t>
            </w:r>
          </w:p>
        </w:tc>
        <w:tc>
          <w:tcPr>
            <w:tcW w:type="dxa" w:w="5040"/>
            <w:vAlign w:val="top"/>
          </w:tcPr>
          <w:p>
            <w:pPr>
              <w:spacing w:after="0"/>
            </w:pPr>
            <w:r/>
            <w:r>
              <w:rPr>
                <w:rFonts w:ascii="Arial" w:hAnsi="Arial" w:eastAsia="Arial"/>
                <w:b w:val="0"/>
                <w:sz w:val="17"/>
              </w:rPr>
              <w:t>Low-value copied data and irrelevant negatives do not obscure the clinical argument</w:t>
            </w:r>
          </w:p>
        </w:tc>
      </w:tr>
      <w:tr>
        <w:tc>
          <w:tcPr>
            <w:tcW w:type="dxa" w:w="5040"/>
            <w:vAlign w:val="top"/>
          </w:tcPr>
          <w:p>
            <w:pPr>
              <w:spacing w:after="0"/>
            </w:pPr>
            <w:r/>
            <w:r>
              <w:rPr>
                <w:rFonts w:ascii="Arial" w:hAnsi="Arial" w:eastAsia="Arial"/>
                <w:b w:val="0"/>
                <w:sz w:val="17"/>
              </w:rPr>
              <w:t>Safe downstream reuse</w:t>
            </w:r>
          </w:p>
        </w:tc>
        <w:tc>
          <w:tcPr>
            <w:tcW w:type="dxa" w:w="5040"/>
            <w:vAlign w:val="top"/>
          </w:tcPr>
          <w:p>
            <w:pPr>
              <w:spacing w:after="0"/>
            </w:pPr>
            <w:r/>
            <w:r>
              <w:rPr>
                <w:rFonts w:ascii="Arial" w:hAnsi="Arial" w:eastAsia="Arial"/>
                <w:b w:val="0"/>
                <w:sz w:val="17"/>
              </w:rPr>
              <w:t>The note can be read, copied forward, summarized, audited, or analyzed without propagating misleading information</w:t>
            </w:r>
          </w:p>
        </w:tc>
      </w:tr>
      <w:tr>
        <w:tc>
          <w:tcPr>
            <w:tcW w:type="dxa" w:w="5040"/>
            <w:vAlign w:val="top"/>
          </w:tcPr>
          <w:p>
            <w:pPr>
              <w:spacing w:after="0"/>
            </w:pPr>
            <w:r/>
            <w:r>
              <w:rPr>
                <w:rFonts w:ascii="Arial" w:hAnsi="Arial" w:eastAsia="Arial"/>
                <w:b w:val="0"/>
                <w:sz w:val="17"/>
              </w:rPr>
              <w:t>Plain-language and abbreviation safety</w:t>
            </w:r>
          </w:p>
        </w:tc>
        <w:tc>
          <w:tcPr>
            <w:tcW w:type="dxa" w:w="5040"/>
            <w:vAlign w:val="top"/>
          </w:tcPr>
          <w:p>
            <w:pPr>
              <w:spacing w:after="0"/>
            </w:pPr>
            <w:r/>
            <w:r>
              <w:rPr>
                <w:rFonts w:ascii="Arial" w:hAnsi="Arial" w:eastAsia="Arial"/>
                <w:b w:val="0"/>
                <w:sz w:val="17"/>
              </w:rPr>
              <w:t>Avoids ambiguous abbreviations and stigmatizing or confusing jargon, especially in patient-facing contexts</w:t>
            </w:r>
          </w:p>
        </w:tc>
      </w:tr>
    </w:tbl>
    <w:p/>
    <w:p>
      <w:pPr>
        <w:pStyle w:val="Heading1"/>
      </w:pPr>
      <w:r>
        <w:t>7. Assessment and Plan Quality</w:t>
      </w:r>
    </w:p>
    <w:p>
      <w:r>
        <w:t>The Assessment and Plan is the highest-value section of the clinical note. It is the section most likely to communicate reasoning, influence downstream decisions, and protect the clinician medico-legally. Multiple instruments converge on the same principle: a high-quality A&amp;P must not merely list problems; it must state the diagnostic frame, reasoning, plan, and contingencies.</w:t>
      </w:r>
    </w:p>
    <w:p>
      <w:r>
        <w:t>CRANAPL evaluates the A&amp;P directly through nine items: problem-list completeness, problem prioritization, diagnostic reasoning for the primary problem, differential diagnosis, data supporting and refuting diagnoses, planned diagnostic workup, therapeutic plan, contingency planning, and disposition or follow-up. Kotwal and colleagues’ finding that the mean score was only 6.4 out of 9 indicates substantial room for improvement in the very section clinicians rely on most for care continuity (Kotwal et al. 2019).</w:t>
      </w:r>
    </w:p>
    <w:p>
      <w:r>
        <w:t>The revised IDEA framework similarly emphasizes interpretive summary, prioritized differential diagnosis, explanation of reasoning for the lead diagnosis, and explanation of reasoning for alternatives (Schaye et al. 2022). These elements are essential because they make uncertainty and clinical judgment visible. Without them, the reader sees conclusions without premises.</w:t>
      </w:r>
    </w:p>
    <w:p>
      <w:r>
        <w:t>Physicians themselves identify interventions and the reasons or justifications for those interventions as the most relevant content in the A&amp;P. Colicchio, Dissanayake, and Cimino found that physicians preferred a categorized problem-based list format over narrative paragraphs for narrative note sections, suggesting that clinicians value structure that helps them find the active problem and reason for action (Colicchio, Dissanayake, and Cimino 2021).</w:t>
      </w:r>
    </w:p>
    <w:p>
      <w:r>
        <w:t>The model therefore treats A&amp;P quality as a major component of note quality. A high-quality A&amp;P should answer five questions: what are the active problems, what does the clinician think is happening, why does the clinician think that, what is being done about it, and what happens next. It should include a prioritized problem list, a working diagnosis, a differential diagnosis when uncertainty exists, key supporting and refuting data, a therapeutic and diagnostic plan, and contingency, escalation, disposition, or follow-up instructions when clinically appropriate.</w:t>
      </w:r>
    </w:p>
    <w:p>
      <w:pPr>
        <w:pStyle w:val="Heading1"/>
      </w:pPr>
      <w:r>
        <w:t>8. Medico-Legal Implications of Documentation Quality</w:t>
      </w:r>
    </w:p>
    <w:p>
      <w:r>
        <w:t>Documentation quality has direct medico-legal implications. Medical documentation issues play a role in 10 to 20 percent of malpractice lawsuits, and inaccurate, incomplete, or generic records undermine a physician’s defense and may make a plaintiff’s attorney more likely to take a case (Ghaith et al. 2022). The A&amp;P is especially consequential because it shows what the physician thought, what alternatives were considered, and why a particular course of action was chosen or not chosen.</w:t>
      </w:r>
    </w:p>
    <w:p>
      <w:r>
        <w:t>Smith and colleagues analyzed 1,628 Canadian emergency medicine medico-legal cases and found that documentation deficiencies were present in 24 percent. The most common criticism concerned the assessment and investigation stage, including documentation of clinical examination details, relevant history, diagnosis, and differential diagnosis (Smith et al. 2023). Cortel-LeBlanc and colleagues analyzed 1,892 emergency department medico-legal cases and found documentation issues contributed to 42 percent of cases with peer-expert criticism, alongside clinical decision-making in 64 percent and situational awareness in 44 percent (Cortel-LeBlanc et al. 2025). Gurley and colleagues reported documentation deficiencies in 21 percent of CRICO emergency-medicine closed claims (Gurley et al. 2018).</w:t>
      </w:r>
    </w:p>
    <w:p>
      <w:r>
        <w:t>The legal principle is that the contemporaneous medical record is often treated as more reliable than memory. The ACP position paper emphasized that documentation should include clear statements of what the physician was thinking and why a particular course of action or treatment was or was not done (Kuhn et al. 2015). Chang and Liaw found incomplete documentation associated with malpractice findings in a Taiwanese analysis, alongside other risk factors including inadequate preoperative assessment and disclosure failures (Chang and Liaw 2025). Stanley and colleagues emphasized that documenting suicide risk assessments and proportionate clinical actions improves patient safety and mitigates legal risk (Stanley et al. 2019).</w:t>
      </w:r>
    </w:p>
    <w:p>
      <w:r>
        <w:t>Protective documentation practices are therefore not equivalent to defensive bloat. A legally useful note documents reasoning without drowning the reader. It states the differential diagnosis, explains why the working diagnosis is favored, records why specific actions were or were not taken, documents discussions with patients, consultants, and team members, avoids generic template language, and avoids judgmental language or retrospective chart alteration. The model incorporates this by making reasoning visibility and practical actionability quality domains rather than encouraging longer notes.</w:t>
      </w:r>
    </w:p>
    <w:p>
      <w:pPr>
        <w:pStyle w:val="Heading1"/>
      </w:pPr>
      <w:r>
        <w:t>9. Jargon, Abbreviations, Patient Perception, and Language Safety</w:t>
      </w:r>
    </w:p>
    <w:p>
      <w:r>
        <w:t>Jargon and ambiguous abbreviations affect both safety and patient perception. With OpenNotes and patient access under the 21st Century Cures Act, clinical notes are no longer written only for clinicians. Patients increasingly read them, and they judge accuracy, respect, and comprehensibility from the language physicians use.</w:t>
      </w:r>
    </w:p>
    <w:p>
      <w:r>
        <w:t>Abbreviations contribute to errors through ambiguity and misinterpretation. Berger and colleagues identified 52 ambiguous acronyms and 24 abbreviations in critical care with multiple meanings, creating risk during communication and transfers. The abbreviation “dc,” for example, can mean discontinue or discharge, with potentially serious consequences (Berger et al. 2025). Green and colleagues analyzed abbreviations in cardiology and cardiac imaging society guidelines and highlighted risks associated with abbreviation creation and use (Green, Zhang, Stainback, et al. 2025). Holper and colleagues found that 31.9 percent of abbreviations in discharge summaries were ambiguous, and no abbreviation in a physician survey was interpreted identically by all respondents. General practitioners offered up to nine different interpretations for a single abbreviation, and 94 percent believed abbreviation use could affect patient care (Holper et al. 2020). Coghlan, Turner, and Coverdale similarly found danger in discharge summaries from abbreviation confusion (Coghlan, Turner, and Coverdale 2023). Hamiel and colleagues found that only 42.5 percent of non-specialist physicians knew at least 10 percent of specialty-specific abbreviations, and 59.1 percent believed abbreviations should be prohibited in medical records (Hamiel et al. 2018).</w:t>
      </w:r>
    </w:p>
    <w:p>
      <w:r>
        <w:t>Jargon also affects patient understanding. Miller and colleagues found that nearly 80 percent of primary care appointments included at least one instance of unexplained jargon, with an average of more than four uses per visit; male providers used nearly 50 percent more jargon per minute than female providers (Miller et al. 2022). Gotlieb and colleagues found that common medical phrases are poorly understood by the general public, especially terms with different medical and everyday meanings such as “negative” and “unremarkable” (Gotlieb et al. 2022). Allen and colleagues found strong patient preference for plain-language alternatives to traditional medical jargon in notes: only 2 percent preferred “failed outpatient treatment” compared with 70 percent who preferred “did not improve”; only 6 percent preferred “refused antibiotics” compared with 86 percent who preferred “declined” or “preferred to skip”; and only 16 percent preferred “denies alcohol use” compared with 82 percent who preferred “does not drink alcohol.” Terms such as “non-compliant” and “non-adherent” were each preferred by only 2 percent of respondents (Allen et al. 2026).</w:t>
      </w:r>
    </w:p>
    <w:p>
      <w:r>
        <w:t>Leveille and colleagues surveyed 21,664 patients who read open notes and found that 96 percent reported understanding all or nearly all of the note and 93 percent found it accurate. However, the most common suggestions for improvement concerned structure and content, jargon, and accuracy. Patients who understood notes poorly or found inaccuracies were significantly less likely to recommend the clinician (Leveille et al. 2020). Davidge, McMillan, and Brown found that patients from underserved communities struggled with medical acronyms, clinician shorthand, and non-clinical abbreviations, and identified content that could cause unintended offense or anxiety (Davidge, McMillan, and Brown 2024). Meier-Diedrich and colleagues found that after OpenNotes implementation in mental health, clinicians reduced incomprehensible, demeaning, and stigmatizing language and increased comprehensible and resource-oriented language, although this came with slightly longer notes and increased workload (Meier-Diedrich et al. 2025). A systematic review by Yoshimura and colleagues found that online sharing of clinical notes positively affected patient-centeredness and patient safety, particularly for underserved populations, though privacy concerns remain important (Yoshimura et al. 2026).</w:t>
      </w:r>
    </w:p>
    <w:p>
      <w:r>
        <w:t>The model therefore includes plain-language and abbreviation safety as a quality domain. This does not mean every note must avoid all medical terminology. It means that language should not create preventable ambiguity for clinicians or unnecessary confusion and alienation for patients. High-risk areas include discharge summaries, patient instructions, consult recommendations, medication plans, goals-of-care notes, and documentation likely to be read by patients.</w:t>
      </w:r>
    </w:p>
    <w:p>
      <w:pPr>
        <w:pStyle w:val="Heading1"/>
      </w:pPr>
      <w:r>
        <w:t>10. Copy-Forward, Note Bloat, and Downstream Propagation</w:t>
      </w:r>
    </w:p>
    <w:p>
      <w:r>
        <w:t>Copy-forward and duplicated text are central to documentation quality and time demand. Copying may reduce immediate composition effort but can propagate stale, inaccurate, or irrelevant information. It can also create note bloat, making important reasoning harder to find.</w:t>
      </w:r>
    </w:p>
    <w:p>
      <w:r>
        <w:t>Rule and colleagues analyzed outpatient progress notes across a decade at an academic medical center and found that notes grew 60 percent longer and 11 percentage points more redundant between 2009 and 2018. By 2018, median note redundancy exceeded 50 percent in 38 of 46 specialties, meaning more than half of each note’s text was identical to the patient’s prior note. In 36 specialties, less than one-third of note text was directly typed (Rule et al. 2021).</w:t>
      </w:r>
    </w:p>
    <w:p>
      <w:r>
        <w:t>Steinkamp, Kantrowitz, and Airan-Javia analyzed 104 million clinical notes and found that 50.1 percent of all electronic medical record text was duplicated from prior notes about the same patient. The duplication fraction rose from 33 percent in 2015 to 54.2 percent in 2020. Physician notes contained 30 to 70 percent duplicate content, with progress notes among the highest (Steinkamp, Kantrowitz, and Airan-Javia 2022). Wang and colleagues evaluated copy-and-paste events in electronic notes for patients with hospital-acquired conditions and found high rates of duplication, including 54 percent of discharge summaries and 53 percent of consult notes containing duplicated content from prior notes of the same type (Wang et al. 2023). Shala and Sheppard-Law studied nursing notes and found text similarity as a measurable feature associated with duplication and potential safety concerns (Shala and Sheppard-Law 2023).</w:t>
      </w:r>
    </w:p>
    <w:p>
      <w:r>
        <w:t>The ACP distinguishes thoughtful copy-forward from risky copy/paste. Reviewing, editing, and attesting prior information may improve accuracy and completeness, but copying entire notes without adequate editing is inherently risky because it can generate notes with stale dates, outdated vital signs, factual errors, and contradictions passed from note to note (Kuhn et al. 2015).</w:t>
      </w:r>
    </w:p>
    <w:p>
      <w:r>
        <w:t>The model treats copy-forward-heavy workflows as a potential time multiplier rather than an automatic time saver. Copy-forward can reduce drafting time, but it increases the risk of rework, bloat, critical defects, and downstream misuse. A note should be considered safe for downstream reuse only if copied content has been reviewed, updated, and made clinically relevant.</w:t>
      </w:r>
    </w:p>
    <w:p>
      <w:pPr>
        <w:pStyle w:val="Heading1"/>
      </w:pPr>
      <w:r>
        <w:t>11. The Signed Note as a Downstream Data Asset</w:t>
      </w:r>
    </w:p>
    <w:p>
      <w:r>
        <w:t>A signed clinical note does not stop being consequential when it is signed. It shapes future clinician reasoning, copy-forward content, quality measurement, billing, transitions of care, research, analytics, and potentially AI development or evaluation depending on governance, de-identification, contracts, licensing, and data-use rules.</w:t>
      </w:r>
    </w:p>
    <w:p>
      <w:r>
        <w:t>The ACP emphasized that the primary purpose of clinical documentation is to support longitudinal care delivery and improve clinical outcomes through communication (Kuhn et al. 2015). Colicchio and Cimino’s systematic review showed that clinicians’ reasoning is reflected in note-entry and reading practices, and that the Assessment and Plan section is particularly important to how clinicians retrieve and use prior documentation (Colicchio and Cimino 2019). These findings support the model’s claim that signed notes actively shape downstream clinical reasoning rather than passively preserving information.</w:t>
      </w:r>
    </w:p>
    <w:p>
      <w:r>
        <w:t>Documentation also serves as a primary data source for electronic clinical quality measures, quality improvement, and research. O’Donnell and Suresh described the rationale and functionality requirements for electronic documentation in pediatrics, emphasizing that structured documentation drives quality measurement and clinical decision support (O’Donnell and Suresh 2020). Inaccuracies in the record can therefore translate into inaccurate quality reports and flawed downstream analytics.</w:t>
      </w:r>
    </w:p>
    <w:p>
      <w:r>
        <w:t>Clinical notes may also become part of AI development, evaluation, or deployment pipelines, though this depends on governance and legal structure. HIPAA de-identification can occur through Safe Harbor or expert determination methods, but de-identified data may still carry re-identification or pseudo-reidentification risk (Hallaj et al. 2026). Spector-Bagdady and colleagues articulated principles for health information collection, sharing, and use, emphasizing governance, accountability, and patient trust (Spector-Bagdady et al. 2023). Palmieri, Robertson, and Cohen described new guidance on responsible AI use, including institutional governance over selection, lifecycle monitoring, compliance, and risk management (Palmieri, Robertson, and Cohen 2026). Maris and colleagues argued that responsible AI development requires explicit attention to how EHR data are produced, interpreted, and governed in practice (Maris et al. 2026). Moulaei, Akhlaghpour, and Fatehi identified privacy breaches, inadequate informed consent processes, and unauthorized data sharing as major barriers to secondary use of health data in AI models (Moulaei, Akhlaghpour, and Fatehi 2025).</w:t>
      </w:r>
    </w:p>
    <w:p>
      <w:r>
        <w:t>The model’s implication is that documentation quality is not merely a local workflow issue. A poor note can propagate through future human care, copied text, quality measures, billing, legal proceedings, and machine-learning systems. Time spent writing accurately and clearly is therefore an investment in the integrity of the medical record as shared clinical infrastructure.</w:t>
      </w:r>
    </w:p>
    <w:p>
      <w:pPr>
        <w:pStyle w:val="Heading1"/>
      </w:pPr>
      <w:r>
        <w:t>12. Documentation Burden Measurement and Rework</w:t>
      </w:r>
    </w:p>
    <w:p>
      <w:r>
        <w:t>The literature on documentation burden measurement is large but methodologically fragmented. Murad and colleagues conducted a systematic review identifying 135 articles on documentation burden. They classified measures into 11 categories, including overall EHR time, clinical documentation and review time, inbox management, work after hours, administrative and billing tasks, workflow fragmentation, and usability. The most common data source was EHR usage logs, but most measures were one-dimensional and lacked robust validity evidence (Murad et al. 2024).</w:t>
      </w:r>
    </w:p>
    <w:p>
      <w:r>
        <w:t>Moy and colleagues performed a scoping review of clinical documentation burden measurement among physicians and nurses using EHRs. They identified 15 measurement characteristics across seven effort constructs and four time constructs but found no consensus on best measurement approaches (Moy et al. 2021). Rossetti and colleagues described dissemination activities of the AMIA 25x5 Task Force, launched with the goal of reducing excessive documentation burden to 25 percent of the current state within five years (Rossetti et al. 2024).</w:t>
      </w:r>
    </w:p>
    <w:p>
      <w:r>
        <w:t>Rework is not consistently defined as a formal metric, but it appears indirectly through after-hours documentation, note revision frequency, addenda, coding queries, quality corrections, and time spent on non-value-added activities such as redundant data entry or billing-driven documentation. The Time model therefore includes rework as a separate term in the note-time equation. A note that requires later addenda, coding queries, or quality correction took longer than its initial signing time suggests.</w:t>
      </w:r>
    </w:p>
    <w:p>
      <w:pPr>
        <w:pStyle w:val="Heading1"/>
      </w:pPr>
      <w:r>
        <w:t>13. Evidence Gaps</w:t>
      </w:r>
    </w:p>
    <w:p>
      <w:r>
        <w:t>The evidence base is strong enough to support an initial model but has major gaps. The most important gap is inpatient progress-note time. No modern study directly measures minutes per inpatient progress note by clinician type using EHR logs or time-motion observation. All inpatient progress-note estimates require derivation from daily totals divided by estimated note counts or indirect care time, which creates uncertainty.</w:t>
      </w:r>
    </w:p>
    <w:p>
      <w:r>
        <w:t>No published data directly measure attending attestation or co-signature time per note. This is a substantial hidden cost in teaching hospitals. No strong data measure inpatient AI-scribe impact, even though ambulatory AI-scribe evidence is growing. Inpatient notes are longer, more iterative, more copy-forward dependent, and embedded in multi-day encounters; the effect of AI may differ materially from ambulatory settings.</w:t>
      </w:r>
    </w:p>
    <w:p>
      <w:r>
        <w:t>There are also no strong per-note time data for consult notes, event notes, goals-of-care notes, addenda, or APP-authored inpatient notes. Oncology, palliative care, and serious illness outpatient visits are also under-studied despite high reasoning and communication demands. Night-shift versus day-shift documentation differences, downstream reader time, and note rework after initial drafting are poorly measured.</w:t>
      </w:r>
    </w:p>
    <w:p>
      <w:r>
        <w:t>These gaps imply that the model should be evidence-informed but locally validated. Health systems should use published literature to establish priors and then calibrate local P50, P75, and P90 documentation times by note type, clinician role, setting, method, complexity, and freshness window.</w:t>
      </w:r>
    </w:p>
    <w:p>
      <w:pPr>
        <w:pStyle w:val="Heading1"/>
      </w:pPr>
      <w:r>
        <w:t>14. Model Derived from the Evidence</w:t>
      </w:r>
    </w:p>
    <w:p>
      <w:r>
        <w:t>The model translates the evidence into an operational framework. The required time for a high-quality note is modeled as a function of base note type, complexity, documentation method, freshness, interruptions, attestation, and rework:</w:t>
      </w:r>
    </w:p>
    <w:p>
      <w:pPr>
        <w:jc w:val="center"/>
      </w:pPr>
      <w:r>
        <w:rPr>
          <w:rFonts w:ascii="Arial" w:hAnsi="Arial"/>
          <w:b/>
          <w:sz w:val="22"/>
        </w:rPr>
        <w:t>R_i = B_i x C_i x M_i x F_i x I_i + A_i + W_i</w:t>
      </w:r>
    </w:p>
    <w:p>
      <w:r>
        <w:t>In this equation, R_i is required time for note i to reach high-quality status. B_i is base time for the note type. C_i is the complexity multiplier. M_i is the documentation method multiplier. F_i is the freshness or delay multiplier. I_i is the interruption or workflow-friction multiplier. A_i is attestation or review time. W_i is rework, addendum, or correction time.</w:t>
      </w:r>
    </w:p>
    <w:p>
      <w:r>
        <w:t>The capacity side of the model is captured through the Time Sufficiency Index:</w:t>
      </w:r>
    </w:p>
    <w:p>
      <w:pPr>
        <w:jc w:val="center"/>
      </w:pPr>
      <w:r>
        <w:rPr>
          <w:rFonts w:ascii="Arial" w:hAnsi="Arial"/>
          <w:b/>
          <w:sz w:val="22"/>
        </w:rPr>
        <w:t>TSI = available protected documentation time / required high-quality documentation time</w:t>
      </w:r>
    </w:p>
    <w:p>
      <w:r>
        <w:t>A TSI of 1.20 or greater indicates resilient capacity. A TSI of 1.00 to 1.19 indicates adequate but vulnerable capacity. A TSI of 0.85 to 0.99 indicates an under-capacitized state likely to produce backlog or pajama time. A TSI below 0.85 suggests an unsafe or unsustainable operating state. For inpatient documentation, an AM-specific TSI should be calculated for progress notes, known discharges, urgent consults, and event notes that must support same-day care decisions.</w:t>
      </w:r>
    </w:p>
    <w:p>
      <w:r>
        <w:t>The model also treats high-quality note production probabilistically. Quality rises when actual protected time approaches the required time. Quality falls with delay, interruptions, copy-forward burden, after-hours fatigue, and inadequate support. Support factors such as dictation, efficient templates, scribes, and AI can improve the probability of high-quality completion only if they reduce burden without reducing accuracy, reasoning, usefulness, and actionability.</w:t>
      </w:r>
    </w:p>
    <w:tbl>
      <w:tblPr>
        <w:tblStyle w:val="TableGrid"/>
        <w:tblW w:type="auto" w:w="0"/>
        <w:jc w:val="center"/>
        <w:tblLayout w:type="autofit"/>
        <w:tblLook w:firstColumn="1" w:firstRow="1" w:lastColumn="0" w:lastRow="0" w:noHBand="0" w:noVBand="1" w:val="04A0"/>
      </w:tblPr>
      <w:tblGrid>
        <w:gridCol w:w="3360"/>
        <w:gridCol w:w="3360"/>
        <w:gridCol w:w="3360"/>
      </w:tblGrid>
      <w:tr>
        <w:tc>
          <w:tcPr>
            <w:tcW w:type="dxa" w:w="3360"/>
            <w:shd w:fill="D9EAF7"/>
            <w:vAlign w:val="center"/>
          </w:tcPr>
          <w:p>
            <w:pPr>
              <w:spacing w:after="0"/>
            </w:pPr>
            <w:r/>
            <w:r>
              <w:rPr>
                <w:rFonts w:ascii="Arial" w:hAnsi="Arial" w:eastAsia="Arial"/>
                <w:b/>
                <w:sz w:val="17"/>
              </w:rPr>
              <w:t>Model variable</w:t>
            </w:r>
          </w:p>
        </w:tc>
        <w:tc>
          <w:tcPr>
            <w:tcW w:type="dxa" w:w="3360"/>
            <w:shd w:fill="D9EAF7"/>
            <w:vAlign w:val="center"/>
          </w:tcPr>
          <w:p>
            <w:pPr>
              <w:spacing w:after="0"/>
            </w:pPr>
            <w:r/>
            <w:r>
              <w:rPr>
                <w:rFonts w:ascii="Arial" w:hAnsi="Arial" w:eastAsia="Arial"/>
                <w:b/>
                <w:sz w:val="17"/>
              </w:rPr>
              <w:t>Evidence basis</w:t>
            </w:r>
          </w:p>
        </w:tc>
        <w:tc>
          <w:tcPr>
            <w:tcW w:type="dxa" w:w="3360"/>
            <w:shd w:fill="D9EAF7"/>
            <w:vAlign w:val="center"/>
          </w:tcPr>
          <w:p>
            <w:pPr>
              <w:spacing w:after="0"/>
            </w:pPr>
            <w:r/>
            <w:r>
              <w:rPr>
                <w:rFonts w:ascii="Arial" w:hAnsi="Arial" w:eastAsia="Arial"/>
                <w:b/>
                <w:sz w:val="17"/>
              </w:rPr>
              <w:t>Operational use</w:t>
            </w:r>
          </w:p>
        </w:tc>
      </w:tr>
      <w:tr>
        <w:tc>
          <w:tcPr>
            <w:tcW w:type="dxa" w:w="3360"/>
            <w:vAlign w:val="top"/>
          </w:tcPr>
          <w:p>
            <w:pPr>
              <w:spacing w:after="0"/>
            </w:pPr>
            <w:r/>
            <w:r>
              <w:rPr>
                <w:rFonts w:ascii="Arial" w:hAnsi="Arial" w:eastAsia="Arial"/>
                <w:b w:val="0"/>
                <w:sz w:val="17"/>
              </w:rPr>
              <w:t>Base note time</w:t>
            </w:r>
          </w:p>
        </w:tc>
        <w:tc>
          <w:tcPr>
            <w:tcW w:type="dxa" w:w="3360"/>
            <w:vAlign w:val="top"/>
          </w:tcPr>
          <w:p>
            <w:pPr>
              <w:spacing w:after="0"/>
            </w:pPr>
            <w:r/>
            <w:r>
              <w:rPr>
                <w:rFonts w:ascii="Arial" w:hAnsi="Arial" w:eastAsia="Arial"/>
                <w:b w:val="0"/>
                <w:sz w:val="17"/>
              </w:rPr>
              <w:t>Outpatient EHR-log studies; inpatient discharge time-motion; derived inpatient estimates</w:t>
            </w:r>
          </w:p>
        </w:tc>
        <w:tc>
          <w:tcPr>
            <w:tcW w:type="dxa" w:w="3360"/>
            <w:vAlign w:val="top"/>
          </w:tcPr>
          <w:p>
            <w:pPr>
              <w:spacing w:after="0"/>
            </w:pPr>
            <w:r/>
            <w:r>
              <w:rPr>
                <w:rFonts w:ascii="Arial" w:hAnsi="Arial" w:eastAsia="Arial"/>
                <w:b w:val="0"/>
                <w:sz w:val="17"/>
              </w:rPr>
              <w:t>Sets P50/P75/P90 benchmark by note type</w:t>
            </w:r>
          </w:p>
        </w:tc>
      </w:tr>
      <w:tr>
        <w:tc>
          <w:tcPr>
            <w:tcW w:type="dxa" w:w="3360"/>
            <w:vAlign w:val="top"/>
          </w:tcPr>
          <w:p>
            <w:pPr>
              <w:spacing w:after="0"/>
            </w:pPr>
            <w:r/>
            <w:r>
              <w:rPr>
                <w:rFonts w:ascii="Arial" w:hAnsi="Arial" w:eastAsia="Arial"/>
                <w:b w:val="0"/>
                <w:sz w:val="17"/>
              </w:rPr>
              <w:t>Complexity</w:t>
            </w:r>
          </w:p>
        </w:tc>
        <w:tc>
          <w:tcPr>
            <w:tcW w:type="dxa" w:w="3360"/>
            <w:vAlign w:val="top"/>
          </w:tcPr>
          <w:p>
            <w:pPr>
              <w:spacing w:after="0"/>
            </w:pPr>
            <w:r/>
            <w:r>
              <w:rPr>
                <w:rFonts w:ascii="Arial" w:hAnsi="Arial" w:eastAsia="Arial"/>
                <w:b w:val="0"/>
                <w:sz w:val="17"/>
              </w:rPr>
              <w:t>New vs established visit intensity; inpatient clinical complexity; serious illness communication demands</w:t>
            </w:r>
          </w:p>
        </w:tc>
        <w:tc>
          <w:tcPr>
            <w:tcW w:type="dxa" w:w="3360"/>
            <w:vAlign w:val="top"/>
          </w:tcPr>
          <w:p>
            <w:pPr>
              <w:spacing w:after="0"/>
            </w:pPr>
            <w:r/>
            <w:r>
              <w:rPr>
                <w:rFonts w:ascii="Arial" w:hAnsi="Arial" w:eastAsia="Arial"/>
                <w:b w:val="0"/>
                <w:sz w:val="17"/>
              </w:rPr>
              <w:t>Adjusts benchmark upward for high-risk or cognitively complex notes</w:t>
            </w:r>
          </w:p>
        </w:tc>
      </w:tr>
      <w:tr>
        <w:tc>
          <w:tcPr>
            <w:tcW w:type="dxa" w:w="3360"/>
            <w:vAlign w:val="top"/>
          </w:tcPr>
          <w:p>
            <w:pPr>
              <w:spacing w:after="0"/>
            </w:pPr>
            <w:r/>
            <w:r>
              <w:rPr>
                <w:rFonts w:ascii="Arial" w:hAnsi="Arial" w:eastAsia="Arial"/>
                <w:b w:val="0"/>
                <w:sz w:val="17"/>
              </w:rPr>
              <w:t>Method</w:t>
            </w:r>
          </w:p>
        </w:tc>
        <w:tc>
          <w:tcPr>
            <w:tcW w:type="dxa" w:w="3360"/>
            <w:vAlign w:val="top"/>
          </w:tcPr>
          <w:p>
            <w:pPr>
              <w:spacing w:after="0"/>
            </w:pPr>
            <w:r/>
            <w:r>
              <w:rPr>
                <w:rFonts w:ascii="Arial" w:hAnsi="Arial" w:eastAsia="Arial"/>
                <w:b w:val="0"/>
                <w:sz w:val="17"/>
              </w:rPr>
              <w:t>Dictation, copy/paste, scribe, team-based documentation, and AI-scribe studies</w:t>
            </w:r>
          </w:p>
        </w:tc>
        <w:tc>
          <w:tcPr>
            <w:tcW w:type="dxa" w:w="3360"/>
            <w:vAlign w:val="top"/>
          </w:tcPr>
          <w:p>
            <w:pPr>
              <w:spacing w:after="0"/>
            </w:pPr>
            <w:r/>
            <w:r>
              <w:rPr>
                <w:rFonts w:ascii="Arial" w:hAnsi="Arial" w:eastAsia="Arial"/>
                <w:b w:val="0"/>
                <w:sz w:val="17"/>
              </w:rPr>
              <w:t>Applies method multiplier and learning-curve assumptions</w:t>
            </w:r>
          </w:p>
        </w:tc>
      </w:tr>
      <w:tr>
        <w:tc>
          <w:tcPr>
            <w:tcW w:type="dxa" w:w="3360"/>
            <w:vAlign w:val="top"/>
          </w:tcPr>
          <w:p>
            <w:pPr>
              <w:spacing w:after="0"/>
            </w:pPr>
            <w:r/>
            <w:r>
              <w:rPr>
                <w:rFonts w:ascii="Arial" w:hAnsi="Arial" w:eastAsia="Arial"/>
                <w:b w:val="0"/>
                <w:sz w:val="17"/>
              </w:rPr>
              <w:t>Freshness</w:t>
            </w:r>
          </w:p>
        </w:tc>
        <w:tc>
          <w:tcPr>
            <w:tcW w:type="dxa" w:w="3360"/>
            <w:vAlign w:val="top"/>
          </w:tcPr>
          <w:p>
            <w:pPr>
              <w:spacing w:after="0"/>
            </w:pPr>
            <w:r/>
            <w:r>
              <w:rPr>
                <w:rFonts w:ascii="Arial" w:hAnsi="Arial" w:eastAsia="Arial"/>
                <w:b w:val="0"/>
                <w:sz w:val="17"/>
              </w:rPr>
              <w:t>Note timing/readership studies, cognitive science, accuracy studies, clinician reports of forgetting</w:t>
            </w:r>
          </w:p>
        </w:tc>
        <w:tc>
          <w:tcPr>
            <w:tcW w:type="dxa" w:w="3360"/>
            <w:vAlign w:val="top"/>
          </w:tcPr>
          <w:p>
            <w:pPr>
              <w:spacing w:after="0"/>
            </w:pPr>
            <w:r/>
            <w:r>
              <w:rPr>
                <w:rFonts w:ascii="Arial" w:hAnsi="Arial" w:eastAsia="Arial"/>
                <w:b w:val="0"/>
                <w:sz w:val="17"/>
              </w:rPr>
              <w:t>Applies delay multiplier and timeliness gates</w:t>
            </w:r>
          </w:p>
        </w:tc>
      </w:tr>
      <w:tr>
        <w:tc>
          <w:tcPr>
            <w:tcW w:type="dxa" w:w="3360"/>
            <w:vAlign w:val="top"/>
          </w:tcPr>
          <w:p>
            <w:pPr>
              <w:spacing w:after="0"/>
            </w:pPr>
            <w:r/>
            <w:r>
              <w:rPr>
                <w:rFonts w:ascii="Arial" w:hAnsi="Arial" w:eastAsia="Arial"/>
                <w:b w:val="0"/>
                <w:sz w:val="17"/>
              </w:rPr>
              <w:t>Interruption</w:t>
            </w:r>
          </w:p>
        </w:tc>
        <w:tc>
          <w:tcPr>
            <w:tcW w:type="dxa" w:w="3360"/>
            <w:vAlign w:val="top"/>
          </w:tcPr>
          <w:p>
            <w:pPr>
              <w:spacing w:after="0"/>
            </w:pPr>
            <w:r/>
            <w:r>
              <w:rPr>
                <w:rFonts w:ascii="Arial" w:hAnsi="Arial" w:eastAsia="Arial"/>
                <w:b w:val="0"/>
                <w:sz w:val="17"/>
              </w:rPr>
              <w:t>Discharge time-motion and inpatient workflow studies</w:t>
            </w:r>
          </w:p>
        </w:tc>
        <w:tc>
          <w:tcPr>
            <w:tcW w:type="dxa" w:w="3360"/>
            <w:vAlign w:val="top"/>
          </w:tcPr>
          <w:p>
            <w:pPr>
              <w:spacing w:after="0"/>
            </w:pPr>
            <w:r/>
            <w:r>
              <w:rPr>
                <w:rFonts w:ascii="Arial" w:hAnsi="Arial" w:eastAsia="Arial"/>
                <w:b w:val="0"/>
                <w:sz w:val="17"/>
              </w:rPr>
              <w:t>Discounts available capacity by 15-25%</w:t>
            </w:r>
          </w:p>
        </w:tc>
      </w:tr>
      <w:tr>
        <w:tc>
          <w:tcPr>
            <w:tcW w:type="dxa" w:w="3360"/>
            <w:vAlign w:val="top"/>
          </w:tcPr>
          <w:p>
            <w:pPr>
              <w:spacing w:after="0"/>
            </w:pPr>
            <w:r/>
            <w:r>
              <w:rPr>
                <w:rFonts w:ascii="Arial" w:hAnsi="Arial" w:eastAsia="Arial"/>
                <w:b w:val="0"/>
                <w:sz w:val="17"/>
              </w:rPr>
              <w:t>Attestation</w:t>
            </w:r>
          </w:p>
        </w:tc>
        <w:tc>
          <w:tcPr>
            <w:tcW w:type="dxa" w:w="3360"/>
            <w:vAlign w:val="top"/>
          </w:tcPr>
          <w:p>
            <w:pPr>
              <w:spacing w:after="0"/>
            </w:pPr>
            <w:r/>
            <w:r>
              <w:rPr>
                <w:rFonts w:ascii="Arial" w:hAnsi="Arial" w:eastAsia="Arial"/>
                <w:b w:val="0"/>
                <w:sz w:val="17"/>
              </w:rPr>
              <w:t>Evidence gap; recognized hidden teaching-hospital work</w:t>
            </w:r>
          </w:p>
        </w:tc>
        <w:tc>
          <w:tcPr>
            <w:tcW w:type="dxa" w:w="3360"/>
            <w:vAlign w:val="top"/>
          </w:tcPr>
          <w:p>
            <w:pPr>
              <w:spacing w:after="0"/>
            </w:pPr>
            <w:r/>
            <w:r>
              <w:rPr>
                <w:rFonts w:ascii="Arial" w:hAnsi="Arial" w:eastAsia="Arial"/>
                <w:b w:val="0"/>
                <w:sz w:val="17"/>
              </w:rPr>
              <w:t>Requires local measurement</w:t>
            </w:r>
          </w:p>
        </w:tc>
      </w:tr>
      <w:tr>
        <w:tc>
          <w:tcPr>
            <w:tcW w:type="dxa" w:w="3360"/>
            <w:vAlign w:val="top"/>
          </w:tcPr>
          <w:p>
            <w:pPr>
              <w:spacing w:after="0"/>
            </w:pPr>
            <w:r/>
            <w:r>
              <w:rPr>
                <w:rFonts w:ascii="Arial" w:hAnsi="Arial" w:eastAsia="Arial"/>
                <w:b w:val="0"/>
                <w:sz w:val="17"/>
              </w:rPr>
              <w:t>Rework</w:t>
            </w:r>
          </w:p>
        </w:tc>
        <w:tc>
          <w:tcPr>
            <w:tcW w:type="dxa" w:w="3360"/>
            <w:vAlign w:val="top"/>
          </w:tcPr>
          <w:p>
            <w:pPr>
              <w:spacing w:after="0"/>
            </w:pPr>
            <w:r/>
            <w:r>
              <w:rPr>
                <w:rFonts w:ascii="Arial" w:hAnsi="Arial" w:eastAsia="Arial"/>
                <w:b w:val="0"/>
                <w:sz w:val="17"/>
              </w:rPr>
              <w:t>Burden measurement reviews; addenda, coding query, quality correction proxies</w:t>
            </w:r>
          </w:p>
        </w:tc>
        <w:tc>
          <w:tcPr>
            <w:tcW w:type="dxa" w:w="3360"/>
            <w:vAlign w:val="top"/>
          </w:tcPr>
          <w:p>
            <w:pPr>
              <w:spacing w:after="0"/>
            </w:pPr>
            <w:r/>
            <w:r>
              <w:rPr>
                <w:rFonts w:ascii="Arial" w:hAnsi="Arial" w:eastAsia="Arial"/>
                <w:b w:val="0"/>
                <w:sz w:val="17"/>
              </w:rPr>
              <w:t>Adds hidden time beyond initial signing</w:t>
            </w:r>
          </w:p>
        </w:tc>
      </w:tr>
    </w:tbl>
    <w:p/>
    <w:p>
      <w:pPr>
        <w:pStyle w:val="Heading1"/>
      </w:pPr>
      <w:r>
        <w:t>15. Practical Implications for the Time Documentation Model</w:t>
      </w:r>
    </w:p>
    <w:p>
      <w:r>
        <w:t>The evidence supports three major modeling choices. First, inpatient and outpatient documentation should not be modeled with a single average time per note. Inpatient documentation is perishable same-day communication work. Outpatient documentation is a managed cognitive queue. Second, the endpoint should be minutes per high-quality signed note, not minutes per signed note. Third, documentation timing should be treated as a quality determinant because delayed notes lose freshness, readership, and clinical usefulness.</w:t>
      </w:r>
    </w:p>
    <w:p>
      <w:r>
        <w:t>For inpatient care, the model should require same-day completion and preferably first-half-of-day progress-note completion. Progress notes signed late are read less often, and morning notes are more likely to affect same-day care. Discharge summaries should be completed the same day as discharge whenever possible because delayed summaries weaken transitions. Event, family meeting, and goals-of-care notes should be completed close to the event because they guide high-stakes decisions.</w:t>
      </w:r>
    </w:p>
    <w:p>
      <w:r>
        <w:t>For outpatient care, the model should tolerate sequencing but not unbounded delay. High-risk medication changes, urgent referrals, serious new diagnoses, and complex care plans should be documented the same day. Standard visits should generally close within 24 hours, low-risk follow-ups within 48 hours, and administrative cleanup within 72 hours. Any unsigned note beyond the SLA should be counted as backlog and risk, not as harmless flexibility.</w:t>
      </w:r>
    </w:p>
    <w:p>
      <w:r>
        <w:t>For executives, the central operational lesson is that documentation quality requires scheduled capacity. When documentation demand exceeds protected capacity, the system converts the gap into delay, copy-forward, note bloat, rework, patient-safety risk, or pajama time. For clinicians, the central professional lesson is that the note must make reasoning visible. A health system cannot demand thinking records while scheduling only enough time for produced notes.</w:t>
      </w:r>
    </w:p>
    <w:p>
      <w:pPr>
        <w:pStyle w:val="Heading1"/>
      </w:pPr>
      <w:r>
        <w:t>References</w:t>
      </w:r>
    </w:p>
    <w:p>
      <w:pPr>
        <w:pStyle w:val="Bibliography"/>
      </w:pPr>
      <w:r>
        <w:t>Al-Damluji, Mouaz S., Kendra Dzara, Benjamin Hodshon, et al. 2015. “Hospital Variation in Quality of Discharge Summaries for Patients Hospitalized With Heart Failure Exacerbation.” Circulation: Cardiovascular Quality and Outcomes 8 (1): 77–86. https://doi.org/10.1161/CIRCOUTCOMES.114.001227.</w:t>
      </w:r>
    </w:p>
    <w:p>
      <w:pPr>
        <w:pStyle w:val="Bibliography"/>
      </w:pPr>
      <w:r>
        <w:t>Allen, Kimberly A., Mary M. Kelly, Michael B. Pitt, et al. 2026. “Patient Preferences for Plain-Language Alternatives to Medical Jargon in Clinical Notes.” Journal of General Internal Medicine. https://doi.org/10.1007/s11606-026-10353-2.</w:t>
      </w:r>
    </w:p>
    <w:p>
      <w:pPr>
        <w:pStyle w:val="Bibliography"/>
      </w:pPr>
      <w:r>
        <w:t>Apathy, Nicholas C., A. J. Holmgren, and D. A. Cross. 2024. “Physician EHR Time and Visit Volume Following Adoption of Team-Based Documentation Support.” JAMA Internal Medicine 184 (10): 1212–1221. https://doi.org/10.1001/jamainternmed.2024.4123.</w:t>
      </w:r>
    </w:p>
    <w:p>
      <w:pPr>
        <w:pStyle w:val="Bibliography"/>
      </w:pPr>
      <w:r>
        <w:t>Apathy, Nicholas C., Gabriela Zabala, Kimberly Gomes, et al. 2024. “Telemedicine and In-Person Visit Modality Mix and Electronic Health Record Use in Primary Care.” JAMA Network Open 7 (4): e248060. https://doi.org/10.1001/jamanetworkopen.2024.8060.</w:t>
      </w:r>
    </w:p>
    <w:p>
      <w:pPr>
        <w:pStyle w:val="Bibliography"/>
      </w:pPr>
      <w:r>
        <w:t>Apathy, Nicholas C., Hannah Hartman-Hall, An Tran, et al. 2024. “Accounting for Taste: Preferences Mediate the Relationship Between Documentation Time and Ambulatory Physician Burnout.” Journal of the American Medical Informatics Association 31 (10): 2246–2254. https://doi.org/10.1093/jamia/ocae193.</w:t>
      </w:r>
    </w:p>
    <w:p>
      <w:pPr>
        <w:pStyle w:val="Bibliography"/>
      </w:pPr>
      <w:r>
        <w:t>Apathy, Nicholas C., Lisa S. Rotenstein, David W. Bates, and A. J. Holmgren. 2023. “Documentation Dynamics: Note Composition, Burden, and Physician Efficiency.” Health Services Research 58 (3): 674–685. https://doi.org/10.1111/1475-6773.14097.</w:t>
      </w:r>
    </w:p>
    <w:p>
      <w:pPr>
        <w:pStyle w:val="Bibliography"/>
      </w:pPr>
      <w:r>
        <w:t>Arndt, Brian G., John W. Beasley, Michelle D. Watkinson, et al. 2017. “Tethered to the EHR: Primary Care Physician Workload Assessment Using EHR Event Log Data and Time-Motion Observations.” Annals of Family Medicine 15 (5): 419–426. https://doi.org/10.1370/afm.2121.</w:t>
      </w:r>
    </w:p>
    <w:p>
      <w:pPr>
        <w:pStyle w:val="Bibliography"/>
      </w:pPr>
      <w:r>
        <w:t>Barsky, Arthur J. 2002. “Forgetting, Fabricating, and Telescoping: The Instability of the Medical History.” Archives of Internal Medicine 162 (9): 981–984. https://doi.org/10.1001/archinte.162.9.981.</w:t>
      </w:r>
    </w:p>
    <w:p>
      <w:pPr>
        <w:pStyle w:val="Bibliography"/>
      </w:pPr>
      <w:r>
        <w:t>Berger, Sebastian, P. Grzonka, S. Hunziker, A. I. Frei, and R. Sutter. 2025. “When Shortcuts Fall Short: The Hidden Danger of Abbreviations in Critical Care.” Journal of Critical Care 91: 155236. https://doi.org/10.1016/j.jcrc.2025.155236.</w:t>
      </w:r>
    </w:p>
    <w:p>
      <w:pPr>
        <w:pStyle w:val="Bibliography"/>
      </w:pPr>
      <w:r>
        <w:t>Bischoff, K., A. Goel, H. Hollander, S. R. Ranji, and M. Mourad. 2013. “The Housestaff Incentive Program: Improving the Timeliness and Quality of Discharge Summaries by Engaging Residents in Quality Improvement.” BMJ Quality &amp; Safety 22 (9): 768–774. https://doi.org/10.1136/bmjqs-2012-001671.</w:t>
      </w:r>
    </w:p>
    <w:p>
      <w:pPr>
        <w:pStyle w:val="Bibliography"/>
      </w:pPr>
      <w:r>
        <w:t>Blackley, Suzanne V., Victoria D. Schubert, Foster R. Goss, et al. 2020. “Physician Use of Speech Recognition Versus Typing in Clinical Documentation: A Controlled Observational Study.” International Journal of Medical Informatics 141: 104178. https://doi.org/10.1016/j.ijmedinf.2020.104178.</w:t>
      </w:r>
    </w:p>
    <w:p>
      <w:pPr>
        <w:pStyle w:val="Bibliography"/>
      </w:pPr>
      <w:r>
        <w:t>Burke, H. B., A. Hoang, D. Becher, et al. 2014. “QNOTE: An Instrument for Measuring the Quality of EHR Clinical Notes.” Journal of the American Medical Informatics Association 21 (5): 910–916. https://doi.org/10.1136/amiajnl-2013-002321.</w:t>
      </w:r>
    </w:p>
    <w:p>
      <w:pPr>
        <w:pStyle w:val="Bibliography"/>
      </w:pPr>
      <w:r>
        <w:t>Burke, H. B., L. L. Sessums, A. Hoang, et al. 2015. “Electronic Health Records Improve Clinical Note Quality.” Journal of the American Medical Informatics Association 22 (1): 199–205. https://doi.org/10.1136/amiajnl-2014-002726.</w:t>
      </w:r>
    </w:p>
    <w:p>
      <w:pPr>
        <w:pStyle w:val="Bibliography"/>
      </w:pPr>
      <w:r>
        <w:t>Cansino, S. 2009. “Episodic Memory Decay Along the Adult Lifespan: A Review of Behavioral and Neurophysiological Evidence.” International Journal of Psychophysiology 71 (1): 64–69. https://doi.org/10.1016/j.ijpsycho.2008.07.005.</w:t>
      </w:r>
    </w:p>
    <w:p>
      <w:pPr>
        <w:pStyle w:val="Bibliography"/>
      </w:pPr>
      <w:r>
        <w:t>Carral, P., S. E. Benítez, M. P. Del Valle, et al. 2026. “Assessing the Quality of Electronic Discharge Summaries: A Cross-Sectional Study Using the Validated Spanish Version of the PDQI-9.” Methods of Information in Medicine. https://doi.org/10.1055/a-2841-4662.</w:t>
      </w:r>
    </w:p>
    <w:p>
      <w:pPr>
        <w:pStyle w:val="Bibliography"/>
      </w:pPr>
      <w:r>
        <w:t>Chaiyachati, Krisda H., Judy A. Shea, David A. Asch, et al. 2019. “Assessment of Inpatient Time Allocation Among First-Year Internal Medicine Residents Using Time-Motion Observations.” JAMA Internal Medicine 179 (6): 760–767. https://doi.org/10.1001/jamainternmed.2019.0095.</w:t>
      </w:r>
    </w:p>
    <w:p>
      <w:pPr>
        <w:pStyle w:val="Bibliography"/>
      </w:pPr>
      <w:r>
        <w:t>Chang, C. T., and Y. P. Liaw. 2025. “Risk Factors and Management of Medical Disputes: An Analysis of Preliminary Appraisal Reports.” PLoS One 20 (11): e0334917. https://doi.org/10.1371/journal.pone.0334917.</w:t>
      </w:r>
    </w:p>
    <w:p>
      <w:pPr>
        <w:pStyle w:val="Bibliography"/>
      </w:pPr>
      <w:r>
        <w:t>Coghlan, A., S. Turner, and S. Coverdale. 2023. “Danger in Discharge Summaries: Abbreviations Create Confusion for Both Author and Recipient.” Internal Medicine Journal 53 (4): 550–558. https://doi.org/10.1111/imj.15582.</w:t>
      </w:r>
    </w:p>
    <w:p>
      <w:pPr>
        <w:pStyle w:val="Bibliography"/>
      </w:pPr>
      <w:r>
        <w:t>Colicchio, T. K., and J. J. Cimino. 2019. “Clinicians’ Reasoning as Reflected in Electronic Clinical Note-Entry and Reading/Retrieval: A Systematic Review and Qualitative Synthesis.” Journal of the American Medical Informatics Association 26 (2): 172–184. https://doi.org/10.1093/jamia/ocy155.</w:t>
      </w:r>
    </w:p>
    <w:p>
      <w:pPr>
        <w:pStyle w:val="Bibliography"/>
      </w:pPr>
      <w:r>
        <w:t>Colicchio, T. K., P. I. Dissanayake, and J. J. Cimino. 2021. “Physicians’ Perceptions About Narrative Note Sections Format and Content: A Multi-Specialty Survey.” International Journal of Medical Informatics 151: 104475. https://doi.org/10.1016/j.ijmedinf.2021.104475.</w:t>
      </w:r>
    </w:p>
    <w:p>
      <w:pPr>
        <w:pStyle w:val="Bibliography"/>
      </w:pPr>
      <w:r>
        <w:t>Cortel-LeBlanc, M. A., K. Lemay, S. Chhabra, et al. 2025. “Medico-Legal Risk in the Emergency Department.” CJEM. https://doi.org/10.1007/s43678-025-01066-2.</w:t>
      </w:r>
    </w:p>
    <w:p>
      <w:pPr>
        <w:pStyle w:val="Bibliography"/>
      </w:pPr>
      <w:r>
        <w:t>Cross, D. A., A. J. Holmgren, and N. C. Apathy. 2024. “The Role of Organizations in Shaping Physician Use of Electronic Health Records.” Health Services Research 59 (1): e14203. https://doi.org/10.1111/1475-6773.14203.</w:t>
      </w:r>
    </w:p>
    <w:p>
      <w:pPr>
        <w:pStyle w:val="Bibliography"/>
      </w:pPr>
      <w:r>
        <w:t>Cunningham, J. M., R. Leverence, N. Gotera, et al. 2025. “Improving Promptness and Quality of Hospitalist-Consultant Interactions at an Academic Teaching Hospital.” Journal of Hospital Medicine. https://doi.org/10.1002/jhm.70047.</w:t>
      </w:r>
    </w:p>
    <w:p>
      <w:pPr>
        <w:pStyle w:val="Bibliography"/>
      </w:pPr>
      <w:r>
        <w:t>Davidge, G., B. McMillan, and L. Brown. 2024. “‘Getting It Write’ in a New Era of Patient Online Access to Primary Care Health Records.” British Journal of General Practice 74 (suppl 1): bjgp24X737505. https://doi.org/10.3399/bjgp24X737505.</w:t>
      </w:r>
    </w:p>
    <w:p>
      <w:pPr>
        <w:pStyle w:val="Bibliography"/>
      </w:pPr>
      <w:r>
        <w:t>Dawdy, M. R., D. W. Munter, and R. A. Gilmore. 1997. “Correlation of Patient Entry Rates and Physician Documentation Errors in Dictated and Handwritten Emergency Treatment Records.” American Journal of Emergency Medicine 15 (2): 115–117. https://doi.org/10.1016/s0735-6757(97)90078-4.</w:t>
      </w:r>
    </w:p>
    <w:p>
      <w:pPr>
        <w:pStyle w:val="Bibliography"/>
      </w:pPr>
      <w:r>
        <w:t>Ebbers, T., R. B. Kool, L. E. Smeele, et al. 2022. “The Impact of Structured and Standardized Documentation on Documentation Quality: A Multicenter, Retrospective Study.” Journal of Medical Systems 46 (7): 46. https://doi.org/10.1007/s10916-022-01837-9.</w:t>
      </w:r>
    </w:p>
    <w:p>
      <w:pPr>
        <w:pStyle w:val="Bibliography"/>
      </w:pPr>
      <w:r>
        <w:t>Ghaith, S., G. P. Moore, K. M. Colbenson, and R. A. Lindor. 2022. “Charting Practices to Protect Against Malpractice: Case Reviews and Learning Points.” Western Journal of Emergency Medicine 23 (3): 412–417. https://doi.org/10.5811/westjem.2022.1.53894.</w:t>
      </w:r>
    </w:p>
    <w:p>
      <w:pPr>
        <w:pStyle w:val="Bibliography"/>
      </w:pPr>
      <w:r>
        <w:t>Gong, J. J., H. Soleimani, S. G. Murray, and J. Adler-Milstein. 2021. “Characterizing Styles of Clinical Note Production and Relationship to Clinical Work Hours Among First-Year Residents.” Journal of the American Medical Informatics Association 29 (1): 120–127. https://doi.org/10.1093/jamia/ocab253.</w:t>
      </w:r>
    </w:p>
    <w:p>
      <w:pPr>
        <w:pStyle w:val="Bibliography"/>
      </w:pPr>
      <w:r>
        <w:t>Gotlieb, R., C. Praska, M. A. Hendrickson, et al. 2022. “Accuracy in Patient Understanding of Common Medical Phrases.” JAMA Network Open 5 (11): e2242972. https://doi.org/10.1001/jamanetworkopen.2022.42972.</w:t>
      </w:r>
    </w:p>
    <w:p>
      <w:pPr>
        <w:pStyle w:val="Bibliography"/>
      </w:pPr>
      <w:r>
        <w:t>Green, C. R., R. Zhang, R. F. Stainback, et al. 2025. “Analyzing the Creation and Use of Abbreviations in Cardiology and Cardiac Imaging Society Guidelines.” JACC: Advances 4 (2): 101561. https://doi.org/10.1016/j.jacadv.2024.101561.</w:t>
      </w:r>
    </w:p>
    <w:p>
      <w:pPr>
        <w:pStyle w:val="Bibliography"/>
      </w:pPr>
      <w:r>
        <w:t>Gurley, K. L., et al. 2018. “Emergency Medicine Closed-Claims Analysis.” Controlled Risk Insurance Company (CRICO). [Full bibliographic details to be verified.]</w:t>
      </w:r>
    </w:p>
    <w:p>
      <w:pPr>
        <w:pStyle w:val="Bibliography"/>
      </w:pPr>
      <w:r>
        <w:t>Hallaj, S., A. Heinke, F. G. P. Kalaw, et al. 2026. “Navigating Open Data Sharing and Privacy in the Age of Clinical AI Research: From Reidentification to Pseudo-Reidentification.” EClinicalMedicine 91: 103729. https://doi.org/10.1016/j.eclinm.2025.103729.</w:t>
      </w:r>
    </w:p>
    <w:p>
      <w:pPr>
        <w:pStyle w:val="Bibliography"/>
      </w:pPr>
      <w:r>
        <w:t>Hamiel, U., I. Hecht, A. Nemet, et al. 2018. “Frequency, Comprehension and Attitudes of Physicians Towards Abbreviations in the Medical Record.” Postgraduate Medical Journal 94 (1111): 254–258. https://doi.org/10.1136/postgradmedj-2017-135515.</w:t>
      </w:r>
    </w:p>
    <w:p>
      <w:pPr>
        <w:pStyle w:val="Bibliography"/>
      </w:pPr>
      <w:r>
        <w:t>Hanson, J. L., M. B. Stephens, L. N. Pangaro, and R. W. Gimbel. 2012. “Quality of Outpatient Clinical Notes: A Stakeholder Definition Derived Through Qualitative Research.” BMC Health Services Research 12: 407. https://doi.org/10.1186/1472-6963-12-407.</w:t>
      </w:r>
    </w:p>
    <w:p>
      <w:pPr>
        <w:pStyle w:val="Bibliography"/>
      </w:pPr>
      <w:r>
        <w:t>Hardt, O., K. Nader, and L. Nadel. 2013. “Decay Happens: The Role of Active Forgetting in Memory.” Trends in Cognitive Sciences 17 (3): 111–120. https://doi.org/10.1016/j.tics.2013.01.001.</w:t>
      </w:r>
    </w:p>
    <w:p>
      <w:pPr>
        <w:pStyle w:val="Bibliography"/>
      </w:pPr>
      <w:r>
        <w:t>Holmgren, A. J., R. Thombley, C. A. Sinsky, and J. Adler-Milstein. 2023. “Changes in Physician Electronic Health Record Use With the Expansion of Telemedicine.” JAMA Internal Medicine 183 (12): 1357–1365. https://doi.org/10.1001/jamainternmed.2023.5738.</w:t>
      </w:r>
    </w:p>
    <w:p>
      <w:pPr>
        <w:pStyle w:val="Bibliography"/>
      </w:pPr>
      <w:r>
        <w:t>Holper, S., R. Barmanray, B. Colman, et al. 2020. “Ambiguous Medical Abbreviation Study: Challenges and Opportunities.” Internal Medicine Journal 50 (9): 1073–1078. https://doi.org/10.1111/imj.14442.</w:t>
      </w:r>
    </w:p>
    <w:p>
      <w:pPr>
        <w:pStyle w:val="Bibliography"/>
      </w:pPr>
      <w:r>
        <w:t>Horwitz, L. I., G. Y. Jenq, U. C. Brewster, et al. 2013. “Comprehensive Quality of Discharge Summaries at an Academic Medical Center.” Journal of Hospital Medicine 8 (8): 436–443. https://doi.org/10.1002/jhm.2021.</w:t>
      </w:r>
    </w:p>
    <w:p>
      <w:pPr>
        <w:pStyle w:val="Bibliography"/>
      </w:pPr>
      <w:r>
        <w:t>Jamieson, Trevor, Jonathan Ailon, Vivian Chien, and Omar Mourad. 2017. “An Electronic Documentation System Improves the Quality of Admission Notes: A Randomized Trial.” Journal of the American Medical Informatics Association 24 (1): 123–129. https://doi.org/10.1093/jamia/ocw064.</w:t>
      </w:r>
    </w:p>
    <w:p>
      <w:pPr>
        <w:pStyle w:val="Bibliography"/>
      </w:pPr>
      <w:r>
        <w:t>Jenkins, P. D., G. Grunkemeier, E. Weirich, et al. 2026. “Specialty and Operator Status Influence Electronic Health Record Use Variation.” American Journal of Managed Care 32 (1): e3–e4. https://doi.org/10.37765/ajmc.2026.89874.</w:t>
      </w:r>
    </w:p>
    <w:p>
      <w:pPr>
        <w:pStyle w:val="Bibliography"/>
      </w:pPr>
      <w:r>
        <w:t>Jhaveri, P., D. Abdulahad, B. Fogel, et al. 2022. “Impact of Scribe Intervention on Documentation in an Outpatient Pediatric Primary Care Practice.” Academic Pediatrics 22 (2): 289–295. https://doi.org/10.1016/j.acap.2021.05.004.</w:t>
      </w:r>
    </w:p>
    <w:p>
      <w:pPr>
        <w:pStyle w:val="Bibliography"/>
      </w:pPr>
      <w:r>
        <w:t>Kahn, D., E. Stewart, M. Duncan, et al. 2018. “A Prescription for Note Bloat: An Effective Progress Note Template.” Journal of Hospital Medicine 13 (6): 378–382. https://doi.org/10.12788/jhm.2898.</w:t>
      </w:r>
    </w:p>
    <w:p>
      <w:pPr>
        <w:pStyle w:val="Bibliography"/>
      </w:pPr>
      <w:r>
        <w:t>Kotwal, S., D. Klimpl, S. Tackett, R. Kauffman, and S. Wright. 2019. “Documentation of Clinical Reasoning in Admission Notes of Hospitalists: Validation of the CRANAPL Assessment Rubric.” Journal of Hospital Medicine 14 (12): 746–753. https://doi.org/10.12788/jhm.3233.</w:t>
      </w:r>
    </w:p>
    <w:p>
      <w:pPr>
        <w:pStyle w:val="Bibliography"/>
      </w:pPr>
      <w:r>
        <w:t>Kuhn, T., P. Basch, M. Barr, and T. Yackel. 2015. “Clinical Documentation in the 21st Century: Executive Summary of a Policy Position Paper From the American College of Physicians.” Annals of Internal Medicine 162 (4): 301–303. https://doi.org/10.7326/M14-2128.</w:t>
      </w:r>
    </w:p>
    <w:p>
      <w:pPr>
        <w:pStyle w:val="Bibliography"/>
      </w:pPr>
      <w:r>
        <w:t>Lasker, R. D., and M. S. Marquis. 1999. “The Intensity of Physicians’ Work in Patient Visits: Implications for the Coding of Patient Evaluation and Management Services.” New England Journal of Medicine 341 (5): 337–341. https://doi.org/10.1056/NEJM199907293410506.</w:t>
      </w:r>
    </w:p>
    <w:p>
      <w:pPr>
        <w:pStyle w:val="Bibliography"/>
      </w:pPr>
      <w:r>
        <w:t>Leveille, S. G., P. Fitzgerald, K. Harcourt, et al. 2020. “Patients Evaluate Visit Notes Written by Their Clinicians: A Mixed Methods Investigation.” Journal of General Internal Medicine 35 (12): 3510–3516. https://doi.org/10.1007/s11606-020-06014-7.</w:t>
      </w:r>
    </w:p>
    <w:p>
      <w:pPr>
        <w:pStyle w:val="Bibliography"/>
      </w:pPr>
      <w:r>
        <w:t>Lipinski, M., E. Smith, and C. Vaillancourt. 2026. “Human vs. Artificial Intelligence in Medical Charting: A Comparative Study in the Simulated Emergency Medicine Context.” CJEM 28 (5): 431–437. https://doi.org/10.1007/s43678-026-01141-2.</w:t>
      </w:r>
    </w:p>
    <w:p>
      <w:pPr>
        <w:pStyle w:val="Bibliography"/>
      </w:pPr>
      <w:r>
        <w:t>Luo, L., and F. I. M. Craik. 2008. “Aging and Memory: A Cognitive Approach.” Canadian Journal of Psychiatry 53 (6): 346–353. https://doi.org/10.1177/070674370805300603.</w:t>
      </w:r>
    </w:p>
    <w:p>
      <w:pPr>
        <w:pStyle w:val="Bibliography"/>
      </w:pPr>
      <w:r>
        <w:t>Malkenson, D., E. M. Siegal, J. A. Leff, R. Weber, and R. Struck. 2010. “Comparing Academic and Community-Based Hospitalists.” Journal of Hospital Medicine 5 (6): 349–352. https://doi.org/10.1002/jhm.793.</w:t>
      </w:r>
    </w:p>
    <w:p>
      <w:pPr>
        <w:pStyle w:val="Bibliography"/>
      </w:pPr>
      <w:r>
        <w:t>Maris, M. T., J. E. Klopotowska, R. Cornet, et al. 2026. “The Ethics of Leveraging Routinely Collected Patient Data for AI Development: Mixed Methods Study.” Journal of Medical Internet Research 28: e79863. https://doi.org/10.2196/79863.</w:t>
      </w:r>
    </w:p>
    <w:p>
      <w:pPr>
        <w:pStyle w:val="Bibliography"/>
      </w:pPr>
      <w:r>
        <w:t>Meier-Diedrich, E., C. Blease, M. Heinze, J. Wördemann, and J. Schwarz. 2025. “Changes in Documentation After Implementing Open Notes in Mental Health Care: Pre-Post Mixed Methods Study.” Journal of Medical Internet Research 27: e72667. https://doi.org/10.2196/72667.</w:t>
      </w:r>
    </w:p>
    <w:p>
      <w:pPr>
        <w:pStyle w:val="Bibliography"/>
      </w:pPr>
      <w:r>
        <w:t>Miller, A. N., A. Bharathan, V. N. S. Duvuuri, et al. 2022. “Use of Seven Types of Medical Jargon by Male and Female Primary Care Providers at a University Health Center.” Patient Education and Counseling 105 (5): 1261–1267. https://doi.org/10.1016/j.pec.2021.08.018.</w:t>
      </w:r>
    </w:p>
    <w:p>
      <w:pPr>
        <w:pStyle w:val="Bibliography"/>
      </w:pPr>
      <w:r>
        <w:t>Mishra, P., J. C. Kiang, and R. W. Grant. 2018. “Association of Medical Scribes in Primary Care With Physician Workflow and Patient Experience.” JAMA Internal Medicine 178 (11): 1467–1472. https://doi.org/10.1001/jamainternmed.2018.3956.</w:t>
      </w:r>
    </w:p>
    <w:p>
      <w:pPr>
        <w:pStyle w:val="Bibliography"/>
      </w:pPr>
      <w:r>
        <w:t>Moulaei, K., S. Akhlaghpour, and F. Fatehi. 2025. “Patient Consent for the Secondary Use of Health Data in Artificial Intelligence (AI) Models: A Scoping Review.” International Journal of Medical Informatics 198: 105872. https://doi.org/10.1016/j.ijmedinf.2025.105872.</w:t>
      </w:r>
    </w:p>
    <w:p>
      <w:pPr>
        <w:pStyle w:val="Bibliography"/>
      </w:pPr>
      <w:r>
        <w:t>Moura, L. M., R. G. Mishuris, J. P. Metlay, et al. 2026. “Hybrid Ambient Clinical Documentation and Physician Performance: Work Outside of Work, Documentation Delay, and Financial Productivity.” Journal of General Internal Medicine 41 (5): 1294–1303. https://doi.org/10.1007/s11606-025-09979-5.</w:t>
      </w:r>
    </w:p>
    <w:p>
      <w:pPr>
        <w:pStyle w:val="Bibliography"/>
      </w:pPr>
      <w:r>
        <w:t>Moy, A. J., J. M. Schwartz, R. Chen, et al. 2021. “Measurement of Clinical Documentation Burden Among Physicians and Nurses Using Electronic Health Records: A Scoping Review.” Journal of the American Medical Informatics Association 28 (5): 998–1008. https://doi.org/10.1093/jamia/ocaa325.</w:t>
      </w:r>
    </w:p>
    <w:p>
      <w:pPr>
        <w:pStyle w:val="Bibliography"/>
      </w:pPr>
      <w:r>
        <w:t>Murad, M. H., B. E. Vaa Stelling, C. P. West, et al. 2024. “Measuring Documentation Burden in Healthcare.” Journal of General Internal Medicine 39 (14): 2837–2848. https://doi.org/10.1007/s11606-024-08956-8.</w:t>
      </w:r>
    </w:p>
    <w:p>
      <w:pPr>
        <w:pStyle w:val="Bibliography"/>
      </w:pPr>
      <w:r>
        <w:t>Overhage, J. Marc, and D. McCallie. 2020. “Physician Time Spent Using the Electronic Health Record During Outpatient Encounters: A Descriptive Study.” Annals of Internal Medicine 172 (3): 169–174. https://doi.org/10.7326/M18-3684.</w:t>
      </w:r>
    </w:p>
    <w:p>
      <w:pPr>
        <w:pStyle w:val="Bibliography"/>
      </w:pPr>
      <w:r>
        <w:t>Oxentenko, A. S., C. P. West, C. Popkave, S. E. Weinberger, and J. C. Kolars. 2010. “Time Spent on Clinical Documentation: A Survey of Internal Medicine Residents and Program Directors.” Archives of Internal Medicine 170 (4): 377–380. https://doi.org/10.1001/archinternmed.2009.534.</w:t>
      </w:r>
    </w:p>
    <w:p>
      <w:pPr>
        <w:pStyle w:val="Bibliography"/>
      </w:pPr>
      <w:r>
        <w:t>O’Donnell, H. C., and S. Suresh. 2020. “Electronic Documentation in Pediatrics: The Rationale and Functionality Requirements.” Pediatrics 146 (1): e20201684. https://doi.org/10.1542/peds.2020-1684.</w:t>
      </w:r>
    </w:p>
    <w:p>
      <w:pPr>
        <w:pStyle w:val="Bibliography"/>
      </w:pPr>
      <w:r>
        <w:t>Palmieri, S., C. T. Robertson, and I. G. Cohen. 2026. “New Guidance on Responsible Use of AI.” JAMA 335 (3): 207–208. https://doi.org/10.1001/jama.2025.23059.</w:t>
      </w:r>
    </w:p>
    <w:p>
      <w:pPr>
        <w:pStyle w:val="Bibliography"/>
      </w:pPr>
      <w:r>
        <w:t>Parenti, C., and N. Lurie. 1993. “Are Things Different in the Light of Day? A Time Study of Internal Medicine House Staff Days.” American Journal of Medicine 94 (6): 654–658. https://doi.org/10.1016/0002-9343(93)90220-j.</w:t>
      </w:r>
    </w:p>
    <w:p>
      <w:pPr>
        <w:pStyle w:val="Bibliography"/>
      </w:pPr>
      <w:r>
        <w:t>Payne, T. H., C. Keller, P. Arora, et al. 2021. “Writing Practices Associated With Electronic Progress Notes and the Preferences of Those Who Read Them: Descriptive Study.” Journal of Medical Internet Research 23 (10): e30165. https://doi.org/10.2196/30165.</w:t>
      </w:r>
    </w:p>
    <w:p>
      <w:pPr>
        <w:pStyle w:val="Bibliography"/>
      </w:pPr>
      <w:r>
        <w:t>Porter, S., M. Knees, L. Meimari, C. Piper, and M. Kissler. 2025. “Hospitalist Time-Motion Studies: A Systematic Review.” Journal of Hospital Medicine. https://doi.org/10.1002/jhm.70092.</w:t>
      </w:r>
    </w:p>
    <w:p>
      <w:pPr>
        <w:pStyle w:val="Bibliography"/>
      </w:pPr>
      <w:r>
        <w:t>Pun, J. K., E. A. Chan, K. A. Murray, D. Slade, and C. M. Matthiessen. 2017. “Complexities of Emergency Communication: Clinicians’ Perceptions of Communication Challenges in a Trilingual Emergency Department.” Journal of Clinical Nursing 26 (21–22): 3396–3407. https://doi.org/10.1111/jocn.13699.</w:t>
      </w:r>
    </w:p>
    <w:p>
      <w:pPr>
        <w:pStyle w:val="Bibliography"/>
      </w:pPr>
      <w:r>
        <w:t>Rizvi, R. F., K. A. Harder, G. M. Hultman, et al. 2016. “A Comparative Observational Study of Inpatient Clinical Note-Entry and Reading/Retrieval Styles Adopted by Physicians.” International Journal of Medical Informatics 90: 1–11. https://doi.org/10.1016/j.ijmedinf.2016.02.011.</w:t>
      </w:r>
    </w:p>
    <w:p>
      <w:pPr>
        <w:pStyle w:val="Bibliography"/>
      </w:pPr>
      <w:r>
        <w:t>Rossetti, S., J. Withall, K. Kendle, et al. 2024. “Dissemination of Strategies for Reducing Excessive Documentation Burden: 25x5 Task Force Activities Relevant to Nursing.” Studies in Health Technology and Informatics 315: 437–441. https://doi.org/10.3233/SHTI240186.</w:t>
      </w:r>
    </w:p>
    <w:p>
      <w:pPr>
        <w:pStyle w:val="Bibliography"/>
      </w:pPr>
      <w:r>
        <w:t>Rotenstein, Lisa S., A. J. Holmgren, R. Thombley, et al. 2026. “Changes in Clinician Time Expenditure and Visit Quantity With Adoption of Artificial Intelligence-Powered Scribes.” JAMA. https://doi.org/10.1001/jama.2026.2253.</w:t>
      </w:r>
    </w:p>
    <w:p>
      <w:pPr>
        <w:pStyle w:val="Bibliography"/>
      </w:pPr>
      <w:r>
        <w:t>Rotenstein, Lisa S., M. Frits, C. Iannaccone, et al. 2025. “Primary Care Physician Time Spent in Patient Care: An Observational Study Using Electronic Health Record Logs.” Annals of Internal Medicine. https://doi.org/10.7326/ANNALS-25-01412.</w:t>
      </w:r>
    </w:p>
    <w:p>
      <w:pPr>
        <w:pStyle w:val="Bibliography"/>
      </w:pPr>
      <w:r>
        <w:t>Rotenstein, Lisa S., Nicholas Apathy, A. J. Holmgren, and D. W. Bates. 2023. “Physician Note Composition Patterns and Time on the EHR Across Specialty Types: A National, Cross-Sectional Study.” Journal of General Internal Medicine 38 (5): 1119–1126. https://doi.org/10.1007/s11606-022-07834-5.</w:t>
      </w:r>
    </w:p>
    <w:p>
      <w:pPr>
        <w:pStyle w:val="Bibliography"/>
      </w:pPr>
      <w:r>
        <w:t>Rotenstein, Lisa S., Nicholas Apathy, S. Edgman-Levitan, and B. Landon. 2023. “Comparison of Work Patterns Between Physicians and Advanced Practice Practitioners in Primary Care and Specialty Practice Settings.” JAMA Network Open 6 (6): e2318061. https://doi.org/10.1001/jamanetworkopen.2023.18061.</w:t>
      </w:r>
    </w:p>
    <w:p>
      <w:pPr>
        <w:pStyle w:val="Bibliography"/>
      </w:pPr>
      <w:r>
        <w:t>Rule, A., S. Bedrick, M. F. Chiang, and M. R. Hribar. 2021. “Length and Redundancy of Outpatient Progress Notes Across a Decade at an Academic Medical Center.” JAMA Network Open 4 (7): e2115334. https://doi.org/10.1001/jamanetworkopen.2021.15334.</w:t>
      </w:r>
    </w:p>
    <w:p>
      <w:pPr>
        <w:pStyle w:val="Bibliography"/>
      </w:pPr>
      <w:r>
        <w:t>Sabin, J., W. Khan, C. P. Subbe, et al. 2016. “‘The Time It Takes...’: How Doctors Spend Their Time Admitting a Patient During the Acute Medical Take.” Clinical Medicine 16 (4): 320–324. https://doi.org/10.7861/clinmedicine.16-4-320.</w:t>
      </w:r>
    </w:p>
    <w:p>
      <w:pPr>
        <w:pStyle w:val="Bibliography"/>
      </w:pPr>
      <w:r>
        <w:t>Saleem, J. J., S. Adams, R. M. Frankel, B. N. Doebbeling, and E. S. Patterson. 2013. “Efficiency Strategies for Facilitating Computerized Clinical Documentation in Ambulatory Care.” Studies in Health Technology and Informatics 192: 13–17.</w:t>
      </w:r>
    </w:p>
    <w:p>
      <w:pPr>
        <w:pStyle w:val="Bibliography"/>
      </w:pPr>
      <w:r>
        <w:t>Schaye, V., L. Miller, D. Kudlowitz, et al. 2022. “Development of a Clinical Reasoning Documentation Assessment Tool for Resident and Fellow Admission Notes: A Shared Mental Model for Feedback.” Journal of General Internal Medicine 37 (3): 507–512. https://doi.org/10.1007/s11606-021-06805-6.</w:t>
      </w:r>
    </w:p>
    <w:p>
      <w:pPr>
        <w:pStyle w:val="Bibliography"/>
      </w:pPr>
      <w:r>
        <w:t>Seligson, M. T., S. P. Lyden, F. J. Caputo, et al. 2021. “Improving Clinical Documentation of Evaluation and Management Care and Patient Acuity Improves Reimbursement as Well as Quality Metrics.” Journal of Vascular Surgery 74 (6): 2055–2062. https://doi.org/10.1016/j.jvs.2021.06.027.</w:t>
      </w:r>
    </w:p>
    <w:p>
      <w:pPr>
        <w:pStyle w:val="Bibliography"/>
      </w:pPr>
      <w:r>
        <w:t>Shala, D. R., and S. Sheppard-Law. 2023. “Measuring Text Similarity and Its Associated Factors in Electronic Nursing Progress Notes: A Retrospective Review.” Journal of Clinical Nursing 32 (11–12): 2733–2741. https://doi.org/10.1111/jocn.16374.</w:t>
      </w:r>
    </w:p>
    <w:p>
      <w:pPr>
        <w:pStyle w:val="Bibliography"/>
      </w:pPr>
      <w:r>
        <w:t>Sharma, A., V. Lo, L. Lapointe-Shaw, et al. 2017. “A Time-Motion Study of Residents and Medical Students Performing Patient Discharges From General Internal Medicine Wards: A Disjointed, Interrupted Process.” Internal and Emergency Medicine 12 (6): 789–798. https://doi.org/10.1007/s11739-017-1654-4.</w:t>
      </w:r>
    </w:p>
    <w:p>
      <w:pPr>
        <w:pStyle w:val="Bibliography"/>
      </w:pPr>
      <w:r>
        <w:t>Singh, H., A. D. Meyer, and E. J. Thomas. 2014. “The Frequency of Diagnostic Errors in Outpatient Care: Estimations From Three Large Observational Studies Involving US Adult Populations.” BMJ Quality &amp; Safety 23 (9): 727–731. https://doi.org/10.1136/bmjqs-2013-002627.</w:t>
      </w:r>
    </w:p>
    <w:p>
      <w:pPr>
        <w:pStyle w:val="Bibliography"/>
      </w:pPr>
      <w:r>
        <w:t>Sinsky, Christine, L. Colligan, L. Li, et al. 2016. “Allocation of Physician Time in Ambulatory Practice: A Time and Motion Study in 4 Specialties.” Annals of Internal Medicine 165 (11): 753–760. https://doi.org/10.7326/M16-0961.</w:t>
      </w:r>
    </w:p>
    <w:p>
      <w:pPr>
        <w:pStyle w:val="Bibliography"/>
      </w:pPr>
      <w:r>
        <w:t>Smith, J. D., K. Lemay, S. Lee, et al. 2023. “Medico-Legal Issues Related to Emergency Physicians’ Documentation in Canadian Emergency Departments.” CJEM 25 (9): 768–775. https://doi.org/10.1007/s43678-023-00576-1.</w:t>
      </w:r>
    </w:p>
    <w:p>
      <w:pPr>
        <w:pStyle w:val="Bibliography"/>
      </w:pPr>
      <w:r>
        <w:t>Spector-Bagdady, K., A. A. Armoundas, R. Arnaout, et al. 2023. “Principles for Health Information Collection, Sharing, and Use: A Policy Statement From the American Heart Association.” Circulation 148 (13): 1061–1069. https://doi.org/10.1161/CIR.0000000000001173.</w:t>
      </w:r>
    </w:p>
    <w:p>
      <w:pPr>
        <w:pStyle w:val="Bibliography"/>
      </w:pPr>
      <w:r>
        <w:t>Stanley, I. H., S. Simpson, H. S. Wortzel, and T. E. Joiner. 2019. “Documenting Suicide Risk Assessments and Proportionate Clinical Actions to Improve Patient Safety and Mitigate Legal Risk.” Behavioral Sciences &amp; the Law 37 (3): 304–312. https://doi.org/10.1002/bsl.2409.</w:t>
      </w:r>
    </w:p>
    <w:p>
      <w:pPr>
        <w:pStyle w:val="Bibliography"/>
      </w:pPr>
      <w:r>
        <w:t>Steinkamp, J., J. J. Kantrowitz, and S. Airan-Javia. 2022. “Prevalence and Sources of Duplicate Information in the Electronic Medical Record.” JAMA Network Open 5 (9): e2233348. https://doi.org/10.1001/jamanetworkopen.2022.33348.</w:t>
      </w:r>
    </w:p>
    <w:p>
      <w:pPr>
        <w:pStyle w:val="Bibliography"/>
      </w:pPr>
      <w:r>
        <w:t>Stetson, P. D., S. Bakken, and J. O. Wrenn. 2008. “Preliminary Development of the Physician Documentation Quality Instrument.” Journal of the American Medical Informatics Association 15 (4): 534–541. https://doi.org/10.1197/jamia.M2404.</w:t>
      </w:r>
    </w:p>
    <w:p>
      <w:pPr>
        <w:pStyle w:val="Bibliography"/>
      </w:pPr>
      <w:r>
        <w:t>Stetson, P. D., S. Bakken, J. O. Wrenn, and E. L. Siegler. 2012. “Assessing Electronic Note Quality Using the Physician Documentation Quality Instrument (PDQI-9).” Applied Clinical Informatics 3 (2): 164–174. https://doi.org/10.4338/ACI-2011-11-RA-0070.</w:t>
      </w:r>
    </w:p>
    <w:p>
      <w:pPr>
        <w:pStyle w:val="Bibliography"/>
      </w:pPr>
      <w:r>
        <w:t>Trang, K., L. Pierce, E. C. Wick, and K. Hirose. 2022. “Using Electronic Health Record Meta-Data to Identify Variation in Trainee Progress Note Writing Patterns: Opportunity to Enhance Systems-Based Care.” Journal of Surgical Education 79 (6): e257–e262. https://doi.org/10.1016/j.jsurg.2022.08.011.</w:t>
      </w:r>
    </w:p>
    <w:p>
      <w:pPr>
        <w:pStyle w:val="Bibliography"/>
      </w:pPr>
      <w:r>
        <w:t>Vaid, M. M., F. Kisuule, M. Kantisper, et al. 2025. “Smarter Documentation: Measuring and Improving the Quality of Progress Notes Written by Hospitalists.” Journal of General Internal Medicine. https://doi.org/10.1007/s11606-025-09558-8.</w:t>
      </w:r>
    </w:p>
    <w:p>
      <w:pPr>
        <w:pStyle w:val="Bibliography"/>
      </w:pPr>
      <w:r>
        <w:t>Verma, G., A. Ivanov, F. Benn, et al. 2020. “Analyses of Electronic Health Records Utilization in a Large Community Hospital.” PLoS One 15 (7): e0233004. https://doi.org/10.1371/journal.pone.0233004.</w:t>
      </w:r>
    </w:p>
    <w:p>
      <w:pPr>
        <w:pStyle w:val="Bibliography"/>
      </w:pPr>
      <w:r>
        <w:t>Wang, J. K., D. Ouyang, J. Hom, J. Chi, and J. H. Chen. 2019. “Characterizing Electronic Health Record Usage Patterns of Inpatient Medicine Residents Using Event Log Data.” PLoS One 14 (2): e0205379. https://doi.org/10.1371/journal.pone.0205379.</w:t>
      </w:r>
    </w:p>
    <w:p>
      <w:pPr>
        <w:pStyle w:val="Bibliography"/>
      </w:pPr>
      <w:r>
        <w:t>Wang, R., J. M. Carrington, N. Hammarlund, O. Sanchez, and L. Revere. 2023. “An Evaluation of Copy and Paste Events in Electronic Notes of Patients With Hospital Acquired Conditions.” International Journal of Medical Informatics 170: 104934. https://doi.org/10.1016/j.ijmedinf.2022.104934.</w:t>
      </w:r>
    </w:p>
    <w:p>
      <w:pPr>
        <w:pStyle w:val="Bibliography"/>
      </w:pPr>
      <w:r>
        <w:t>Weber, D. E., J. D. Held, R. A. Jandarov, et al. 2020. “Development and Establishment of Initial Validity Evidence for a Novel Tool for Assessing Trainee Admission Notes.” Journal of General Internal Medicine 35 (4): 1078–1083. https://doi.org/10.1007/s11606-020-05669-6.</w:t>
      </w:r>
    </w:p>
    <w:p>
      <w:pPr>
        <w:pStyle w:val="Bibliography"/>
      </w:pPr>
      <w:r>
        <w:t>Weiner, M., M. E. Flanagan, K. Ernst, et al. 2024. “Accuracy, Thoroughness, and Quality of Outpatient Primary Care Documentation in the U.S. Department of Veterans Affairs.” BMC Primary Care 25: 262. https://doi.org/10.1186/s12875-024-02501-6.</w:t>
      </w:r>
    </w:p>
    <w:p>
      <w:pPr>
        <w:pStyle w:val="Bibliography"/>
      </w:pPr>
      <w:r>
        <w:t>Weiner, S. J., S. Wang, B. Kelly, G. Sharma, and A. Schwartz. 2020. “How Accurate Is the Medical Record? A Comparison of the Physician’s Note With a Concealed Audio Recording in Unannounced Standardized Patient Encounters.” Journal of the American Medical Informatics Association 27 (5): 770–775. https://doi.org/10.1093/jamia/ocaa027.</w:t>
      </w:r>
    </w:p>
    <w:p>
      <w:pPr>
        <w:pStyle w:val="Bibliography"/>
      </w:pPr>
      <w:r>
        <w:t>Williams, C. Y. K., C. R. Subramanian, S. S. Ali, et al. 2025. “Physician- and Large Language Model-Generated Hospital Discharge Summaries.” JAMA Internal Medicine 185 (7): 818–825. https://doi.org/10.1001/jamainternmed.2025.0821.</w:t>
      </w:r>
    </w:p>
    <w:p>
      <w:pPr>
        <w:pStyle w:val="Bibliography"/>
      </w:pPr>
      <w:r>
        <w:t>Willoughby, L. R., D. J. Hekman, and B. H. Schnapp. 2025. “The Effect of Dictation on Emergency Medicine Resident Time to Note Completion.” Western Journal of Emergency Medicine 26 (6): 1499–1503. https://doi.org/10.5811/westjem.41812.</w:t>
      </w:r>
    </w:p>
    <w:p>
      <w:pPr>
        <w:pStyle w:val="Bibliography"/>
      </w:pPr>
      <w:r>
        <w:t>Yoshimura, Y., G. Greenfield, E. Lammila-Escalera, et al. 2026. “Impact of Online Patient Access to Clinical Notes on Quality of Care: A Systematic Review.” BMJ Quality &amp; Safety 35 (4): 266–274. https://doi.org/10.1136/bmjqs-2024-018363.</w:t>
      </w:r>
    </w:p>
    <w:p>
      <w:pPr>
        <w:pStyle w:val="Bibliography"/>
      </w:pPr>
      <w:r>
        <w:t>Young, R. A., S. K. Burge, K. A. Kumar, J. M. Wilson, and D. F. Ortiz. 2018. “A Time-Motion Study of Primary Care Physicians’ Work in the Electronic Health Record Era.” Family Medicine 50 (2): 91–99. https://doi.org/10.22454/FamMed.2018.184803.</w:t>
      </w:r>
    </w:p>
    <w:sectPr w:rsidR="00FC693F" w:rsidRPr="0006063C" w:rsidSect="00034616">
      <w:pgSz w:w="12240" w:h="15840"/>
      <w:pgMar w:top="1008"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365F9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ibliography">
    <w:name w:val="Bibliography"/>
    <w:pPr>
      <w:spacing w:after="80"/>
      <w:ind w:left="360" w:hanging="360"/>
    </w:pPr>
    <w:rPr>
      <w:rFonts w:ascii="Arial" w:hAnsi="Arial" w:eastAsia="Arial"/>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