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rFonts w:ascii="Aptos" w:hAnsi="Aptos"/>
          <w:b/>
          <w:color w:val="781C20"/>
          <w:sz w:val="30"/>
        </w:rPr>
        <w:t>TITANS WORKS R&amp;D AND INNOVATION CENTER</w:t>
      </w:r>
    </w:p>
    <w:p>
      <w:pPr>
        <w:spacing w:after="120"/>
      </w:pPr>
      <w:r>
        <w:rPr>
          <w:rFonts w:ascii="Aptos" w:hAnsi="Aptos"/>
        </w:rPr>
      </w:r>
    </w:p>
    <w:p>
      <w:pPr>
        <w:spacing w:after="120"/>
        <w:jc w:val="center"/>
      </w:pPr>
      <w:r>
        <w:rPr>
          <w:rFonts w:ascii="Aptos" w:hAnsi="Aptos"/>
          <w:b/>
          <w:color w:val="1F2B37"/>
          <w:sz w:val="26"/>
        </w:rPr>
        <w:t>LUNAR-CENTRIC ISRU AND INNER SYSTEM INDUSTRIALIZATION</w:t>
      </w:r>
    </w:p>
    <w:p>
      <w:pPr>
        <w:spacing w:after="120"/>
        <w:jc w:val="center"/>
      </w:pPr>
      <w:r>
        <w:rPr>
          <w:rFonts w:ascii="Aptos" w:hAnsi="Aptos"/>
          <w:b/>
          <w:color w:val="1F2B37"/>
          <w:sz w:val="26"/>
        </w:rPr>
        <w:t>MASTER PROGRAM DOCUMENT</w:t>
      </w:r>
    </w:p>
    <w:p>
      <w:pPr>
        <w:spacing w:after="120"/>
        <w:jc w:val="center"/>
      </w:pPr>
      <w:r>
        <w:t>Rev 3.3 | Master Baseline Review, Configuration Integrity, and Action Closure Update</w:t>
      </w:r>
    </w:p>
    <w:p>
      <w:pPr>
        <w:spacing w:after="120"/>
      </w:pPr>
      <w:r>
        <w:rPr>
          <w:rFonts w:ascii="Aptos" w:hAnsi="Aptos"/>
        </w:rPr>
      </w:r>
    </w:p>
    <w:tbl>
      <w:tblPr>
        <w:tblStyle w:val="TableGrid"/>
        <w:tblW w:type="auto" w:w="0"/>
        <w:jc w:val="center"/>
        <w:tblLook w:firstColumn="1" w:firstRow="1" w:lastColumn="0" w:lastRow="0" w:noHBand="0" w:noVBand="1" w:val="04A0"/>
      </w:tblPr>
      <w:tblGrid>
        <w:gridCol w:w="5040"/>
        <w:gridCol w:w="5040"/>
      </w:tblGrid>
      <w:tr>
        <w:tc>
          <w:tcPr>
            <w:tcW w:type="dxa" w:w="5040"/>
            <w:shd w:fill="D9EAF7"/>
            <w:vAlign w:val="top"/>
            <w:tcMar>
              <w:top w:w="90" w:type="dxa"/>
              <w:start w:w="90" w:type="dxa"/>
              <w:bottom w:w="90" w:type="dxa"/>
              <w:end w:w="90" w:type="dxa"/>
            </w:tcMar>
          </w:tcPr>
          <w:p>
            <w:pPr>
              <w:spacing w:after="0"/>
            </w:pPr>
            <w:r>
              <w:rPr>
                <w:rFonts w:ascii="Aptos" w:hAnsi="Aptos"/>
                <w:b/>
                <w:color w:val="FFFFFF"/>
                <w:sz w:val="16"/>
              </w:rPr>
              <w:t>Primary control asset</w:t>
            </w:r>
          </w:p>
        </w:tc>
        <w:tc>
          <w:tcPr>
            <w:tcW w:type="dxa" w:w="5040"/>
            <w:vAlign w:val="top"/>
            <w:tcMar>
              <w:top w:w="90" w:type="dxa"/>
              <w:start w:w="90" w:type="dxa"/>
              <w:bottom w:w="90" w:type="dxa"/>
              <w:end w:w="90" w:type="dxa"/>
            </w:tcMar>
            <w:shd w:fill="D9EAF7"/>
          </w:tcPr>
          <w:p>
            <w:pPr>
              <w:spacing w:after="0"/>
            </w:pPr>
            <w:r>
              <w:rPr>
                <w:rFonts w:ascii="Aptos" w:hAnsi="Aptos"/>
                <w:b/>
                <w:sz w:val="16"/>
              </w:rPr>
              <w:t>Moon, lunar south polar region</w:t>
            </w:r>
          </w:p>
        </w:tc>
        <w:trPr>
          <w:tblHeader/>
        </w:trPr>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Phase 1 installation</w:t>
            </w:r>
          </w:p>
        </w:tc>
        <w:tc>
          <w:tcPr>
            <w:tcW w:type="dxa" w:w="5040"/>
            <w:vAlign w:val="top"/>
            <w:tcMar>
              <w:top w:w="90" w:type="dxa"/>
              <w:start w:w="90" w:type="dxa"/>
              <w:bottom w:w="90" w:type="dxa"/>
              <w:end w:w="90" w:type="dxa"/>
            </w:tcMar>
          </w:tcPr>
          <w:p>
            <w:pPr>
              <w:spacing w:after="0"/>
            </w:pPr>
            <w:r>
              <w:rPr>
                <w:rFonts w:ascii="Aptos" w:hAnsi="Aptos"/>
                <w:sz w:val="16"/>
              </w:rPr>
              <w:t>1000 resident personnel, 1200 surge capacity</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Core design</w:t>
            </w:r>
          </w:p>
        </w:tc>
        <w:tc>
          <w:tcPr>
            <w:tcW w:type="dxa" w:w="5040"/>
            <w:vAlign w:val="top"/>
            <w:tcMar>
              <w:top w:w="90" w:type="dxa"/>
              <w:start w:w="90" w:type="dxa"/>
              <w:bottom w:w="90" w:type="dxa"/>
              <w:end w:w="90" w:type="dxa"/>
            </w:tcMar>
          </w:tcPr>
          <w:p>
            <w:pPr>
              <w:spacing w:after="0"/>
            </w:pPr>
            <w:r>
              <w:rPr>
                <w:rFonts w:ascii="Aptos" w:hAnsi="Aptos"/>
                <w:sz w:val="16"/>
              </w:rPr>
              <w:t>Underground habitat, surface processing plant, separated power district</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Emergency refuge</w:t>
            </w:r>
          </w:p>
        </w:tc>
        <w:tc>
          <w:tcPr>
            <w:tcW w:type="dxa" w:w="5040"/>
            <w:vAlign w:val="top"/>
            <w:tcMar>
              <w:top w:w="90" w:type="dxa"/>
              <w:start w:w="90" w:type="dxa"/>
              <w:bottom w:w="90" w:type="dxa"/>
              <w:end w:w="90" w:type="dxa"/>
            </w:tcMar>
          </w:tcPr>
          <w:p>
            <w:pPr>
              <w:spacing w:after="0"/>
            </w:pPr>
            <w:r>
              <w:rPr>
                <w:rFonts w:ascii="Aptos" w:hAnsi="Aptos"/>
                <w:sz w:val="16"/>
              </w:rPr>
              <w:t>Full resident and surge population for one lunar night, 14 Earth days minimum</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Mass evacuation</w:t>
            </w:r>
          </w:p>
        </w:tc>
        <w:tc>
          <w:tcPr>
            <w:tcW w:type="dxa" w:w="5040"/>
            <w:vAlign w:val="top"/>
            <w:tcMar>
              <w:top w:w="90" w:type="dxa"/>
              <w:start w:w="90" w:type="dxa"/>
              <w:bottom w:w="90" w:type="dxa"/>
              <w:end w:w="90" w:type="dxa"/>
            </w:tcMar>
          </w:tcPr>
          <w:p>
            <w:pPr>
              <w:spacing w:after="0"/>
            </w:pPr>
            <w:r>
              <w:rPr>
                <w:rFonts w:ascii="Aptos" w:hAnsi="Aptos"/>
                <w:sz w:val="16"/>
              </w:rPr>
              <w:t>Full resident and surge population within 72 hours of evacuation order</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Board baseline</w:t>
            </w:r>
          </w:p>
        </w:tc>
        <w:tc>
          <w:tcPr>
            <w:tcW w:type="dxa" w:w="5040"/>
            <w:vAlign w:val="top"/>
            <w:tcMar>
              <w:top w:w="90" w:type="dxa"/>
              <w:start w:w="90" w:type="dxa"/>
              <w:bottom w:w="90" w:type="dxa"/>
              <w:end w:w="90" w:type="dxa"/>
            </w:tcMar>
          </w:tcPr>
          <w:p>
            <w:pPr>
              <w:spacing w:after="0"/>
            </w:pPr>
            <w:r>
              <w:rPr>
                <w:rFonts w:ascii="Aptos" w:hAnsi="Aptos"/>
                <w:sz w:val="16"/>
              </w:rPr>
              <w:t>129.3 billion USD mid case capital baseline, 11.2 billion USD mature annual OpEx</w:t>
            </w:r>
          </w:p>
        </w:tc>
      </w:tr>
      <w:tr>
        <w:tc>
          <w:tcPr>
            <w:tcW w:type="dxa" w:w="5040"/>
            <w:vAlign w:val="top"/>
          </w:tcPr>
          <w:p>
            <w:pPr>
              <w:spacing w:after="0"/>
              <w:jc w:val="left"/>
            </w:pPr>
            <w:r>
              <w:rPr>
                <w:rFonts w:ascii="Aptos" w:hAnsi="Aptos"/>
                <w:sz w:val="16"/>
              </w:rPr>
            </w:r>
            <w:r>
              <w:rPr>
                <w:rFonts w:ascii="Aptos" w:hAnsi="Aptos"/>
                <w:b w:val="0"/>
                <w:sz w:val="16"/>
              </w:rPr>
              <w:t>Rev 2.7 surface expansion</w:t>
            </w:r>
          </w:p>
        </w:tc>
        <w:tc>
          <w:tcPr>
            <w:tcW w:type="dxa" w:w="5040"/>
            <w:vAlign w:val="top"/>
          </w:tcPr>
          <w:p>
            <w:pPr>
              <w:spacing w:after="0"/>
              <w:jc w:val="left"/>
            </w:pPr>
            <w:r>
              <w:rPr>
                <w:rFonts w:ascii="Aptos" w:hAnsi="Aptos"/>
                <w:sz w:val="16"/>
              </w:rPr>
            </w:r>
            <w:r>
              <w:rPr>
                <w:rFonts w:ascii="Aptos" w:hAnsi="Aptos"/>
                <w:b w:val="0"/>
                <w:sz w:val="16"/>
              </w:rPr>
              <w:t>Adds surface spaceport, hyperloop EM launch rail, microwave power receiver, surface solar farm, seismic monitoring network, and separate mineral processing facility.</w:t>
            </w:r>
          </w:p>
        </w:tc>
      </w:tr>
      <w:tr>
        <w:tc>
          <w:tcPr>
            <w:tcW w:type="dxa" w:w="5040"/>
            <w:vAlign w:val="top"/>
          </w:tcPr>
          <w:p>
            <w:pPr>
              <w:spacing w:after="0"/>
              <w:jc w:val="left"/>
            </w:pPr>
            <w:r>
              <w:rPr>
                <w:rFonts w:ascii="Aptos" w:hAnsi="Aptos"/>
                <w:sz w:val="16"/>
              </w:rPr>
            </w:r>
            <w:r>
              <w:rPr>
                <w:rFonts w:ascii="Aptos" w:hAnsi="Aptos"/>
                <w:b w:val="0"/>
                <w:sz w:val="16"/>
              </w:rPr>
              <w:t>Revised capital baseline</w:t>
            </w:r>
          </w:p>
        </w:tc>
        <w:tc>
          <w:tcPr>
            <w:tcW w:type="dxa" w:w="5040"/>
            <w:vAlign w:val="top"/>
          </w:tcPr>
          <w:p>
            <w:pPr>
              <w:spacing w:after="0"/>
              <w:jc w:val="left"/>
            </w:pPr>
            <w:r>
              <w:rPr>
                <w:rFonts w:ascii="Aptos" w:hAnsi="Aptos"/>
                <w:sz w:val="16"/>
              </w:rPr>
            </w:r>
            <w:r>
              <w:rPr>
                <w:rFonts w:ascii="Aptos" w:hAnsi="Aptos"/>
                <w:b w:val="0"/>
                <w:sz w:val="16"/>
              </w:rPr>
              <w:t>Approximate mid case increases from 129.3 billion USD to 176.35 billion USD. Mature annual OpEx increases from 11.2 billion USD to about 15.0 billion USD.</w:t>
            </w:r>
          </w:p>
        </w:tc>
      </w:tr>
    </w:tbl>
    <w:p>
      <w:pPr>
        <w:spacing w:after="120"/>
      </w:pPr>
      <w:r>
        <w:rPr>
          <w:rFonts w:ascii="Aptos" w:hAnsi="Aptos"/>
        </w:rPr>
      </w:r>
    </w:p>
    <w:p>
      <w:pPr>
        <w:spacing w:after="120"/>
        <w:jc w:val="center"/>
      </w:pPr>
      <w:r>
        <w:rPr>
          <w:rFonts w:ascii="Aptos" w:hAnsi="Aptos"/>
          <w:sz w:val="20"/>
        </w:rPr>
        <w:t>Prepared for board, engineering, program finance, partner alignment, and executive decision control.</w:t>
      </w:r>
    </w:p>
    <w:p>
      <w:pPr>
        <w:spacing w:after="120"/>
      </w:pPr>
      <w:r>
        <w:rPr>
          <w:rFonts w:ascii="Aptos" w:hAnsi="Aptos"/>
        </w:rPr>
        <w:br w:type="page"/>
      </w:r>
    </w:p>
    <w:p>
      <w:pPr>
        <w:pStyle w:val="Heading1"/>
        <w:spacing w:before="200" w:after="120"/>
      </w:pPr>
      <w:r>
        <w:rPr>
          <w:rFonts w:ascii="Aptos" w:hAnsi="Aptos"/>
          <w:b/>
          <w:sz w:val="28"/>
        </w:rPr>
        <w:t>Document Index</w:t>
      </w:r>
    </w:p>
    <w:p>
      <w:pPr>
        <w:spacing w:after="120"/>
      </w:pPr>
      <w:r>
        <w:t>This revision consolidates the full lunar centric ISRU architecture, the Phase 1 south polar installation, survival and evacuation requirements, surface logistics and industrial expansion, interplanetary derivative assets, treaty and technology controls, and the Rev 3.3 baseline review layer.</w:t>
      </w:r>
    </w:p>
    <w:p>
      <w:pPr>
        <w:pStyle w:val="ListBullet"/>
      </w:pPr>
      <w:r>
        <w:rPr>
          <w:rFonts w:ascii="Aptos" w:hAnsi="Aptos"/>
        </w:rPr>
        <w:t>1. Revision audit and integrated baseline</w:t>
      </w:r>
    </w:p>
    <w:p>
      <w:pPr>
        <w:pStyle w:val="ListBullet"/>
      </w:pPr>
      <w:r>
        <w:rPr>
          <w:rFonts w:ascii="Aptos" w:hAnsi="Aptos"/>
        </w:rPr>
        <w:t>2. Board level executive summary</w:t>
      </w:r>
    </w:p>
    <w:p>
      <w:pPr>
        <w:pStyle w:val="ListBullet"/>
      </w:pPr>
      <w:r>
        <w:rPr>
          <w:rFonts w:ascii="Aptos" w:hAnsi="Aptos"/>
        </w:rPr>
        <w:t>3. Strategic architecture and mission phases</w:t>
      </w:r>
    </w:p>
    <w:p>
      <w:pPr>
        <w:pStyle w:val="ListBullet"/>
      </w:pPr>
      <w:r>
        <w:rPr>
          <w:rFonts w:ascii="Aptos" w:hAnsi="Aptos"/>
        </w:rPr>
        <w:t>4. Phase 1 design requirements</w:t>
      </w:r>
    </w:p>
    <w:p>
      <w:pPr>
        <w:pStyle w:val="ListBullet"/>
      </w:pPr>
      <w:r>
        <w:rPr>
          <w:rFonts w:ascii="Aptos" w:hAnsi="Aptos"/>
        </w:rPr>
        <w:t>5. Lunar south pole site and facility layout</w:t>
      </w:r>
    </w:p>
    <w:p>
      <w:pPr>
        <w:pStyle w:val="ListBullet"/>
      </w:pPr>
      <w:r>
        <w:rPr>
          <w:rFonts w:ascii="Aptos" w:hAnsi="Aptos"/>
        </w:rPr>
        <w:t>6. Subsurface habitat and surface processing plant</w:t>
      </w:r>
    </w:p>
    <w:p>
      <w:pPr>
        <w:pStyle w:val="ListBullet"/>
      </w:pPr>
      <w:r>
        <w:rPr>
          <w:rFonts w:ascii="Aptos" w:hAnsi="Aptos"/>
        </w:rPr>
        <w:t>7. Electrical, mechanical, water, atmosphere, thermal, and cryogenic plans</w:t>
      </w:r>
    </w:p>
    <w:p>
      <w:pPr>
        <w:pStyle w:val="ListBullet"/>
      </w:pPr>
      <w:r>
        <w:rPr>
          <w:rFonts w:ascii="Aptos" w:hAnsi="Aptos"/>
        </w:rPr>
        <w:t>8. Emergency refuge and 72 hour evacuation system</w:t>
      </w:r>
    </w:p>
    <w:p>
      <w:pPr>
        <w:pStyle w:val="ListBullet"/>
      </w:pPr>
      <w:r>
        <w:rPr>
          <w:rFonts w:ascii="Aptos" w:hAnsi="Aptos"/>
        </w:rPr>
        <w:t>9. Staffing, operations, commissioning, and maintenance</w:t>
      </w:r>
    </w:p>
    <w:p>
      <w:pPr>
        <w:pStyle w:val="ListBullet"/>
      </w:pPr>
      <w:r>
        <w:rPr>
          <w:rFonts w:ascii="Aptos" w:hAnsi="Aptos"/>
        </w:rPr>
        <w:t>10. Production, storage, landing, export, and outage recovery model</w:t>
      </w:r>
    </w:p>
    <w:p>
      <w:pPr>
        <w:pStyle w:val="ListBullet"/>
      </w:pPr>
      <w:r>
        <w:rPr>
          <w:rFonts w:ascii="Aptos" w:hAnsi="Aptos"/>
        </w:rPr>
        <w:t>11. Construction execution model and integrated master schedule</w:t>
      </w:r>
    </w:p>
    <w:p>
      <w:pPr>
        <w:pStyle w:val="ListBullet"/>
      </w:pPr>
      <w:r>
        <w:rPr>
          <w:rFonts w:ascii="Aptos" w:hAnsi="Aptos"/>
        </w:rPr>
        <w:t>12. Costed program baseline and revenue monetization baseline</w:t>
      </w:r>
    </w:p>
    <w:p>
      <w:pPr>
        <w:pStyle w:val="ListBullet"/>
      </w:pPr>
      <w:r>
        <w:rPr>
          <w:rFonts w:ascii="Aptos" w:hAnsi="Aptos"/>
        </w:rPr>
        <w:t>13. Risk register, decision gates, and next design actions</w:t>
      </w:r>
    </w:p>
    <w:p>
      <w:pPr>
        <w:pStyle w:val="ListBullet"/>
      </w:pPr>
      <w:r>
        <w:rPr>
          <w:rFonts w:ascii="Aptos" w:hAnsi="Aptos"/>
        </w:rPr>
        <w:t>14. Reference basis</w:t>
      </w:r>
    </w:p>
    <w:p>
      <w:pPr>
        <w:pStyle w:val="ListBullet"/>
      </w:pPr>
      <w:r>
        <w:rPr>
          <w:rFonts w:ascii="Aptos" w:hAnsi="Aptos"/>
        </w:rPr>
        <w:t>15. Off world resource economics, market pricing, and milestone timeline</w:t>
      </w:r>
    </w:p>
    <w:p>
      <w:pPr>
        <w:pStyle w:val="ListBullet"/>
      </w:pPr>
      <w:r>
        <w:rPr>
          <w:rFonts w:ascii="Aptos" w:hAnsi="Aptos"/>
        </w:rPr>
        <w:t>16. Investor financing and capitalization plan</w:t>
      </w:r>
    </w:p>
    <w:p>
      <w:pPr>
        <w:pStyle w:val="ListBullet"/>
      </w:pPr>
      <w:r>
        <w:rPr>
          <w:rFonts w:ascii="Aptos" w:hAnsi="Aptos"/>
          <w:sz w:val="21"/>
        </w:rPr>
        <w:t>17. Surface spaceport, launch rail, renewable energy, seismic, and mineral processing integration</w:t>
      </w:r>
    </w:p>
    <w:p>
      <w:pPr>
        <w:pStyle w:val="ListBullet"/>
      </w:pPr>
      <w:r>
        <w:rPr>
          <w:rFonts w:ascii="Aptos" w:hAnsi="Aptos"/>
        </w:rPr>
        <w:t>18. Interplanetary derivative installations and lunar biodiversity vault integration</w:t>
      </w:r>
    </w:p>
    <w:p>
      <w:pPr>
        <w:pStyle w:val="ListBullet"/>
      </w:pPr>
      <w:r>
        <w:rPr>
          <w:rFonts w:ascii="Aptos" w:hAnsi="Aptos"/>
          <w:sz w:val="20"/>
        </w:rPr>
        <w:t>19. Rev 2.9 integrated review, interface control, and portfolio governance update</w:t>
      </w:r>
    </w:p>
    <w:p>
      <w:pPr>
        <w:pStyle w:val="ListBullet"/>
      </w:pPr>
      <w:r>
        <w:t>20. Rev 3.0 complete project chat consolidation and requirements traceability update</w:t>
      </w:r>
    </w:p>
    <w:p>
      <w:pPr>
        <w:pStyle w:val="ListBullet"/>
      </w:pPr>
      <w:r>
        <w:t>21. Rev 3.1 Board Presentation Alignment and Executive Decision Package Update</w:t>
      </w:r>
    </w:p>
    <w:p>
      <w:pPr>
        <w:pStyle w:val="ListBullet"/>
      </w:pPr>
      <w:r>
        <w:t>22. Rev 3.2 Treaty, exploration technology, mineral survey, and extraction systems compliance update</w:t>
      </w:r>
    </w:p>
    <w:p>
      <w:pPr>
        <w:pStyle w:val="ListBullet"/>
      </w:pPr>
      <w:r>
        <w:t>23. Rev 3.3 Master baseline review, configuration integrity, and action closure update</w:t>
      </w:r>
    </w:p>
    <w:p>
      <w:pPr>
        <w:spacing w:after="120"/>
      </w:pPr>
      <w:r>
        <w:rPr>
          <w:rFonts w:ascii="Aptos" w:hAnsi="Aptos"/>
        </w:rPr>
        <w:br w:type="page"/>
      </w:r>
    </w:p>
    <w:p>
      <w:pPr>
        <w:pStyle w:val="Heading1"/>
        <w:spacing w:before="200" w:after="120"/>
      </w:pPr>
      <w:r>
        <w:rPr>
          <w:rFonts w:ascii="Aptos" w:hAnsi="Aptos"/>
          <w:b/>
          <w:sz w:val="28"/>
        </w:rPr>
        <w:t>1. Revision Audit and Integrated Baseline</w:t>
      </w:r>
    </w:p>
    <w:p>
      <w:pPr>
        <w:spacing w:after="120"/>
      </w:pPr>
      <w:r>
        <w:rPr>
          <w:rFonts w:ascii="Aptos" w:hAnsi="Aptos"/>
          <w:b/>
          <w:color w:val="1F2B37"/>
          <w:sz w:val="21"/>
        </w:rPr>
        <w:t xml:space="preserve">Review outcome: </w:t>
      </w:r>
      <w:r>
        <w:rPr>
          <w:rFonts w:ascii="Aptos" w:hAnsi="Aptos"/>
        </w:rPr>
      </w:r>
    </w:p>
    <w:p>
      <w:pPr/>
      <w:r>
        <w:t>Rev 3.3 review confirms the Rev 3.2 treaty, technology, mineral survey, and extraction baseline as the current compliance layer. It adds a configuration integrity layer, reconciles active work packages, and clarifies which systems belong to the core lunar safety baseline, lunar industrial expansion, interplanetary derivative portfolio, and compliance control architecture.</w:t>
      </w:r>
    </w:p>
    <w:p>
      <w:pPr>
        <w:spacing w:after="120"/>
      </w:pPr>
      <w:r>
        <w:rPr>
          <w:rFonts w:ascii="Aptos" w:hAnsi="Aptos"/>
          <w:sz w:val="21"/>
        </w:rPr>
        <w:t>The earlier master framework is retained, but Phase 1 now has a more rigorous survival, evacuation, production, construction, cost, and monetization baseline. The Moon remains the primary control asset. Phase 4 remains Inner System Scaling, including Mars and Venus, with Mercury deferred until thermal protection systems mature.</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sz w:val="16"/>
              </w:rPr>
              <w:t>Major updates integrated through Rev 2.6</w:t>
              <w:br/>
              <w:t>The lunar south polar Phase 1 installation is sized for 1000 resident personnel and 1200 surge personnel.</w:t>
              <w:br/>
              <w:t>The habitat remains underground, with the processing plant, cryogenic tank farm, landing pads, and power systems on the surface.</w:t>
              <w:br/>
              <w:t>Emergency refuge capacity is upgraded from 72 hours to one lunar night, defined as 14 Earth days minimum with a preferred 16 day margin.</w:t>
              <w:br/>
              <w:t>Full mass evacuation is required for all 1200 personnel within 72 hours of a formal evacuation order.</w:t>
              <w:br/>
              <w:t>The production baseline uses 250 metric tons per day design water extraction and 55 to 65 metric tons per day nominal total oxygen production.</w:t>
              <w:br/>
              <w:t>The cost baseline remains a 129.3 billion USD mid case capital requirement and 11.2 billion USD mature annual operating cost.</w:t>
              <w:br/>
              <w:t>The commercialization baseline separates strategic availability revenue from commodity propellant revenue.</w:t>
              <w:br/>
              <w:t>Rev 2.6 adds the investor financing and capitalization plan, including capital stack, dilution scenarios, debt capacity, anchor customer financing terms, and board investment decision criteria.</w:t>
            </w:r>
          </w:p>
        </w:tc>
        <w:trPr>
          <w:tblHeader/>
        </w:trPr>
      </w:tr>
    </w:tbl>
    <w:p>
      <w:pPr>
        <w:spacing w:after="120"/>
      </w:pP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before="0"/>
            </w:pPr>
            <w:r>
              <w:rPr>
                <w:rFonts w:ascii="Aptos" w:hAnsi="Aptos"/>
                <w:b/>
                <w:color w:val="FFFFFF"/>
                <w:sz w:val="16"/>
              </w:rPr>
              <w:t>Item</w:t>
            </w:r>
          </w:p>
        </w:tc>
        <w:tc>
          <w:tcPr>
            <w:tcW w:type="dxa" w:w="3456"/>
            <w:shd w:fill="D9EAF7"/>
            <w:tcMar>
              <w:top w:w="90" w:type="dxa"/>
              <w:start w:w="90" w:type="dxa"/>
              <w:bottom w:w="90" w:type="dxa"/>
              <w:end w:w="90" w:type="dxa"/>
            </w:tcMar>
            <w:vAlign w:val="top"/>
          </w:tcPr>
          <w:p>
            <w:pPr>
              <w:spacing w:after="0" w:before="0"/>
            </w:pPr>
            <w:r>
              <w:rPr>
                <w:rFonts w:ascii="Aptos" w:hAnsi="Aptos"/>
                <w:b/>
                <w:color w:val="FFFFFF"/>
                <w:sz w:val="16"/>
              </w:rPr>
              <w:t>Updated baseline</w:t>
            </w:r>
          </w:p>
        </w:tc>
        <w:tc>
          <w:tcPr>
            <w:tcW w:type="dxa" w:w="4320"/>
            <w:shd w:fill="D9EAF7"/>
            <w:tcMar>
              <w:top w:w="90" w:type="dxa"/>
              <w:start w:w="90" w:type="dxa"/>
              <w:bottom w:w="90" w:type="dxa"/>
              <w:end w:w="90" w:type="dxa"/>
            </w:tcMar>
            <w:vAlign w:val="top"/>
          </w:tcPr>
          <w:p>
            <w:pPr>
              <w:spacing w:after="0" w:before="0"/>
            </w:pPr>
            <w:r>
              <w:rPr>
                <w:rFonts w:ascii="Aptos" w:hAnsi="Aptos"/>
                <w:b/>
                <w:color w:val="FFFFFF"/>
                <w:sz w:val="16"/>
              </w:rPr>
              <w:t>Reason for update</w:t>
            </w:r>
          </w:p>
        </w:tc>
      </w:tr>
      <w:tr>
        <w:tc>
          <w:tcPr>
            <w:tcW w:type="dxa" w:w="2448"/>
            <w:tcMar>
              <w:top w:w="90" w:type="dxa"/>
              <w:start w:w="90" w:type="dxa"/>
              <w:bottom w:w="90" w:type="dxa"/>
              <w:end w:w="90" w:type="dxa"/>
            </w:tcMar>
            <w:vAlign w:val="top"/>
          </w:tcPr>
          <w:p>
            <w:pPr>
              <w:spacing w:after="0" w:before="0"/>
            </w:pPr>
            <w:r>
              <w:rPr>
                <w:rFonts w:ascii="Aptos" w:hAnsi="Aptos"/>
                <w:sz w:val="16"/>
              </w:rPr>
              <w:t>Primary control asset</w:t>
            </w:r>
          </w:p>
        </w:tc>
        <w:tc>
          <w:tcPr>
            <w:tcW w:type="dxa" w:w="3456"/>
            <w:tcMar>
              <w:top w:w="90" w:type="dxa"/>
              <w:start w:w="90" w:type="dxa"/>
              <w:bottom w:w="90" w:type="dxa"/>
              <w:end w:w="90" w:type="dxa"/>
            </w:tcMar>
            <w:vAlign w:val="top"/>
          </w:tcPr>
          <w:p>
            <w:pPr>
              <w:spacing w:after="0" w:before="0"/>
            </w:pPr>
            <w:r>
              <w:rPr>
                <w:rFonts w:ascii="Aptos" w:hAnsi="Aptos"/>
                <w:sz w:val="16"/>
              </w:rPr>
              <w:t>Moon, lunar south pole control and logistics hub</w:t>
            </w:r>
          </w:p>
        </w:tc>
        <w:tc>
          <w:tcPr>
            <w:tcW w:type="dxa" w:w="4320"/>
            <w:tcMar>
              <w:top w:w="90" w:type="dxa"/>
              <w:start w:w="90" w:type="dxa"/>
              <w:bottom w:w="90" w:type="dxa"/>
              <w:end w:w="90" w:type="dxa"/>
            </w:tcMar>
            <w:vAlign w:val="top"/>
          </w:tcPr>
          <w:p>
            <w:pPr>
              <w:spacing w:after="0" w:before="0"/>
            </w:pPr>
            <w:r>
              <w:rPr>
                <w:rFonts w:ascii="Aptos" w:hAnsi="Aptos"/>
                <w:sz w:val="16"/>
              </w:rPr>
              <w:t>Matches user direction to make the Moon the primary control asset for ISRU operations.</w:t>
            </w:r>
          </w:p>
        </w:tc>
      </w:tr>
      <w:tr>
        <w:tc>
          <w:tcPr>
            <w:tcW w:type="dxa" w:w="2448"/>
            <w:tcMar>
              <w:top w:w="90" w:type="dxa"/>
              <w:start w:w="90" w:type="dxa"/>
              <w:bottom w:w="90" w:type="dxa"/>
              <w:end w:w="90" w:type="dxa"/>
            </w:tcMar>
            <w:vAlign w:val="top"/>
          </w:tcPr>
          <w:p>
            <w:pPr>
              <w:spacing w:after="0" w:before="0"/>
            </w:pPr>
            <w:r>
              <w:rPr>
                <w:rFonts w:ascii="Aptos" w:hAnsi="Aptos"/>
                <w:sz w:val="16"/>
              </w:rPr>
              <w:t>Phase 4</w:t>
            </w:r>
          </w:p>
        </w:tc>
        <w:tc>
          <w:tcPr>
            <w:tcW w:type="dxa" w:w="3456"/>
            <w:tcMar>
              <w:top w:w="90" w:type="dxa"/>
              <w:start w:w="90" w:type="dxa"/>
              <w:bottom w:w="90" w:type="dxa"/>
              <w:end w:w="90" w:type="dxa"/>
            </w:tcMar>
            <w:vAlign w:val="top"/>
          </w:tcPr>
          <w:p>
            <w:pPr>
              <w:spacing w:after="0" w:before="0"/>
            </w:pPr>
            <w:r>
              <w:rPr>
                <w:rFonts w:ascii="Aptos" w:hAnsi="Aptos"/>
                <w:sz w:val="16"/>
              </w:rPr>
              <w:t>Inner System Scaling, Mars and Venus active, Mercury future asset</w:t>
            </w:r>
          </w:p>
        </w:tc>
        <w:tc>
          <w:tcPr>
            <w:tcW w:type="dxa" w:w="4320"/>
            <w:tcMar>
              <w:top w:w="90" w:type="dxa"/>
              <w:start w:w="90" w:type="dxa"/>
              <w:bottom w:w="90" w:type="dxa"/>
              <w:end w:w="90" w:type="dxa"/>
            </w:tcMar>
            <w:vAlign w:val="top"/>
          </w:tcPr>
          <w:p>
            <w:pPr>
              <w:spacing w:after="0" w:before="0"/>
            </w:pPr>
            <w:r>
              <w:rPr>
                <w:rFonts w:ascii="Aptos" w:hAnsi="Aptos"/>
                <w:sz w:val="16"/>
              </w:rPr>
              <w:t>Reflects the revised inner system architecture.</w:t>
            </w:r>
          </w:p>
        </w:tc>
      </w:tr>
      <w:tr>
        <w:tc>
          <w:tcPr>
            <w:tcW w:type="dxa" w:w="2448"/>
            <w:tcMar>
              <w:top w:w="90" w:type="dxa"/>
              <w:start w:w="90" w:type="dxa"/>
              <w:bottom w:w="90" w:type="dxa"/>
              <w:end w:w="90" w:type="dxa"/>
            </w:tcMar>
            <w:vAlign w:val="top"/>
          </w:tcPr>
          <w:p>
            <w:pPr>
              <w:spacing w:after="0" w:before="0"/>
            </w:pPr>
            <w:r>
              <w:rPr>
                <w:rFonts w:ascii="Aptos" w:hAnsi="Aptos"/>
                <w:sz w:val="16"/>
              </w:rPr>
              <w:t>Refuge duration</w:t>
            </w:r>
          </w:p>
        </w:tc>
        <w:tc>
          <w:tcPr>
            <w:tcW w:type="dxa" w:w="3456"/>
            <w:tcMar>
              <w:top w:w="90" w:type="dxa"/>
              <w:start w:w="90" w:type="dxa"/>
              <w:bottom w:w="90" w:type="dxa"/>
              <w:end w:w="90" w:type="dxa"/>
            </w:tcMar>
            <w:vAlign w:val="top"/>
          </w:tcPr>
          <w:p>
            <w:pPr>
              <w:spacing w:after="0" w:before="0"/>
            </w:pPr>
            <w:r>
              <w:rPr>
                <w:rFonts w:ascii="Aptos" w:hAnsi="Aptos"/>
                <w:sz w:val="16"/>
              </w:rPr>
              <w:t>14 Earth days minimum, 16 days preferred</w:t>
            </w:r>
          </w:p>
        </w:tc>
        <w:tc>
          <w:tcPr>
            <w:tcW w:type="dxa" w:w="4320"/>
            <w:tcMar>
              <w:top w:w="90" w:type="dxa"/>
              <w:start w:w="90" w:type="dxa"/>
              <w:bottom w:w="90" w:type="dxa"/>
              <w:end w:w="90" w:type="dxa"/>
            </w:tcMar>
            <w:vAlign w:val="top"/>
          </w:tcPr>
          <w:p>
            <w:pPr>
              <w:spacing w:after="0" w:before="0"/>
            </w:pPr>
            <w:r>
              <w:rPr>
                <w:rFonts w:ascii="Aptos" w:hAnsi="Aptos"/>
                <w:sz w:val="16"/>
              </w:rPr>
              <w:t>Aligns emergency refuge to one lunar night rather than 72 hours.</w:t>
            </w:r>
          </w:p>
        </w:tc>
      </w:tr>
      <w:tr>
        <w:tc>
          <w:tcPr>
            <w:tcW w:type="dxa" w:w="2448"/>
            <w:tcMar>
              <w:top w:w="90" w:type="dxa"/>
              <w:start w:w="90" w:type="dxa"/>
              <w:bottom w:w="90" w:type="dxa"/>
              <w:end w:w="90" w:type="dxa"/>
            </w:tcMar>
            <w:vAlign w:val="top"/>
          </w:tcPr>
          <w:p>
            <w:pPr>
              <w:spacing w:after="0" w:before="0"/>
            </w:pPr>
            <w:r>
              <w:rPr>
                <w:rFonts w:ascii="Aptos" w:hAnsi="Aptos"/>
                <w:sz w:val="16"/>
              </w:rPr>
              <w:t>Evacuation</w:t>
            </w:r>
          </w:p>
        </w:tc>
        <w:tc>
          <w:tcPr>
            <w:tcW w:type="dxa" w:w="3456"/>
            <w:tcMar>
              <w:top w:w="90" w:type="dxa"/>
              <w:start w:w="90" w:type="dxa"/>
              <w:bottom w:w="90" w:type="dxa"/>
              <w:end w:w="90" w:type="dxa"/>
            </w:tcMar>
            <w:vAlign w:val="top"/>
          </w:tcPr>
          <w:p>
            <w:pPr>
              <w:spacing w:after="0" w:before="0"/>
            </w:pPr>
            <w:r>
              <w:rPr>
                <w:rFonts w:ascii="Aptos" w:hAnsi="Aptos"/>
                <w:sz w:val="16"/>
              </w:rPr>
              <w:t>1200 persons within 72 hours</w:t>
            </w:r>
          </w:p>
        </w:tc>
        <w:tc>
          <w:tcPr>
            <w:tcW w:type="dxa" w:w="4320"/>
            <w:tcMar>
              <w:top w:w="90" w:type="dxa"/>
              <w:start w:w="90" w:type="dxa"/>
              <w:bottom w:w="90" w:type="dxa"/>
              <w:end w:w="90" w:type="dxa"/>
            </w:tcMar>
            <w:vAlign w:val="top"/>
          </w:tcPr>
          <w:p>
            <w:pPr>
              <w:spacing w:after="0" w:before="0"/>
            </w:pPr>
            <w:r>
              <w:rPr>
                <w:rFonts w:ascii="Aptos" w:hAnsi="Aptos"/>
                <w:sz w:val="16"/>
              </w:rPr>
              <w:t>Adds transport and embarkation as primary infrastructure.</w:t>
            </w:r>
          </w:p>
        </w:tc>
      </w:tr>
      <w:tr>
        <w:tc>
          <w:tcPr>
            <w:tcW w:type="dxa" w:w="2448"/>
            <w:tcMar>
              <w:top w:w="90" w:type="dxa"/>
              <w:start w:w="90" w:type="dxa"/>
              <w:bottom w:w="90" w:type="dxa"/>
              <w:end w:w="90" w:type="dxa"/>
            </w:tcMar>
            <w:vAlign w:val="top"/>
          </w:tcPr>
          <w:p>
            <w:pPr>
              <w:spacing w:after="0" w:before="0"/>
            </w:pPr>
            <w:r>
              <w:rPr>
                <w:rFonts w:ascii="Aptos" w:hAnsi="Aptos"/>
                <w:sz w:val="16"/>
              </w:rPr>
              <w:t>Occupancy</w:t>
            </w:r>
          </w:p>
        </w:tc>
        <w:tc>
          <w:tcPr>
            <w:tcW w:type="dxa" w:w="3456"/>
            <w:tcMar>
              <w:top w:w="90" w:type="dxa"/>
              <w:start w:w="90" w:type="dxa"/>
              <w:bottom w:w="90" w:type="dxa"/>
              <w:end w:w="90" w:type="dxa"/>
            </w:tcMar>
            <w:vAlign w:val="top"/>
          </w:tcPr>
          <w:p>
            <w:pPr>
              <w:spacing w:after="0" w:before="0"/>
            </w:pPr>
            <w:r>
              <w:rPr>
                <w:rFonts w:ascii="Aptos" w:hAnsi="Aptos"/>
                <w:sz w:val="16"/>
              </w:rPr>
              <w:t>1000 resident, 1200 surge</w:t>
            </w:r>
          </w:p>
        </w:tc>
        <w:tc>
          <w:tcPr>
            <w:tcW w:type="dxa" w:w="4320"/>
            <w:tcMar>
              <w:top w:w="90" w:type="dxa"/>
              <w:start w:w="90" w:type="dxa"/>
              <w:bottom w:w="90" w:type="dxa"/>
              <w:end w:w="90" w:type="dxa"/>
            </w:tcMar>
            <w:vAlign w:val="top"/>
          </w:tcPr>
          <w:p>
            <w:pPr>
              <w:spacing w:after="0" w:before="0"/>
            </w:pPr>
            <w:r>
              <w:rPr>
                <w:rFonts w:ascii="Aptos" w:hAnsi="Aptos"/>
                <w:sz w:val="16"/>
              </w:rPr>
              <w:t>Provides construction, staffing, logistics, and reserve sizing basis.</w:t>
            </w:r>
          </w:p>
        </w:tc>
      </w:tr>
      <w:tr>
        <w:tc>
          <w:tcPr>
            <w:tcW w:type="dxa" w:w="2448"/>
            <w:tcMar>
              <w:top w:w="90" w:type="dxa"/>
              <w:start w:w="90" w:type="dxa"/>
              <w:bottom w:w="90" w:type="dxa"/>
              <w:end w:w="90" w:type="dxa"/>
            </w:tcMar>
            <w:vAlign w:val="top"/>
          </w:tcPr>
          <w:p>
            <w:pPr>
              <w:spacing w:after="0" w:before="0"/>
            </w:pPr>
            <w:r>
              <w:rPr>
                <w:rFonts w:ascii="Aptos" w:hAnsi="Aptos"/>
                <w:sz w:val="16"/>
              </w:rPr>
              <w:t>Capital baseline</w:t>
            </w:r>
          </w:p>
        </w:tc>
        <w:tc>
          <w:tcPr>
            <w:tcW w:type="dxa" w:w="3456"/>
            <w:tcMar>
              <w:top w:w="90" w:type="dxa"/>
              <w:start w:w="90" w:type="dxa"/>
              <w:bottom w:w="90" w:type="dxa"/>
              <w:end w:w="90" w:type="dxa"/>
            </w:tcMar>
            <w:vAlign w:val="top"/>
          </w:tcPr>
          <w:p>
            <w:pPr>
              <w:spacing w:after="0"/>
            </w:pPr>
            <w:r>
              <w:rPr>
                <w:sz w:val="16"/>
              </w:rPr>
              <w:t>129.3 billion USD mid case for core Phase 1, about 176.35 billion USD mid case when Rev 2.7 lunar surface expansion systems are included</w:t>
            </w:r>
          </w:p>
        </w:tc>
        <w:tc>
          <w:tcPr>
            <w:tcW w:type="dxa" w:w="4320"/>
            <w:tcMar>
              <w:top w:w="90" w:type="dxa"/>
              <w:start w:w="90" w:type="dxa"/>
              <w:bottom w:w="90" w:type="dxa"/>
              <w:end w:w="90" w:type="dxa"/>
            </w:tcMar>
            <w:vAlign w:val="top"/>
          </w:tcPr>
          <w:p>
            <w:pPr>
              <w:spacing w:after="0"/>
            </w:pPr>
            <w:r>
              <w:rPr>
                <w:sz w:val="16"/>
              </w:rPr>
              <w:t>Distinguishes the protected lunar settlement baseline from the expanded surface spaceport, rail, renewable, seismic, and mineral processing architecture.</w:t>
            </w:r>
          </w:p>
        </w:tc>
      </w:tr>
      <w:tr>
        <w:tc>
          <w:tcPr>
            <w:tcW w:type="dxa" w:w="2448"/>
            <w:tcMar>
              <w:top w:w="90" w:type="dxa"/>
              <w:start w:w="90" w:type="dxa"/>
              <w:bottom w:w="90" w:type="dxa"/>
              <w:end w:w="90" w:type="dxa"/>
            </w:tcMar>
            <w:vAlign w:val="top"/>
          </w:tcPr>
          <w:p>
            <w:pPr>
              <w:spacing w:after="0" w:before="0"/>
            </w:pPr>
            <w:r>
              <w:rPr>
                <w:rFonts w:ascii="Aptos" w:hAnsi="Aptos"/>
                <w:sz w:val="16"/>
              </w:rPr>
              <w:t>Revenue base case</w:t>
            </w:r>
          </w:p>
        </w:tc>
        <w:tc>
          <w:tcPr>
            <w:tcW w:type="dxa" w:w="3456"/>
            <w:tcMar>
              <w:top w:w="90" w:type="dxa"/>
              <w:start w:w="90" w:type="dxa"/>
              <w:bottom w:w="90" w:type="dxa"/>
              <w:end w:w="90" w:type="dxa"/>
            </w:tcMar>
            <w:vAlign w:val="top"/>
          </w:tcPr>
          <w:p>
            <w:pPr>
              <w:spacing w:after="0" w:before="0"/>
            </w:pPr>
            <w:r>
              <w:rPr>
                <w:rFonts w:ascii="Aptos" w:hAnsi="Aptos"/>
                <w:sz w:val="16"/>
              </w:rPr>
              <w:t>24.225 billion USD mature annual revenue</w:t>
            </w:r>
          </w:p>
        </w:tc>
        <w:tc>
          <w:tcPr>
            <w:tcW w:type="dxa" w:w="4320"/>
            <w:tcMar>
              <w:top w:w="90" w:type="dxa"/>
              <w:start w:w="90" w:type="dxa"/>
              <w:bottom w:w="90" w:type="dxa"/>
              <w:end w:w="90" w:type="dxa"/>
            </w:tcMar>
            <w:vAlign w:val="top"/>
          </w:tcPr>
          <w:p>
            <w:pPr>
              <w:spacing w:after="0" w:before="0"/>
            </w:pPr>
            <w:r>
              <w:rPr>
                <w:rFonts w:ascii="Aptos" w:hAnsi="Aptos"/>
                <w:sz w:val="16"/>
              </w:rPr>
              <w:t>Combines propellant, logistics, tenancy, data, repair, and strategic availability streams.</w:t>
            </w:r>
          </w:p>
        </w:tc>
      </w:tr>
      <w:tr>
        <w:tc>
          <w:tcPr>
            <w:tcW w:type="dxa" w:w="3360"/>
            <w:vAlign w:val="top"/>
          </w:tcPr>
          <w:p>
            <w:pPr>
              <w:spacing w:after="0" w:before="0"/>
            </w:pPr>
            <w:r>
              <w:rPr>
                <w:rFonts w:ascii="Aptos" w:hAnsi="Aptos"/>
                <w:sz w:val="16"/>
              </w:rPr>
            </w:r>
            <w:r>
              <w:rPr>
                <w:rFonts w:ascii="Aptos" w:hAnsi="Aptos"/>
                <w:b w:val="0"/>
                <w:sz w:val="16"/>
              </w:rPr>
              <w:t>Financing plan</w:t>
            </w:r>
          </w:p>
        </w:tc>
        <w:tc>
          <w:tcPr>
            <w:tcW w:type="dxa" w:w="3360"/>
            <w:vAlign w:val="top"/>
          </w:tcPr>
          <w:p>
            <w:pPr>
              <w:spacing w:after="0" w:before="0"/>
            </w:pPr>
            <w:r>
              <w:rPr>
                <w:rFonts w:ascii="Aptos" w:hAnsi="Aptos"/>
                <w:sz w:val="16"/>
              </w:rPr>
            </w:r>
            <w:r>
              <w:rPr>
                <w:rFonts w:ascii="Aptos" w:hAnsi="Aptos"/>
                <w:b w:val="0"/>
                <w:sz w:val="16"/>
              </w:rPr>
              <w:t>129.3 billion USD mid case funded through sponsor equity, strategic partner capital, government or partner cost share, project debt, and customer prepayments</w:t>
            </w:r>
          </w:p>
        </w:tc>
        <w:tc>
          <w:tcPr>
            <w:tcW w:type="dxa" w:w="3360"/>
            <w:vAlign w:val="top"/>
          </w:tcPr>
          <w:p>
            <w:pPr>
              <w:spacing w:after="0" w:before="0"/>
            </w:pPr>
            <w:r>
              <w:rPr>
                <w:rFonts w:ascii="Aptos" w:hAnsi="Aptos"/>
                <w:sz w:val="16"/>
              </w:rPr>
            </w:r>
            <w:r>
              <w:rPr>
                <w:rFonts w:ascii="Aptos" w:hAnsi="Aptos"/>
                <w:b w:val="0"/>
                <w:sz w:val="16"/>
              </w:rPr>
              <w:t>Converts the commercial baseline into an investable staged capital plan with funding gates and dilution scenarios.</w:t>
            </w:r>
          </w:p>
        </w:tc>
      </w:tr>
      <w:tr>
        <w:tc>
          <w:tcPr>
            <w:tcW w:type="dxa" w:w="3360"/>
            <w:vAlign w:val="top"/>
          </w:tcPr>
          <w:p>
            <w:pPr>
              <w:spacing w:after="0"/>
              <w:jc w:val="left"/>
            </w:pPr>
            <w:r>
              <w:rPr>
                <w:rFonts w:ascii="Aptos" w:hAnsi="Aptos"/>
                <w:sz w:val="16"/>
              </w:rPr>
            </w:r>
            <w:r>
              <w:rPr>
                <w:rFonts w:ascii="Aptos" w:hAnsi="Aptos"/>
                <w:b w:val="0"/>
                <w:sz w:val="16"/>
              </w:rPr>
              <w:t>Rev 2.7 surface industrial expansion</w:t>
            </w:r>
          </w:p>
        </w:tc>
        <w:tc>
          <w:tcPr>
            <w:tcW w:type="dxa" w:w="3360"/>
            <w:vAlign w:val="top"/>
          </w:tcPr>
          <w:p>
            <w:pPr>
              <w:spacing w:after="0"/>
              <w:jc w:val="left"/>
            </w:pPr>
            <w:r>
              <w:rPr>
                <w:rFonts w:ascii="Aptos" w:hAnsi="Aptos"/>
                <w:sz w:val="16"/>
              </w:rPr>
            </w:r>
            <w:r>
              <w:rPr>
                <w:rFonts w:ascii="Aptos" w:hAnsi="Aptos"/>
                <w:b w:val="0"/>
                <w:sz w:val="16"/>
              </w:rPr>
              <w:t>Adds District F surface spaceport, District G renewable and microwave energy reception, District H mineral processing, and District I seismic monitoring network.</w:t>
            </w:r>
          </w:p>
        </w:tc>
        <w:tc>
          <w:tcPr>
            <w:tcW w:type="dxa" w:w="3360"/>
            <w:vAlign w:val="top"/>
          </w:tcPr>
          <w:p>
            <w:pPr>
              <w:spacing w:after="0"/>
              <w:jc w:val="left"/>
            </w:pPr>
            <w:r>
              <w:rPr>
                <w:rFonts w:ascii="Aptos" w:hAnsi="Aptos"/>
                <w:sz w:val="16"/>
              </w:rPr>
            </w:r>
            <w:r>
              <w:rPr>
                <w:rFonts w:ascii="Aptos" w:hAnsi="Aptos"/>
                <w:b w:val="0"/>
                <w:sz w:val="16"/>
              </w:rPr>
              <w:t>Improves logistics throughput, energy resilience, export capacity, structural monitoring, and industrial separation from life support.</w:t>
            </w:r>
          </w:p>
        </w:tc>
      </w:tr>
      <w:tr>
        <w:tc>
          <w:tcPr>
            <w:tcW w:type="dxa" w:w="3360"/>
            <w:vAlign w:val="top"/>
          </w:tcPr>
          <w:p>
            <w:pPr>
              <w:spacing w:after="0"/>
            </w:pPr>
            <w:r>
              <w:rPr>
                <w:sz w:val="16"/>
              </w:rPr>
              <w:t>Rev 2.8 derivative architecture</w:t>
            </w:r>
          </w:p>
        </w:tc>
        <w:tc>
          <w:tcPr>
            <w:tcW w:type="dxa" w:w="3360"/>
            <w:vAlign w:val="top"/>
          </w:tcPr>
          <w:p>
            <w:pPr>
              <w:spacing w:after="0"/>
            </w:pPr>
            <w:r>
              <w:rPr>
                <w:sz w:val="16"/>
              </w:rPr>
              <w:t>Adds Mars settlement and mineral processing copy package, Lunar Biodiversity Vault, Ceres Autonomous Modification Worksite, Venus upper atmospheric gas processing afloat module, and Venus orbital traffic insertion platform.</w:t>
            </w:r>
          </w:p>
        </w:tc>
        <w:tc>
          <w:tcPr>
            <w:tcW w:type="dxa" w:w="3360"/>
            <w:vAlign w:val="top"/>
          </w:tcPr>
          <w:p>
            <w:pPr>
              <w:spacing w:after="0"/>
            </w:pPr>
            <w:r>
              <w:rPr>
                <w:sz w:val="16"/>
              </w:rPr>
              <w:t>Extends the lunar control architecture into Mars, Ceres, and Venus while preserving the Moon as the primary ISRU command and logistics asset.</w:t>
            </w:r>
          </w:p>
        </w:tc>
      </w:tr>
    </w:tbl>
    <w:p>
      <w:pPr>
        <w:spacing w:after="120"/>
      </w:pPr>
    </w:p>
    <w:p>
      <w:pPr>
        <w:pStyle w:val="Heading1"/>
        <w:spacing w:before="200" w:after="120"/>
      </w:pPr>
      <w:r>
        <w:rPr>
          <w:rFonts w:ascii="Aptos" w:hAnsi="Aptos"/>
          <w:b/>
          <w:sz w:val="28"/>
        </w:rPr>
        <w:t>2. Board Level Executive Summary</w:t>
      </w:r>
    </w:p>
    <w:p>
      <w:pPr>
        <w:spacing w:after="120"/>
      </w:pPr>
      <w:r>
        <w:rPr>
          <w:rFonts w:ascii="Aptos" w:hAnsi="Aptos"/>
          <w:b/>
          <w:color w:val="1F2B37"/>
          <w:sz w:val="21"/>
        </w:rPr>
        <w:t xml:space="preserve">Program thesis: </w:t>
      </w:r>
      <w:r>
        <w:rPr>
          <w:rFonts w:ascii="Aptos" w:hAnsi="Aptos"/>
        </w:rPr>
      </w:r>
    </w:p>
    <w:p>
      <w:pPr>
        <w:spacing w:after="120"/>
      </w:pPr>
      <w:r>
        <w:rPr>
          <w:rFonts w:ascii="Aptos" w:hAnsi="Aptos"/>
          <w:sz w:val="21"/>
        </w:rPr>
        <w:t>Titans Works establishes a lunar centric control, utility, propellant, and logistics platform that becomes the operational backbone for cislunar industry and the forward control node for inner system industrialization.</w:t>
      </w:r>
    </w:p>
    <w:p>
      <w:pPr>
        <w:spacing w:after="120"/>
      </w:pPr>
      <w:r>
        <w:rPr>
          <w:rFonts w:ascii="Aptos" w:hAnsi="Aptos"/>
          <w:sz w:val="21"/>
        </w:rPr>
        <w:t>Phase 1 delivers a lunar south pole installation capable of housing 1000 resident personnel, supporting a 1200 person surge population, operating underground protected habitation, producing water, oxygen, and hydrogen, and supporting safe refuge and evacuation at settlement scale.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744"/>
            <w:shd w:fill="D9EAF7"/>
            <w:tcMar>
              <w:top w:w="90" w:type="dxa"/>
              <w:start w:w="90" w:type="dxa"/>
              <w:bottom w:w="90" w:type="dxa"/>
              <w:end w:w="90" w:type="dxa"/>
            </w:tcMar>
            <w:vAlign w:val="top"/>
          </w:tcPr>
          <w:p>
            <w:pPr>
              <w:spacing w:after="0"/>
            </w:pPr>
            <w:r>
              <w:rPr>
                <w:rFonts w:ascii="Aptos" w:hAnsi="Aptos"/>
                <w:b/>
                <w:color w:val="FFFFFF"/>
                <w:sz w:val="16"/>
              </w:rPr>
              <w:t>Board question</w:t>
            </w:r>
          </w:p>
        </w:tc>
        <w:tc>
          <w:tcPr>
            <w:tcW w:type="dxa" w:w="6336"/>
            <w:shd w:fill="D9EAF7"/>
            <w:tcMar>
              <w:top w:w="90" w:type="dxa"/>
              <w:start w:w="90" w:type="dxa"/>
              <w:bottom w:w="90" w:type="dxa"/>
              <w:end w:w="90" w:type="dxa"/>
            </w:tcMar>
            <w:vAlign w:val="top"/>
          </w:tcPr>
          <w:p>
            <w:pPr>
              <w:spacing w:after="0"/>
            </w:pPr>
            <w:r>
              <w:rPr>
                <w:rFonts w:ascii="Aptos" w:hAnsi="Aptos"/>
                <w:b/>
                <w:color w:val="FFFFFF"/>
                <w:sz w:val="16"/>
              </w:rPr>
              <w:t>Recommended answer</w:t>
            </w:r>
          </w:p>
        </w:tc>
      </w:tr>
      <w:tr>
        <w:tc>
          <w:tcPr>
            <w:tcW w:type="dxa" w:w="3744"/>
            <w:tcMar>
              <w:top w:w="90" w:type="dxa"/>
              <w:start w:w="90" w:type="dxa"/>
              <w:bottom w:w="90" w:type="dxa"/>
              <w:end w:w="90" w:type="dxa"/>
            </w:tcMar>
            <w:vAlign w:val="top"/>
          </w:tcPr>
          <w:p>
            <w:pPr>
              <w:spacing w:after="0"/>
            </w:pPr>
            <w:r>
              <w:rPr>
                <w:rFonts w:ascii="Aptos" w:hAnsi="Aptos"/>
                <w:sz w:val="16"/>
              </w:rPr>
              <w:t>What should the Moon do in the architecture?</w:t>
            </w:r>
          </w:p>
        </w:tc>
        <w:tc>
          <w:tcPr>
            <w:tcW w:type="dxa" w:w="6336"/>
            <w:tcMar>
              <w:top w:w="90" w:type="dxa"/>
              <w:start w:w="90" w:type="dxa"/>
              <w:bottom w:w="90" w:type="dxa"/>
              <w:end w:w="90" w:type="dxa"/>
            </w:tcMar>
            <w:vAlign w:val="top"/>
          </w:tcPr>
          <w:p>
            <w:pPr>
              <w:spacing w:after="0"/>
            </w:pPr>
            <w:r>
              <w:rPr>
                <w:rFonts w:ascii="Aptos" w:hAnsi="Aptos"/>
                <w:sz w:val="16"/>
              </w:rPr>
              <w:t>Serve as primary command, logistics, fuel, emergency, and industrial control asset.</w:t>
            </w:r>
          </w:p>
        </w:tc>
      </w:tr>
      <w:tr>
        <w:tc>
          <w:tcPr>
            <w:tcW w:type="dxa" w:w="3744"/>
            <w:tcMar>
              <w:top w:w="90" w:type="dxa"/>
              <w:start w:w="90" w:type="dxa"/>
              <w:bottom w:w="90" w:type="dxa"/>
              <w:end w:w="90" w:type="dxa"/>
            </w:tcMar>
            <w:vAlign w:val="top"/>
          </w:tcPr>
          <w:p>
            <w:pPr>
              <w:spacing w:after="0"/>
            </w:pPr>
            <w:r>
              <w:rPr>
                <w:rFonts w:ascii="Aptos" w:hAnsi="Aptos"/>
                <w:sz w:val="16"/>
              </w:rPr>
              <w:t>What does Phase 1 build?</w:t>
            </w:r>
          </w:p>
        </w:tc>
        <w:tc>
          <w:tcPr>
            <w:tcW w:type="dxa" w:w="6336"/>
            <w:tcMar>
              <w:top w:w="90" w:type="dxa"/>
              <w:start w:w="90" w:type="dxa"/>
              <w:bottom w:w="90" w:type="dxa"/>
              <w:end w:w="90" w:type="dxa"/>
            </w:tcMar>
            <w:vAlign w:val="top"/>
          </w:tcPr>
          <w:p>
            <w:pPr>
              <w:spacing w:after="0"/>
            </w:pPr>
            <w:r>
              <w:rPr>
                <w:rFonts w:ascii="Aptos" w:hAnsi="Aptos"/>
                <w:sz w:val="16"/>
              </w:rPr>
              <w:t>A south polar underground habitat and surface ISRU complex for 1000 residents and 1200 surge.</w:t>
            </w:r>
          </w:p>
        </w:tc>
      </w:tr>
      <w:tr>
        <w:tc>
          <w:tcPr>
            <w:tcW w:type="dxa" w:w="3744"/>
            <w:tcMar>
              <w:top w:w="90" w:type="dxa"/>
              <w:start w:w="90" w:type="dxa"/>
              <w:bottom w:w="90" w:type="dxa"/>
              <w:end w:w="90" w:type="dxa"/>
            </w:tcMar>
            <w:vAlign w:val="top"/>
          </w:tcPr>
          <w:p>
            <w:pPr>
              <w:spacing w:after="0"/>
            </w:pPr>
            <w:r>
              <w:rPr>
                <w:rFonts w:ascii="Aptos" w:hAnsi="Aptos"/>
                <w:sz w:val="16"/>
              </w:rPr>
              <w:t>What is the major safety upgrade?</w:t>
            </w:r>
          </w:p>
        </w:tc>
        <w:tc>
          <w:tcPr>
            <w:tcW w:type="dxa" w:w="6336"/>
            <w:tcMar>
              <w:top w:w="90" w:type="dxa"/>
              <w:start w:w="90" w:type="dxa"/>
              <w:bottom w:w="90" w:type="dxa"/>
              <w:end w:w="90" w:type="dxa"/>
            </w:tcMar>
            <w:vAlign w:val="top"/>
          </w:tcPr>
          <w:p>
            <w:pPr>
              <w:spacing w:after="0"/>
            </w:pPr>
            <w:r>
              <w:rPr>
                <w:rFonts w:ascii="Aptos" w:hAnsi="Aptos"/>
                <w:sz w:val="16"/>
              </w:rPr>
              <w:t>One lunar night isolated refuge plus full evacuation in 72 hours.</w:t>
            </w:r>
          </w:p>
        </w:tc>
      </w:tr>
      <w:tr>
        <w:tc>
          <w:tcPr>
            <w:tcW w:type="dxa" w:w="3744"/>
            <w:tcMar>
              <w:top w:w="90" w:type="dxa"/>
              <w:start w:w="90" w:type="dxa"/>
              <w:bottom w:w="90" w:type="dxa"/>
              <w:end w:w="90" w:type="dxa"/>
            </w:tcMar>
            <w:vAlign w:val="top"/>
          </w:tcPr>
          <w:p>
            <w:pPr>
              <w:spacing w:after="0"/>
            </w:pPr>
            <w:r>
              <w:rPr>
                <w:rFonts w:ascii="Aptos" w:hAnsi="Aptos"/>
                <w:sz w:val="16"/>
              </w:rPr>
              <w:t>What is the capital baseline?</w:t>
            </w:r>
          </w:p>
        </w:tc>
        <w:tc>
          <w:tcPr>
            <w:tcW w:type="dxa" w:w="6336"/>
            <w:tcMar>
              <w:top w:w="90" w:type="dxa"/>
              <w:start w:w="90" w:type="dxa"/>
              <w:bottom w:w="90" w:type="dxa"/>
              <w:end w:w="90" w:type="dxa"/>
            </w:tcMar>
            <w:vAlign w:val="top"/>
          </w:tcPr>
          <w:p>
            <w:pPr>
              <w:spacing w:after="0"/>
            </w:pPr>
            <w:r>
              <w:rPr>
                <w:rFonts w:ascii="Aptos" w:hAnsi="Aptos"/>
                <w:sz w:val="16"/>
              </w:rPr>
              <w:t>129.3 billion USD mid case, with 95 billion low case and 182 billion high case.</w:t>
            </w:r>
          </w:p>
        </w:tc>
      </w:tr>
      <w:tr>
        <w:tc>
          <w:tcPr>
            <w:tcW w:type="dxa" w:w="3744"/>
            <w:tcMar>
              <w:top w:w="90" w:type="dxa"/>
              <w:start w:w="90" w:type="dxa"/>
              <w:bottom w:w="90" w:type="dxa"/>
              <w:end w:w="90" w:type="dxa"/>
            </w:tcMar>
            <w:vAlign w:val="top"/>
          </w:tcPr>
          <w:p>
            <w:pPr>
              <w:spacing w:after="0"/>
            </w:pPr>
            <w:r>
              <w:rPr>
                <w:rFonts w:ascii="Aptos" w:hAnsi="Aptos"/>
                <w:sz w:val="16"/>
              </w:rPr>
              <w:t>What is the mature operating burden?</w:t>
            </w:r>
          </w:p>
        </w:tc>
        <w:tc>
          <w:tcPr>
            <w:tcW w:type="dxa" w:w="6336"/>
            <w:tcMar>
              <w:top w:w="90" w:type="dxa"/>
              <w:start w:w="90" w:type="dxa"/>
              <w:bottom w:w="90" w:type="dxa"/>
              <w:end w:w="90" w:type="dxa"/>
            </w:tcMar>
            <w:vAlign w:val="top"/>
          </w:tcPr>
          <w:p>
            <w:pPr>
              <w:spacing w:after="0"/>
            </w:pPr>
            <w:r>
              <w:rPr>
                <w:rFonts w:ascii="Aptos" w:hAnsi="Aptos"/>
                <w:sz w:val="16"/>
              </w:rPr>
              <w:t>About 11.2 billion USD per year.</w:t>
            </w:r>
          </w:p>
        </w:tc>
      </w:tr>
      <w:tr>
        <w:tc>
          <w:tcPr>
            <w:tcW w:type="dxa" w:w="3744"/>
            <w:tcMar>
              <w:top w:w="90" w:type="dxa"/>
              <w:start w:w="90" w:type="dxa"/>
              <w:bottom w:w="90" w:type="dxa"/>
              <w:end w:w="90" w:type="dxa"/>
            </w:tcMar>
            <w:vAlign w:val="top"/>
          </w:tcPr>
          <w:p>
            <w:pPr>
              <w:spacing w:after="0"/>
            </w:pPr>
            <w:r>
              <w:rPr>
                <w:rFonts w:ascii="Aptos" w:hAnsi="Aptos"/>
                <w:sz w:val="16"/>
              </w:rPr>
              <w:t>What makes the revenue model bankable?</w:t>
            </w:r>
          </w:p>
        </w:tc>
        <w:tc>
          <w:tcPr>
            <w:tcW w:type="dxa" w:w="6336"/>
            <w:tcMar>
              <w:top w:w="90" w:type="dxa"/>
              <w:start w:w="90" w:type="dxa"/>
              <w:bottom w:w="90" w:type="dxa"/>
              <w:end w:w="90" w:type="dxa"/>
            </w:tcMar>
            <w:vAlign w:val="top"/>
          </w:tcPr>
          <w:p>
            <w:pPr>
              <w:spacing w:after="0"/>
            </w:pPr>
            <w:r>
              <w:rPr>
                <w:rFonts w:ascii="Aptos" w:hAnsi="Aptos"/>
                <w:sz w:val="16"/>
              </w:rPr>
              <w:t>Strategic availability contracts, anchor offtake, logistics agreements, and government or partner cost sharing.</w:t>
            </w:r>
          </w:p>
        </w:tc>
      </w:tr>
      <w:tr>
        <w:tc>
          <w:tcPr>
            <w:tcW w:type="dxa" w:w="5040"/>
            <w:vAlign w:val="top"/>
          </w:tcPr>
          <w:p>
            <w:pPr>
              <w:spacing w:after="0"/>
              <w:jc w:val="left"/>
            </w:pPr>
            <w:r>
              <w:rPr>
                <w:rFonts w:ascii="Aptos" w:hAnsi="Aptos"/>
                <w:sz w:val="16"/>
              </w:rPr>
            </w:r>
            <w:r>
              <w:rPr>
                <w:rFonts w:ascii="Aptos" w:hAnsi="Aptos"/>
                <w:b w:val="0"/>
                <w:sz w:val="16"/>
              </w:rPr>
              <w:t>What changes in Rev 2.7?</w:t>
            </w:r>
          </w:p>
        </w:tc>
        <w:tc>
          <w:tcPr>
            <w:tcW w:type="dxa" w:w="5040"/>
            <w:vAlign w:val="top"/>
          </w:tcPr>
          <w:p>
            <w:pPr>
              <w:spacing w:after="0"/>
              <w:jc w:val="left"/>
            </w:pPr>
            <w:r>
              <w:rPr>
                <w:rFonts w:ascii="Aptos" w:hAnsi="Aptos"/>
                <w:sz w:val="16"/>
              </w:rPr>
            </w:r>
            <w:r>
              <w:rPr>
                <w:rFonts w:ascii="Aptos" w:hAnsi="Aptos"/>
                <w:b w:val="0"/>
                <w:sz w:val="16"/>
              </w:rPr>
              <w:t>The program adds a dedicated surface spaceport, cargo focused hyperloop EM launch rail, surface microwave power receiver, expanded solar farm, lunar seismic monitoring, and a separate mineral processing facility.</w:t>
            </w:r>
          </w:p>
        </w:tc>
      </w:tr>
      <w:tr>
        <w:tc>
          <w:tcPr>
            <w:tcW w:type="dxa" w:w="5040"/>
            <w:vAlign w:val="top"/>
          </w:tcPr>
          <w:p>
            <w:pPr>
              <w:spacing w:after="0"/>
              <w:jc w:val="left"/>
            </w:pPr>
            <w:r>
              <w:rPr>
                <w:rFonts w:ascii="Aptos" w:hAnsi="Aptos"/>
                <w:sz w:val="16"/>
              </w:rPr>
            </w:r>
            <w:r>
              <w:rPr>
                <w:rFonts w:ascii="Aptos" w:hAnsi="Aptos"/>
                <w:b w:val="0"/>
                <w:sz w:val="16"/>
              </w:rPr>
              <w:t>Does the launch rail delay 1000 person certification?</w:t>
            </w:r>
          </w:p>
        </w:tc>
        <w:tc>
          <w:tcPr>
            <w:tcW w:type="dxa" w:w="5040"/>
            <w:vAlign w:val="top"/>
          </w:tcPr>
          <w:p>
            <w:pPr>
              <w:spacing w:after="0"/>
              <w:jc w:val="left"/>
            </w:pPr>
            <w:r>
              <w:rPr>
                <w:rFonts w:ascii="Aptos" w:hAnsi="Aptos"/>
                <w:sz w:val="16"/>
              </w:rPr>
            </w:r>
            <w:r>
              <w:rPr>
                <w:rFonts w:ascii="Aptos" w:hAnsi="Aptos"/>
                <w:b w:val="0"/>
                <w:sz w:val="16"/>
              </w:rPr>
              <w:t>No. Full crew occupancy should not depend on full launch rail maturity. The launch rail is treated as a Phase 1B or Phase 2 industrial expansion gate.</w:t>
            </w:r>
          </w:p>
        </w:tc>
      </w:tr>
    </w:tbl>
    <w:p>
      <w:pPr>
        <w:spacing w:after="120"/>
      </w:pPr>
    </w:p>
    <w:p>
      <w:pPr>
        <w:spacing w:after="120"/>
      </w:pPr>
      <w:r>
        <w:rPr>
          <w:rFonts w:ascii="Aptos" w:hAnsi="Aptos"/>
          <w:b/>
          <w:color w:val="1F2B37"/>
          <w:sz w:val="21"/>
        </w:rPr>
        <w:t xml:space="preserve">Board decision posture: </w:t>
      </w:r>
      <w:r>
        <w:rPr>
          <w:rFonts w:ascii="Aptos" w:hAnsi="Aptos"/>
        </w:rPr>
      </w:r>
    </w:p>
    <w:p>
      <w:pPr>
        <w:spacing w:after="120"/>
      </w:pPr>
      <w:r>
        <w:rPr>
          <w:rFonts w:ascii="Aptos" w:hAnsi="Aptos"/>
          <w:sz w:val="21"/>
        </w:rPr>
        <w:t>Proceed through staged funding gates. Do not release full build capital until site confirmation, dependable power, protected underground volume, life support, water and oxygen production, refuge infrastructure, and evacuation compliance each close their gates.</w:t>
      </w:r>
    </w:p>
    <w:p>
      <w:pPr>
        <w:spacing w:after="120"/>
      </w:pPr>
      <w:r>
        <w:rPr>
          <w:rFonts w:ascii="Aptos" w:hAnsi="Aptos"/>
        </w:rPr>
        <w:br w:type="page"/>
      </w:r>
    </w:p>
    <w:p>
      <w:pPr>
        <w:pStyle w:val="Heading1"/>
        <w:spacing w:before="200" w:after="120"/>
      </w:pPr>
      <w:r>
        <w:rPr>
          <w:rFonts w:ascii="Aptos" w:hAnsi="Aptos"/>
          <w:b/>
          <w:sz w:val="28"/>
        </w:rPr>
        <w:t>3. Strategic Architecture and Mission Phases</w:t>
      </w:r>
    </w:p>
    <w:p>
      <w:pPr>
        <w:pStyle w:val="Heading2"/>
        <w:spacing w:before="200" w:after="120"/>
      </w:pPr>
      <w:r>
        <w:rPr>
          <w:rFonts w:ascii="Aptos" w:hAnsi="Aptos"/>
          <w:b/>
          <w:sz w:val="24"/>
        </w:rPr>
        <w:t>3.1 System architecture</w:t>
      </w:r>
    </w:p>
    <w:p>
      <w:pPr>
        <w:spacing w:after="120"/>
      </w:pPr>
      <w:r>
        <w:rPr>
          <w:rFonts w:ascii="Aptos" w:hAnsi="Aptos"/>
          <w:sz w:val="21"/>
        </w:rPr>
        <w:t>The system uses a three layer architecture. The lunar control layer governs ISRU operations, logistics allocation, safety, communications, and emergency continuity. The inner system production layer includes Mars and Venus. The expansion layer includes Ceres, asteroid belt assets, and later outer system infrastructure.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160"/>
            <w:shd w:fill="D9EAF7"/>
            <w:tcMar>
              <w:top w:w="90" w:type="dxa"/>
              <w:start w:w="90" w:type="dxa"/>
              <w:bottom w:w="90" w:type="dxa"/>
              <w:end w:w="90" w:type="dxa"/>
            </w:tcMar>
            <w:vAlign w:val="top"/>
          </w:tcPr>
          <w:p>
            <w:pPr>
              <w:spacing w:after="0"/>
            </w:pPr>
            <w:r>
              <w:rPr>
                <w:rFonts w:ascii="Aptos" w:hAnsi="Aptos"/>
                <w:b/>
                <w:color w:val="FFFFFF"/>
                <w:sz w:val="16"/>
              </w:rPr>
              <w:t>Layer</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Primary nodes</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Function</w:t>
            </w:r>
          </w:p>
        </w:tc>
      </w:tr>
      <w:tr>
        <w:tc>
          <w:tcPr>
            <w:tcW w:type="dxa" w:w="2160"/>
            <w:tcMar>
              <w:top w:w="90" w:type="dxa"/>
              <w:start w:w="90" w:type="dxa"/>
              <w:bottom w:w="90" w:type="dxa"/>
              <w:end w:w="90" w:type="dxa"/>
            </w:tcMar>
            <w:vAlign w:val="top"/>
          </w:tcPr>
          <w:p>
            <w:pPr>
              <w:spacing w:after="0"/>
            </w:pPr>
            <w:r>
              <w:rPr>
                <w:rFonts w:ascii="Aptos" w:hAnsi="Aptos"/>
                <w:sz w:val="16"/>
              </w:rPr>
              <w:t>Control layer</w:t>
            </w:r>
          </w:p>
        </w:tc>
        <w:tc>
          <w:tcPr>
            <w:tcW w:type="dxa" w:w="3168"/>
            <w:tcMar>
              <w:top w:w="90" w:type="dxa"/>
              <w:start w:w="90" w:type="dxa"/>
              <w:bottom w:w="90" w:type="dxa"/>
              <w:end w:w="90" w:type="dxa"/>
            </w:tcMar>
            <w:vAlign w:val="top"/>
          </w:tcPr>
          <w:p>
            <w:pPr>
              <w:spacing w:after="0"/>
            </w:pPr>
            <w:r>
              <w:rPr>
                <w:rFonts w:ascii="Aptos" w:hAnsi="Aptos"/>
                <w:sz w:val="16"/>
              </w:rPr>
              <w:t>Moon, lunar south pole and cislunar relay assets</w:t>
            </w:r>
          </w:p>
        </w:tc>
        <w:tc>
          <w:tcPr>
            <w:tcW w:type="dxa" w:w="5040"/>
            <w:tcMar>
              <w:top w:w="90" w:type="dxa"/>
              <w:start w:w="90" w:type="dxa"/>
              <w:bottom w:w="90" w:type="dxa"/>
              <w:end w:w="90" w:type="dxa"/>
            </w:tcMar>
            <w:vAlign w:val="top"/>
          </w:tcPr>
          <w:p>
            <w:pPr>
              <w:spacing w:after="0"/>
            </w:pPr>
            <w:r>
              <w:rPr>
                <w:rFonts w:ascii="Aptos" w:hAnsi="Aptos"/>
                <w:sz w:val="16"/>
              </w:rPr>
              <w:t>Command, logistics control, propellant production, emergency refuge, cislunar traffic coordination.</w:t>
            </w:r>
          </w:p>
        </w:tc>
      </w:tr>
      <w:tr>
        <w:tc>
          <w:tcPr>
            <w:tcW w:type="dxa" w:w="2160"/>
            <w:tcMar>
              <w:top w:w="90" w:type="dxa"/>
              <w:start w:w="90" w:type="dxa"/>
              <w:bottom w:w="90" w:type="dxa"/>
              <w:end w:w="90" w:type="dxa"/>
            </w:tcMar>
            <w:vAlign w:val="top"/>
          </w:tcPr>
          <w:p>
            <w:pPr>
              <w:spacing w:after="0"/>
            </w:pPr>
            <w:r>
              <w:rPr>
                <w:rFonts w:ascii="Aptos" w:hAnsi="Aptos"/>
                <w:sz w:val="16"/>
              </w:rPr>
              <w:t>Production layer</w:t>
            </w:r>
          </w:p>
        </w:tc>
        <w:tc>
          <w:tcPr>
            <w:tcW w:type="dxa" w:w="3168"/>
            <w:tcMar>
              <w:top w:w="90" w:type="dxa"/>
              <w:start w:w="90" w:type="dxa"/>
              <w:bottom w:w="90" w:type="dxa"/>
              <w:end w:w="90" w:type="dxa"/>
            </w:tcMar>
            <w:vAlign w:val="top"/>
          </w:tcPr>
          <w:p>
            <w:pPr>
              <w:spacing w:after="0"/>
            </w:pPr>
            <w:r>
              <w:rPr>
                <w:rFonts w:ascii="Aptos" w:hAnsi="Aptos"/>
                <w:sz w:val="16"/>
              </w:rPr>
              <w:t>Mars, Venus, Ceres</w:t>
            </w:r>
          </w:p>
        </w:tc>
        <w:tc>
          <w:tcPr>
            <w:tcW w:type="dxa" w:w="5040"/>
            <w:tcMar>
              <w:top w:w="90" w:type="dxa"/>
              <w:start w:w="90" w:type="dxa"/>
              <w:bottom w:w="90" w:type="dxa"/>
              <w:end w:w="90" w:type="dxa"/>
            </w:tcMar>
            <w:vAlign w:val="top"/>
          </w:tcPr>
          <w:p>
            <w:pPr>
              <w:spacing w:after="0"/>
            </w:pPr>
            <w:r>
              <w:rPr>
                <w:rFonts w:ascii="Aptos" w:hAnsi="Aptos"/>
                <w:sz w:val="16"/>
              </w:rPr>
              <w:t>Mars produces methane, oxygen, water, and materials. Venus provides atmospheric chemistry products. Ceres provides water and bulk raw material.</w:t>
            </w:r>
          </w:p>
        </w:tc>
      </w:tr>
      <w:tr>
        <w:tc>
          <w:tcPr>
            <w:tcW w:type="dxa" w:w="2160"/>
            <w:tcMar>
              <w:top w:w="90" w:type="dxa"/>
              <w:start w:w="90" w:type="dxa"/>
              <w:bottom w:w="90" w:type="dxa"/>
              <w:end w:w="90" w:type="dxa"/>
            </w:tcMar>
            <w:vAlign w:val="top"/>
          </w:tcPr>
          <w:p>
            <w:pPr>
              <w:spacing w:after="0"/>
            </w:pPr>
            <w:r>
              <w:rPr>
                <w:rFonts w:ascii="Aptos" w:hAnsi="Aptos"/>
                <w:sz w:val="16"/>
              </w:rPr>
              <w:t>Expansion layer</w:t>
            </w:r>
          </w:p>
        </w:tc>
        <w:tc>
          <w:tcPr>
            <w:tcW w:type="dxa" w:w="3168"/>
            <w:tcMar>
              <w:top w:w="90" w:type="dxa"/>
              <w:start w:w="90" w:type="dxa"/>
              <w:bottom w:w="90" w:type="dxa"/>
              <w:end w:w="90" w:type="dxa"/>
            </w:tcMar>
            <w:vAlign w:val="top"/>
          </w:tcPr>
          <w:p>
            <w:pPr>
              <w:spacing w:after="0"/>
            </w:pPr>
            <w:r>
              <w:rPr>
                <w:rFonts w:ascii="Aptos" w:hAnsi="Aptos"/>
                <w:sz w:val="16"/>
              </w:rPr>
              <w:t>Asteroid belt and outer system nodes</w:t>
            </w:r>
          </w:p>
        </w:tc>
        <w:tc>
          <w:tcPr>
            <w:tcW w:type="dxa" w:w="5040"/>
            <w:tcMar>
              <w:top w:w="90" w:type="dxa"/>
              <w:start w:w="90" w:type="dxa"/>
              <w:bottom w:w="90" w:type="dxa"/>
              <w:end w:w="90" w:type="dxa"/>
            </w:tcMar>
            <w:vAlign w:val="top"/>
          </w:tcPr>
          <w:p>
            <w:pPr>
              <w:spacing w:after="0"/>
            </w:pPr>
            <w:r>
              <w:rPr>
                <w:rFonts w:ascii="Aptos" w:hAnsi="Aptos"/>
                <w:sz w:val="16"/>
              </w:rPr>
              <w:t>Bulk extraction, deep space relay, and long duration logistics support.</w:t>
            </w:r>
          </w:p>
        </w:tc>
      </w:tr>
      <w:tr>
        <w:tc>
          <w:tcPr>
            <w:tcW w:type="dxa" w:w="2160"/>
            <w:tcMar>
              <w:top w:w="90" w:type="dxa"/>
              <w:start w:w="90" w:type="dxa"/>
              <w:bottom w:w="90" w:type="dxa"/>
              <w:end w:w="90" w:type="dxa"/>
            </w:tcMar>
            <w:vAlign w:val="top"/>
          </w:tcPr>
          <w:p>
            <w:pPr>
              <w:spacing w:after="0"/>
            </w:pPr>
            <w:r>
              <w:rPr>
                <w:rFonts w:ascii="Aptos" w:hAnsi="Aptos"/>
                <w:sz w:val="16"/>
              </w:rPr>
              <w:t>Deferred high energy layer</w:t>
            </w:r>
          </w:p>
        </w:tc>
        <w:tc>
          <w:tcPr>
            <w:tcW w:type="dxa" w:w="3168"/>
            <w:tcMar>
              <w:top w:w="90" w:type="dxa"/>
              <w:start w:w="90" w:type="dxa"/>
              <w:bottom w:w="90" w:type="dxa"/>
              <w:end w:w="90" w:type="dxa"/>
            </w:tcMar>
            <w:vAlign w:val="top"/>
          </w:tcPr>
          <w:p>
            <w:pPr>
              <w:spacing w:after="0"/>
            </w:pPr>
            <w:r>
              <w:rPr>
                <w:rFonts w:ascii="Aptos" w:hAnsi="Aptos"/>
                <w:sz w:val="16"/>
              </w:rPr>
              <w:t>Mercury</w:t>
            </w:r>
          </w:p>
        </w:tc>
        <w:tc>
          <w:tcPr>
            <w:tcW w:type="dxa" w:w="5040"/>
            <w:tcMar>
              <w:top w:w="90" w:type="dxa"/>
              <w:start w:w="90" w:type="dxa"/>
              <w:bottom w:w="90" w:type="dxa"/>
              <w:end w:w="90" w:type="dxa"/>
            </w:tcMar>
            <w:vAlign w:val="top"/>
          </w:tcPr>
          <w:p>
            <w:pPr>
              <w:spacing w:after="0"/>
            </w:pPr>
            <w:r>
              <w:rPr>
                <w:rFonts w:ascii="Aptos" w:hAnsi="Aptos"/>
                <w:sz w:val="16"/>
              </w:rPr>
              <w:t>Future asset pending advanced thermal protection, active cooling, and high temperature materials.</w:t>
            </w:r>
          </w:p>
        </w:tc>
      </w:tr>
      <w:tr>
        <w:tc>
          <w:tcPr>
            <w:tcW w:type="dxa" w:w="3360"/>
            <w:vAlign w:val="top"/>
          </w:tcPr>
          <w:p>
            <w:pPr>
              <w:spacing w:after="0"/>
            </w:pPr>
            <w:r>
              <w:rPr>
                <w:sz w:val="16"/>
              </w:rPr>
              <w:t>Preservation layer</w:t>
            </w:r>
          </w:p>
        </w:tc>
        <w:tc>
          <w:tcPr>
            <w:tcW w:type="dxa" w:w="3360"/>
            <w:vAlign w:val="top"/>
          </w:tcPr>
          <w:p>
            <w:pPr>
              <w:spacing w:after="0"/>
            </w:pPr>
            <w:r>
              <w:rPr>
                <w:sz w:val="16"/>
              </w:rPr>
              <w:t>Lunar Biodiversity Vault at the lunar south pole site</w:t>
            </w:r>
          </w:p>
        </w:tc>
        <w:tc>
          <w:tcPr>
            <w:tcW w:type="dxa" w:w="3360"/>
            <w:vAlign w:val="top"/>
          </w:tcPr>
          <w:p>
            <w:pPr>
              <w:spacing w:after="0"/>
            </w:pPr>
            <w:r>
              <w:rPr>
                <w:sz w:val="16"/>
              </w:rPr>
              <w:t>Protected long duration biological sample, seed, genome, microbial, and reference archive for Earth and off world settlement resilience.</w:t>
            </w:r>
          </w:p>
        </w:tc>
      </w:tr>
      <w:tr>
        <w:tc>
          <w:tcPr>
            <w:tcW w:type="dxa" w:w="3360"/>
            <w:vAlign w:val="top"/>
          </w:tcPr>
          <w:p>
            <w:pPr>
              <w:spacing w:after="0"/>
            </w:pPr>
            <w:r>
              <w:rPr>
                <w:sz w:val="16"/>
              </w:rPr>
              <w:t>Derivative installation layer</w:t>
            </w:r>
          </w:p>
        </w:tc>
        <w:tc>
          <w:tcPr>
            <w:tcW w:type="dxa" w:w="3360"/>
            <w:vAlign w:val="top"/>
          </w:tcPr>
          <w:p>
            <w:pPr>
              <w:spacing w:after="0"/>
            </w:pPr>
            <w:r>
              <w:rPr>
                <w:sz w:val="16"/>
              </w:rPr>
              <w:t>Mars settlement copy, Ceres automated worksite, Venus afloat and orbital platforms</w:t>
            </w:r>
          </w:p>
        </w:tc>
        <w:tc>
          <w:tcPr>
            <w:tcW w:type="dxa" w:w="3360"/>
            <w:vAlign w:val="top"/>
          </w:tcPr>
          <w:p>
            <w:pPr>
              <w:spacing w:after="0"/>
            </w:pPr>
            <w:r>
              <w:rPr>
                <w:sz w:val="16"/>
              </w:rPr>
              <w:t>Transfers lunar facility standards into planetary and belt installations with local environmental modifications.</w:t>
            </w:r>
          </w:p>
        </w:tc>
      </w:tr>
    </w:tbl>
    <w:p>
      <w:pPr>
        <w:spacing w:after="120"/>
      </w:pPr>
    </w:p>
    <w:p>
      <w:pPr>
        <w:pStyle w:val="Heading2"/>
        <w:spacing w:before="200" w:after="120"/>
      </w:pPr>
      <w:r>
        <w:rPr>
          <w:rFonts w:ascii="Aptos" w:hAnsi="Aptos"/>
          <w:b/>
          <w:sz w:val="24"/>
        </w:rPr>
        <w:t>3.2 Updated mission phases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Phase</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192"/>
            <w:shd w:fill="D9EAF7"/>
            <w:tcMar>
              <w:top w:w="90" w:type="dxa"/>
              <w:start w:w="90" w:type="dxa"/>
              <w:bottom w:w="90" w:type="dxa"/>
              <w:end w:w="90" w:type="dxa"/>
            </w:tcMar>
            <w:vAlign w:val="top"/>
          </w:tcPr>
          <w:p>
            <w:pPr>
              <w:spacing w:after="0"/>
            </w:pPr>
            <w:r>
              <w:rPr>
                <w:rFonts w:ascii="Aptos" w:hAnsi="Aptos"/>
                <w:b/>
                <w:color w:val="FFFFFF"/>
                <w:sz w:val="16"/>
              </w:rPr>
              <w:t>Primary objective</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3168"/>
            <w:tcMar>
              <w:top w:w="90" w:type="dxa"/>
              <w:start w:w="90" w:type="dxa"/>
              <w:bottom w:w="90" w:type="dxa"/>
              <w:end w:w="90" w:type="dxa"/>
            </w:tcMar>
            <w:vAlign w:val="top"/>
          </w:tcPr>
          <w:p>
            <w:pPr>
              <w:spacing w:after="0"/>
            </w:pPr>
            <w:r>
              <w:rPr>
                <w:rFonts w:ascii="Aptos" w:hAnsi="Aptos"/>
                <w:sz w:val="16"/>
              </w:rPr>
              <w:t>Lunar Reconsolidation</w:t>
            </w:r>
          </w:p>
        </w:tc>
        <w:tc>
          <w:tcPr>
            <w:tcW w:type="dxa" w:w="6192"/>
            <w:tcMar>
              <w:top w:w="90" w:type="dxa"/>
              <w:start w:w="90" w:type="dxa"/>
              <w:bottom w:w="90" w:type="dxa"/>
              <w:end w:w="90" w:type="dxa"/>
            </w:tcMar>
            <w:vAlign w:val="top"/>
          </w:tcPr>
          <w:p>
            <w:pPr>
              <w:spacing w:after="0"/>
            </w:pPr>
            <w:r>
              <w:rPr>
                <w:rFonts w:ascii="Aptos" w:hAnsi="Aptos"/>
                <w:sz w:val="16"/>
              </w:rPr>
              <w:t>Map, survey, confirm volatile access, and establish lunar relay and site control.</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3168"/>
            <w:tcMar>
              <w:top w:w="90" w:type="dxa"/>
              <w:start w:w="90" w:type="dxa"/>
              <w:bottom w:w="90" w:type="dxa"/>
              <w:end w:w="90" w:type="dxa"/>
            </w:tcMar>
            <w:vAlign w:val="top"/>
          </w:tcPr>
          <w:p>
            <w:pPr>
              <w:spacing w:after="0"/>
            </w:pPr>
            <w:r>
              <w:rPr>
                <w:rFonts w:ascii="Aptos" w:hAnsi="Aptos"/>
                <w:sz w:val="16"/>
              </w:rPr>
              <w:t>Lunar Industrialization</w:t>
            </w:r>
          </w:p>
        </w:tc>
        <w:tc>
          <w:tcPr>
            <w:tcW w:type="dxa" w:w="6192"/>
            <w:tcMar>
              <w:top w:w="90" w:type="dxa"/>
              <w:start w:w="90" w:type="dxa"/>
              <w:bottom w:w="90" w:type="dxa"/>
              <w:end w:w="90" w:type="dxa"/>
            </w:tcMar>
            <w:vAlign w:val="top"/>
          </w:tcPr>
          <w:p>
            <w:pPr>
              <w:spacing w:after="0"/>
            </w:pPr>
            <w:r>
              <w:rPr>
                <w:rFonts w:ascii="Aptos" w:hAnsi="Aptos"/>
                <w:sz w:val="16"/>
              </w:rPr>
              <w:t>Deploy underground habitat starter systems, mining fleets, water extraction, and oxygen production.</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3168"/>
            <w:tcMar>
              <w:top w:w="90" w:type="dxa"/>
              <w:start w:w="90" w:type="dxa"/>
              <w:bottom w:w="90" w:type="dxa"/>
              <w:end w:w="90" w:type="dxa"/>
            </w:tcMar>
            <w:vAlign w:val="top"/>
          </w:tcPr>
          <w:p>
            <w:pPr>
              <w:spacing w:after="0"/>
            </w:pPr>
            <w:r>
              <w:rPr>
                <w:rFonts w:ascii="Aptos" w:hAnsi="Aptos"/>
                <w:sz w:val="16"/>
              </w:rPr>
              <w:t>Cislunar Dominance</w:t>
            </w:r>
          </w:p>
        </w:tc>
        <w:tc>
          <w:tcPr>
            <w:tcW w:type="dxa" w:w="6192"/>
            <w:tcMar>
              <w:top w:w="90" w:type="dxa"/>
              <w:start w:w="90" w:type="dxa"/>
              <w:bottom w:w="90" w:type="dxa"/>
              <w:end w:w="90" w:type="dxa"/>
            </w:tcMar>
            <w:vAlign w:val="top"/>
          </w:tcPr>
          <w:p>
            <w:pPr>
              <w:spacing w:after="0"/>
            </w:pPr>
            <w:r>
              <w:rPr>
                <w:rFonts w:ascii="Aptos" w:hAnsi="Aptos"/>
                <w:sz w:val="16"/>
              </w:rPr>
              <w:t>Build orbital depots, surface logistics, autonomous cargo cycling, and command networks.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3168"/>
            <w:tcMar>
              <w:top w:w="90" w:type="dxa"/>
              <w:start w:w="90" w:type="dxa"/>
              <w:bottom w:w="90" w:type="dxa"/>
              <w:end w:w="90" w:type="dxa"/>
            </w:tcMar>
            <w:vAlign w:val="top"/>
          </w:tcPr>
          <w:p>
            <w:pPr>
              <w:spacing w:after="0"/>
            </w:pPr>
            <w:r>
              <w:rPr>
                <w:rFonts w:ascii="Aptos" w:hAnsi="Aptos"/>
                <w:sz w:val="16"/>
              </w:rPr>
              <w:t>Inner System Scaling</w:t>
            </w:r>
          </w:p>
        </w:tc>
        <w:tc>
          <w:tcPr>
            <w:tcW w:type="dxa" w:w="6192"/>
            <w:tcMar>
              <w:top w:w="90" w:type="dxa"/>
              <w:start w:w="90" w:type="dxa"/>
              <w:bottom w:w="90" w:type="dxa"/>
              <w:end w:w="90" w:type="dxa"/>
            </w:tcMar>
            <w:vAlign w:val="top"/>
          </w:tcPr>
          <w:p>
            <w:pPr>
              <w:spacing w:after="0"/>
            </w:pPr>
            <w:r>
              <w:rPr>
                <w:sz w:val="16"/>
              </w:rPr>
              <w:t>Integrate Mars settlement and mineral processing copy package, Venus upper atmospheric gas processing afloat module, and Venus orbital traffic insertion platform. Maintain Mercury as a future asset pending thermal protection and active heat rejection advances.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3168"/>
            <w:tcMar>
              <w:top w:w="90" w:type="dxa"/>
              <w:start w:w="90" w:type="dxa"/>
              <w:bottom w:w="90" w:type="dxa"/>
              <w:end w:w="90" w:type="dxa"/>
            </w:tcMar>
            <w:vAlign w:val="top"/>
          </w:tcPr>
          <w:p>
            <w:pPr>
              <w:spacing w:after="0"/>
            </w:pPr>
            <w:r>
              <w:rPr>
                <w:rFonts w:ascii="Aptos" w:hAnsi="Aptos"/>
                <w:sz w:val="16"/>
              </w:rPr>
              <w:t>Ceres and Asteroid Belt Expansion</w:t>
            </w:r>
          </w:p>
        </w:tc>
        <w:tc>
          <w:tcPr>
            <w:tcW w:type="dxa" w:w="6192"/>
            <w:tcMar>
              <w:top w:w="90" w:type="dxa"/>
              <w:start w:w="90" w:type="dxa"/>
              <w:bottom w:w="90" w:type="dxa"/>
              <w:end w:w="90" w:type="dxa"/>
            </w:tcMar>
            <w:vAlign w:val="top"/>
          </w:tcPr>
          <w:p>
            <w:pPr>
              <w:spacing w:after="0"/>
            </w:pPr>
            <w:r>
              <w:rPr>
                <w:sz w:val="16"/>
              </w:rPr>
              <w:t>Deploy Ceres Autonomous Modification Worksite for robotic servicing, ice and brine processing, mineral preprocessing, autonomous repair, and low gravity logistics staging.</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3168"/>
            <w:tcMar>
              <w:top w:w="90" w:type="dxa"/>
              <w:start w:w="90" w:type="dxa"/>
              <w:bottom w:w="90" w:type="dxa"/>
              <w:end w:w="90" w:type="dxa"/>
            </w:tcMar>
            <w:vAlign w:val="top"/>
          </w:tcPr>
          <w:p>
            <w:pPr>
              <w:spacing w:after="0"/>
            </w:pPr>
            <w:r>
              <w:rPr>
                <w:rFonts w:ascii="Aptos" w:hAnsi="Aptos"/>
                <w:sz w:val="16"/>
              </w:rPr>
              <w:t>Outer System Scaling</w:t>
            </w:r>
          </w:p>
        </w:tc>
        <w:tc>
          <w:tcPr>
            <w:tcW w:type="dxa" w:w="6192"/>
            <w:tcMar>
              <w:top w:w="90" w:type="dxa"/>
              <w:start w:w="90" w:type="dxa"/>
              <w:bottom w:w="90" w:type="dxa"/>
              <w:end w:w="90" w:type="dxa"/>
            </w:tcMar>
            <w:vAlign w:val="top"/>
          </w:tcPr>
          <w:p>
            <w:pPr>
              <w:spacing w:after="0"/>
            </w:pPr>
            <w:r>
              <w:rPr>
                <w:rFonts w:ascii="Aptos" w:hAnsi="Aptos"/>
                <w:sz w:val="16"/>
              </w:rPr>
              <w:t>Build relay stations and logistics capability beyond Mars orbit.</w:t>
            </w:r>
          </w:p>
        </w:tc>
      </w:tr>
    </w:tbl>
    <w:p>
      <w:pPr>
        <w:spacing w:after="120"/>
      </w:pPr>
    </w:p>
    <w:p>
      <w:pPr>
        <w:pStyle w:val="Heading2"/>
        <w:spacing w:before="200" w:after="120"/>
      </w:pPr>
      <w:r>
        <w:rPr>
          <w:rFonts w:ascii="Aptos" w:hAnsi="Aptos"/>
          <w:b/>
          <w:sz w:val="24"/>
        </w:rPr>
        <w:t>3.3 Architecture control principles</w:t>
      </w:r>
    </w:p>
    <w:p>
      <w:pPr>
        <w:pStyle w:val="ListBullet"/>
      </w:pPr>
      <w:r>
        <w:rPr>
          <w:rFonts w:ascii="Aptos" w:hAnsi="Aptos"/>
        </w:rPr>
        <w:t>Resource locality outranks Earth resupply where safety and reliability are equal.</w:t>
      </w:r>
    </w:p>
    <w:p>
      <w:pPr>
        <w:pStyle w:val="ListBullet"/>
      </w:pPr>
      <w:r>
        <w:rPr>
          <w:rFonts w:ascii="Aptos" w:hAnsi="Aptos"/>
        </w:rPr>
        <w:t>Life safety, refuge, and evacuation reserves outrank export revenue.</w:t>
      </w:r>
    </w:p>
    <w:p>
      <w:pPr>
        <w:pStyle w:val="ListBullet"/>
      </w:pPr>
      <w:r>
        <w:rPr>
          <w:rFonts w:ascii="Aptos" w:hAnsi="Aptos"/>
        </w:rPr>
        <w:t>The lunar hub controls production allocation, route scheduling, depot reserve status, and emergency dispatch.</w:t>
      </w:r>
    </w:p>
    <w:p>
      <w:pPr>
        <w:pStyle w:val="ListBullet"/>
      </w:pPr>
      <w:r>
        <w:rPr>
          <w:rFonts w:ascii="Aptos" w:hAnsi="Aptos"/>
        </w:rPr>
        <w:t>Mars and Venus scale only after lunar power, water, oxygen, and logistics systems have reached stable operation.</w:t>
      </w:r>
    </w:p>
    <w:p>
      <w:pPr>
        <w:pStyle w:val="ListBullet"/>
      </w:pPr>
      <w:r>
        <w:rPr>
          <w:rFonts w:ascii="Aptos" w:hAnsi="Aptos"/>
        </w:rPr>
        <w:t>Mercury remains deferred until thermal protection, high temperature materials, and active heat rejection systems are proven.</w:t>
      </w:r>
    </w:p>
    <w:p>
      <w:pPr>
        <w:pStyle w:val="Heading1"/>
        <w:spacing w:before="200" w:after="120"/>
      </w:pPr>
      <w:r>
        <w:rPr>
          <w:rFonts w:ascii="Aptos" w:hAnsi="Aptos"/>
          <w:b/>
          <w:sz w:val="28"/>
        </w:rPr>
        <w:t>4. Phase 1 Design Requirements</w:t>
      </w:r>
    </w:p>
    <w:p>
      <w:pPr>
        <w:spacing w:after="120"/>
      </w:pPr>
      <w:r>
        <w:rPr>
          <w:rFonts w:ascii="Aptos" w:hAnsi="Aptos"/>
          <w:sz w:val="21"/>
        </w:rPr>
        <w:t>Phase 1 is a permanent lunar south pole installation designed for survival, command continuity, industrial output, and safe evacuation. It is not a temporary expedition camp.</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pPr>
            <w:r>
              <w:rPr>
                <w:rFonts w:ascii="Aptos" w:hAnsi="Aptos"/>
                <w:b/>
                <w:color w:val="FFFFFF"/>
                <w:sz w:val="16"/>
              </w:rPr>
              <w:t>Requirement class</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Baseline requirement</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Verification approach</w:t>
            </w:r>
          </w:p>
        </w:tc>
      </w:tr>
      <w:tr>
        <w:tc>
          <w:tcPr>
            <w:tcW w:type="dxa" w:w="2448"/>
            <w:tcMar>
              <w:top w:w="90" w:type="dxa"/>
              <w:start w:w="90" w:type="dxa"/>
              <w:bottom w:w="90" w:type="dxa"/>
              <w:end w:w="90" w:type="dxa"/>
            </w:tcMar>
            <w:vAlign w:val="top"/>
          </w:tcPr>
          <w:p>
            <w:pPr>
              <w:spacing w:after="0"/>
            </w:pPr>
            <w:r>
              <w:rPr>
                <w:rFonts w:ascii="Aptos" w:hAnsi="Aptos"/>
                <w:sz w:val="16"/>
              </w:rPr>
              <w:t>Population</w:t>
            </w:r>
          </w:p>
        </w:tc>
        <w:tc>
          <w:tcPr>
            <w:tcW w:type="dxa" w:w="5040"/>
            <w:tcMar>
              <w:top w:w="90" w:type="dxa"/>
              <w:start w:w="90" w:type="dxa"/>
              <w:bottom w:w="90" w:type="dxa"/>
              <w:end w:w="90" w:type="dxa"/>
            </w:tcMar>
            <w:vAlign w:val="top"/>
          </w:tcPr>
          <w:p>
            <w:pPr>
              <w:spacing w:after="0"/>
            </w:pPr>
            <w:r>
              <w:rPr>
                <w:rFonts w:ascii="Aptos" w:hAnsi="Aptos"/>
                <w:sz w:val="16"/>
              </w:rPr>
              <w:t>1000 resident personnel, 1200 surge capacity</w:t>
            </w:r>
          </w:p>
        </w:tc>
        <w:tc>
          <w:tcPr>
            <w:tcW w:type="dxa" w:w="4320"/>
            <w:tcMar>
              <w:top w:w="90" w:type="dxa"/>
              <w:start w:w="90" w:type="dxa"/>
              <w:bottom w:w="90" w:type="dxa"/>
              <w:end w:w="90" w:type="dxa"/>
            </w:tcMar>
            <w:vAlign w:val="top"/>
          </w:tcPr>
          <w:p>
            <w:pPr>
              <w:spacing w:after="0"/>
            </w:pPr>
            <w:r>
              <w:rPr>
                <w:rFonts w:ascii="Aptos" w:hAnsi="Aptos"/>
                <w:sz w:val="16"/>
              </w:rPr>
              <w:t>Occupancy certification by gate, life support reserve audit, evacuation manifest validation.</w:t>
            </w:r>
          </w:p>
        </w:tc>
      </w:tr>
      <w:tr>
        <w:tc>
          <w:tcPr>
            <w:tcW w:type="dxa" w:w="2448"/>
            <w:tcMar>
              <w:top w:w="90" w:type="dxa"/>
              <w:start w:w="90" w:type="dxa"/>
              <w:bottom w:w="90" w:type="dxa"/>
              <w:end w:w="90" w:type="dxa"/>
            </w:tcMar>
            <w:vAlign w:val="top"/>
          </w:tcPr>
          <w:p>
            <w:pPr>
              <w:spacing w:after="0"/>
            </w:pPr>
            <w:r>
              <w:rPr>
                <w:rFonts w:ascii="Aptos" w:hAnsi="Aptos"/>
                <w:sz w:val="16"/>
              </w:rPr>
              <w:t>Habitat location</w:t>
            </w:r>
          </w:p>
        </w:tc>
        <w:tc>
          <w:tcPr>
            <w:tcW w:type="dxa" w:w="5040"/>
            <w:tcMar>
              <w:top w:w="90" w:type="dxa"/>
              <w:start w:w="90" w:type="dxa"/>
              <w:bottom w:w="90" w:type="dxa"/>
              <w:end w:w="90" w:type="dxa"/>
            </w:tcMar>
            <w:vAlign w:val="top"/>
          </w:tcPr>
          <w:p>
            <w:pPr>
              <w:spacing w:after="0"/>
            </w:pPr>
            <w:r>
              <w:rPr>
                <w:rFonts w:ascii="Aptos" w:hAnsi="Aptos"/>
                <w:sz w:val="16"/>
              </w:rPr>
              <w:t>Underground, 10 to 20 meters below surface depending on zone criticality</w:t>
            </w:r>
          </w:p>
        </w:tc>
        <w:tc>
          <w:tcPr>
            <w:tcW w:type="dxa" w:w="4320"/>
            <w:tcMar>
              <w:top w:w="90" w:type="dxa"/>
              <w:start w:w="90" w:type="dxa"/>
              <w:bottom w:w="90" w:type="dxa"/>
              <w:end w:w="90" w:type="dxa"/>
            </w:tcMar>
            <w:vAlign w:val="top"/>
          </w:tcPr>
          <w:p>
            <w:pPr>
              <w:spacing w:after="0"/>
            </w:pPr>
            <w:r>
              <w:rPr>
                <w:rFonts w:ascii="Aptos" w:hAnsi="Aptos"/>
                <w:sz w:val="16"/>
              </w:rPr>
              <w:t>Civil inspection, shielding model, pressure shell acceptance.</w:t>
            </w:r>
          </w:p>
        </w:tc>
      </w:tr>
      <w:tr>
        <w:tc>
          <w:tcPr>
            <w:tcW w:type="dxa" w:w="2448"/>
            <w:tcMar>
              <w:top w:w="90" w:type="dxa"/>
              <w:start w:w="90" w:type="dxa"/>
              <w:bottom w:w="90" w:type="dxa"/>
              <w:end w:w="90" w:type="dxa"/>
            </w:tcMar>
            <w:vAlign w:val="top"/>
          </w:tcPr>
          <w:p>
            <w:pPr>
              <w:spacing w:after="0"/>
            </w:pPr>
            <w:r>
              <w:rPr>
                <w:rFonts w:ascii="Aptos" w:hAnsi="Aptos"/>
                <w:sz w:val="16"/>
              </w:rPr>
              <w:t>Surface plant</w:t>
            </w:r>
          </w:p>
        </w:tc>
        <w:tc>
          <w:tcPr>
            <w:tcW w:type="dxa" w:w="5040"/>
            <w:tcMar>
              <w:top w:w="90" w:type="dxa"/>
              <w:start w:w="90" w:type="dxa"/>
              <w:bottom w:w="90" w:type="dxa"/>
              <w:end w:w="90" w:type="dxa"/>
            </w:tcMar>
            <w:vAlign w:val="top"/>
          </w:tcPr>
          <w:p>
            <w:pPr>
              <w:spacing w:after="0"/>
            </w:pPr>
            <w:r>
              <w:rPr>
                <w:rFonts w:ascii="Aptos" w:hAnsi="Aptos"/>
                <w:sz w:val="16"/>
              </w:rPr>
              <w:t>ISRU processing plant, landing district, cryogenic tank farm, and power district on surface</w:t>
            </w:r>
          </w:p>
        </w:tc>
        <w:tc>
          <w:tcPr>
            <w:tcW w:type="dxa" w:w="4320"/>
            <w:tcMar>
              <w:top w:w="90" w:type="dxa"/>
              <w:start w:w="90" w:type="dxa"/>
              <w:bottom w:w="90" w:type="dxa"/>
              <w:end w:w="90" w:type="dxa"/>
            </w:tcMar>
            <w:vAlign w:val="top"/>
          </w:tcPr>
          <w:p>
            <w:pPr>
              <w:spacing w:after="0"/>
            </w:pPr>
            <w:r>
              <w:rPr>
                <w:rFonts w:ascii="Aptos" w:hAnsi="Aptos"/>
                <w:sz w:val="16"/>
              </w:rPr>
              <w:t>Site layout review, hazard separation review, process commissioning.</w:t>
            </w:r>
          </w:p>
        </w:tc>
      </w:tr>
      <w:tr>
        <w:tc>
          <w:tcPr>
            <w:tcW w:type="dxa" w:w="2448"/>
            <w:tcMar>
              <w:top w:w="90" w:type="dxa"/>
              <w:start w:w="90" w:type="dxa"/>
              <w:bottom w:w="90" w:type="dxa"/>
              <w:end w:w="90" w:type="dxa"/>
            </w:tcMar>
            <w:vAlign w:val="top"/>
          </w:tcPr>
          <w:p>
            <w:pPr>
              <w:spacing w:after="0"/>
            </w:pPr>
            <w:r>
              <w:rPr>
                <w:rFonts w:ascii="Aptos" w:hAnsi="Aptos"/>
                <w:sz w:val="16"/>
              </w:rPr>
              <w:t>Refuge</w:t>
            </w:r>
          </w:p>
        </w:tc>
        <w:tc>
          <w:tcPr>
            <w:tcW w:type="dxa" w:w="5040"/>
            <w:tcMar>
              <w:top w:w="90" w:type="dxa"/>
              <w:start w:w="90" w:type="dxa"/>
              <w:bottom w:w="90" w:type="dxa"/>
              <w:end w:w="90" w:type="dxa"/>
            </w:tcMar>
            <w:vAlign w:val="top"/>
          </w:tcPr>
          <w:p>
            <w:pPr>
              <w:spacing w:after="0"/>
            </w:pPr>
            <w:r>
              <w:rPr>
                <w:rFonts w:ascii="Aptos" w:hAnsi="Aptos"/>
                <w:sz w:val="16"/>
              </w:rPr>
              <w:t>Full 1200 person capacity for one lunar night, 14 days minimum</w:t>
            </w:r>
          </w:p>
        </w:tc>
        <w:tc>
          <w:tcPr>
            <w:tcW w:type="dxa" w:w="4320"/>
            <w:tcMar>
              <w:top w:w="90" w:type="dxa"/>
              <w:start w:w="90" w:type="dxa"/>
              <w:bottom w:w="90" w:type="dxa"/>
              <w:end w:w="90" w:type="dxa"/>
            </w:tcMar>
            <w:vAlign w:val="top"/>
          </w:tcPr>
          <w:p>
            <w:pPr>
              <w:spacing w:after="0"/>
            </w:pPr>
            <w:r>
              <w:rPr>
                <w:rFonts w:ascii="Aptos" w:hAnsi="Aptos"/>
                <w:sz w:val="16"/>
              </w:rPr>
              <w:t>Cluster isolation test, water and oxygen reserve audit, emergency power endurance model.</w:t>
            </w:r>
          </w:p>
        </w:tc>
      </w:tr>
      <w:tr>
        <w:tc>
          <w:tcPr>
            <w:tcW w:type="dxa" w:w="2448"/>
            <w:tcMar>
              <w:top w:w="90" w:type="dxa"/>
              <w:start w:w="90" w:type="dxa"/>
              <w:bottom w:w="90" w:type="dxa"/>
              <w:end w:w="90" w:type="dxa"/>
            </w:tcMar>
            <w:vAlign w:val="top"/>
          </w:tcPr>
          <w:p>
            <w:pPr>
              <w:spacing w:after="0"/>
            </w:pPr>
            <w:r>
              <w:rPr>
                <w:rFonts w:ascii="Aptos" w:hAnsi="Aptos"/>
                <w:sz w:val="16"/>
              </w:rPr>
              <w:t>Evacuation</w:t>
            </w:r>
          </w:p>
        </w:tc>
        <w:tc>
          <w:tcPr>
            <w:tcW w:type="dxa" w:w="5040"/>
            <w:tcMar>
              <w:top w:w="90" w:type="dxa"/>
              <w:start w:w="90" w:type="dxa"/>
              <w:bottom w:w="90" w:type="dxa"/>
              <w:end w:w="90" w:type="dxa"/>
            </w:tcMar>
            <w:vAlign w:val="top"/>
          </w:tcPr>
          <w:p>
            <w:pPr>
              <w:spacing w:after="0"/>
            </w:pPr>
            <w:r>
              <w:rPr>
                <w:rFonts w:ascii="Aptos" w:hAnsi="Aptos"/>
                <w:sz w:val="16"/>
              </w:rPr>
              <w:t>1200 persons within 72 hours</w:t>
            </w:r>
          </w:p>
        </w:tc>
        <w:tc>
          <w:tcPr>
            <w:tcW w:type="dxa" w:w="4320"/>
            <w:tcMar>
              <w:top w:w="90" w:type="dxa"/>
              <w:start w:w="90" w:type="dxa"/>
              <w:bottom w:w="90" w:type="dxa"/>
              <w:end w:w="90" w:type="dxa"/>
            </w:tcMar>
            <w:vAlign w:val="top"/>
          </w:tcPr>
          <w:p>
            <w:pPr>
              <w:spacing w:after="0"/>
            </w:pPr>
            <w:r>
              <w:rPr>
                <w:rFonts w:ascii="Aptos" w:hAnsi="Aptos"/>
                <w:sz w:val="16"/>
              </w:rPr>
              <w:t>Vehicle capacity model, shaft throughput test, embarkation drill, manifest simulation.</w:t>
            </w:r>
          </w:p>
        </w:tc>
      </w:tr>
      <w:tr>
        <w:tc>
          <w:tcPr>
            <w:tcW w:type="dxa" w:w="2448"/>
            <w:tcMar>
              <w:top w:w="90" w:type="dxa"/>
              <w:start w:w="90" w:type="dxa"/>
              <w:bottom w:w="90" w:type="dxa"/>
              <w:end w:w="90" w:type="dxa"/>
            </w:tcMar>
            <w:vAlign w:val="top"/>
          </w:tcPr>
          <w:p>
            <w:pPr>
              <w:spacing w:after="0"/>
            </w:pPr>
            <w:r>
              <w:rPr>
                <w:rFonts w:ascii="Aptos" w:hAnsi="Aptos"/>
                <w:sz w:val="16"/>
              </w:rPr>
              <w:t>Power</w:t>
            </w:r>
          </w:p>
        </w:tc>
        <w:tc>
          <w:tcPr>
            <w:tcW w:type="dxa" w:w="5040"/>
            <w:tcMar>
              <w:top w:w="90" w:type="dxa"/>
              <w:start w:w="90" w:type="dxa"/>
              <w:bottom w:w="90" w:type="dxa"/>
              <w:end w:w="90" w:type="dxa"/>
            </w:tcMar>
            <w:vAlign w:val="top"/>
          </w:tcPr>
          <w:p>
            <w:pPr>
              <w:spacing w:after="0"/>
            </w:pPr>
            <w:r>
              <w:rPr>
                <w:rFonts w:ascii="Aptos" w:hAnsi="Aptos"/>
                <w:sz w:val="16"/>
              </w:rPr>
              <w:t>200 MWe initial dependable power, scalable to 300 MWe</w:t>
            </w:r>
          </w:p>
        </w:tc>
        <w:tc>
          <w:tcPr>
            <w:tcW w:type="dxa" w:w="4320"/>
            <w:tcMar>
              <w:top w:w="90" w:type="dxa"/>
              <w:start w:w="90" w:type="dxa"/>
              <w:bottom w:w="90" w:type="dxa"/>
              <w:end w:w="90" w:type="dxa"/>
            </w:tcMar>
            <w:vAlign w:val="top"/>
          </w:tcPr>
          <w:p>
            <w:pPr>
              <w:spacing w:after="0"/>
            </w:pPr>
            <w:r>
              <w:rPr>
                <w:rFonts w:ascii="Aptos" w:hAnsi="Aptos"/>
                <w:sz w:val="16"/>
              </w:rPr>
              <w:t>Generation test, HVDC ring test, black start demonstration.</w:t>
            </w:r>
          </w:p>
        </w:tc>
      </w:tr>
      <w:tr>
        <w:tc>
          <w:tcPr>
            <w:tcW w:type="dxa" w:w="2448"/>
            <w:tcMar>
              <w:top w:w="90" w:type="dxa"/>
              <w:start w:w="90" w:type="dxa"/>
              <w:bottom w:w="90" w:type="dxa"/>
              <w:end w:w="90" w:type="dxa"/>
            </w:tcMar>
            <w:vAlign w:val="top"/>
          </w:tcPr>
          <w:p>
            <w:pPr>
              <w:spacing w:after="0"/>
            </w:pPr>
            <w:r>
              <w:rPr>
                <w:rFonts w:ascii="Aptos" w:hAnsi="Aptos"/>
                <w:sz w:val="16"/>
              </w:rPr>
              <w:t>Water production</w:t>
            </w:r>
          </w:p>
        </w:tc>
        <w:tc>
          <w:tcPr>
            <w:tcW w:type="dxa" w:w="5040"/>
            <w:tcMar>
              <w:top w:w="90" w:type="dxa"/>
              <w:start w:w="90" w:type="dxa"/>
              <w:bottom w:w="90" w:type="dxa"/>
              <w:end w:w="90" w:type="dxa"/>
            </w:tcMar>
            <w:vAlign w:val="top"/>
          </w:tcPr>
          <w:p>
            <w:pPr>
              <w:spacing w:after="0"/>
            </w:pPr>
            <w:r>
              <w:rPr>
                <w:rFonts w:ascii="Aptos" w:hAnsi="Aptos"/>
                <w:sz w:val="16"/>
              </w:rPr>
              <w:t>250 metric tons per day design recovered raw water equivalent</w:t>
            </w:r>
          </w:p>
        </w:tc>
        <w:tc>
          <w:tcPr>
            <w:tcW w:type="dxa" w:w="4320"/>
            <w:tcMar>
              <w:top w:w="90" w:type="dxa"/>
              <w:start w:w="90" w:type="dxa"/>
              <w:bottom w:w="90" w:type="dxa"/>
              <w:end w:w="90" w:type="dxa"/>
            </w:tcMar>
            <w:vAlign w:val="top"/>
          </w:tcPr>
          <w:p>
            <w:pPr>
              <w:spacing w:after="0"/>
            </w:pPr>
            <w:r>
              <w:rPr>
                <w:rFonts w:ascii="Aptos" w:hAnsi="Aptos"/>
                <w:sz w:val="16"/>
              </w:rPr>
              <w:t>Extraction train commissioning, purification acceptance, production reporting.</w:t>
            </w:r>
          </w:p>
        </w:tc>
      </w:tr>
      <w:tr>
        <w:tc>
          <w:tcPr>
            <w:tcW w:type="dxa" w:w="2448"/>
            <w:tcMar>
              <w:top w:w="90" w:type="dxa"/>
              <w:start w:w="90" w:type="dxa"/>
              <w:bottom w:w="90" w:type="dxa"/>
              <w:end w:w="90" w:type="dxa"/>
            </w:tcMar>
            <w:vAlign w:val="top"/>
          </w:tcPr>
          <w:p>
            <w:pPr>
              <w:spacing w:after="0"/>
            </w:pPr>
            <w:r>
              <w:rPr>
                <w:rFonts w:ascii="Aptos" w:hAnsi="Aptos"/>
                <w:sz w:val="16"/>
              </w:rPr>
              <w:t>Oxygen production</w:t>
            </w:r>
          </w:p>
        </w:tc>
        <w:tc>
          <w:tcPr>
            <w:tcW w:type="dxa" w:w="5040"/>
            <w:tcMar>
              <w:top w:w="90" w:type="dxa"/>
              <w:start w:w="90" w:type="dxa"/>
              <w:bottom w:w="90" w:type="dxa"/>
              <w:end w:w="90" w:type="dxa"/>
            </w:tcMar>
            <w:vAlign w:val="top"/>
          </w:tcPr>
          <w:p>
            <w:pPr>
              <w:spacing w:after="0"/>
            </w:pPr>
            <w:r>
              <w:rPr>
                <w:rFonts w:ascii="Aptos" w:hAnsi="Aptos"/>
                <w:sz w:val="16"/>
              </w:rPr>
              <w:t>55 to 65 metric tons per day nominal total oxygen, 75 to 90 metric tons per day surge</w:t>
            </w:r>
          </w:p>
        </w:tc>
        <w:tc>
          <w:tcPr>
            <w:tcW w:type="dxa" w:w="4320"/>
            <w:tcMar>
              <w:top w:w="90" w:type="dxa"/>
              <w:start w:w="90" w:type="dxa"/>
              <w:bottom w:w="90" w:type="dxa"/>
              <w:end w:w="90" w:type="dxa"/>
            </w:tcMar>
            <w:vAlign w:val="top"/>
          </w:tcPr>
          <w:p>
            <w:pPr>
              <w:spacing w:after="0"/>
            </w:pPr>
            <w:r>
              <w:rPr>
                <w:rFonts w:ascii="Aptos" w:hAnsi="Aptos"/>
                <w:sz w:val="16"/>
              </w:rPr>
              <w:t>Electrolysis and regolith oxygen extraction metering.</w:t>
            </w:r>
          </w:p>
        </w:tc>
      </w:tr>
      <w:tr>
        <w:tc>
          <w:tcPr>
            <w:tcW w:type="dxa" w:w="2448"/>
            <w:tcMar>
              <w:top w:w="90" w:type="dxa"/>
              <w:start w:w="90" w:type="dxa"/>
              <w:bottom w:w="90" w:type="dxa"/>
              <w:end w:w="90" w:type="dxa"/>
            </w:tcMar>
            <w:vAlign w:val="top"/>
          </w:tcPr>
          <w:p>
            <w:pPr>
              <w:spacing w:after="0"/>
            </w:pPr>
            <w:r>
              <w:rPr>
                <w:rFonts w:ascii="Aptos" w:hAnsi="Aptos"/>
                <w:sz w:val="16"/>
              </w:rPr>
              <w:t>Emergency reserve</w:t>
            </w:r>
          </w:p>
        </w:tc>
        <w:tc>
          <w:tcPr>
            <w:tcW w:type="dxa" w:w="5040"/>
            <w:tcMar>
              <w:top w:w="90" w:type="dxa"/>
              <w:start w:w="90" w:type="dxa"/>
              <w:bottom w:w="90" w:type="dxa"/>
              <w:end w:w="90" w:type="dxa"/>
            </w:tcMar>
            <w:vAlign w:val="top"/>
          </w:tcPr>
          <w:p>
            <w:pPr>
              <w:spacing w:after="0"/>
            </w:pPr>
            <w:r>
              <w:rPr>
                <w:rFonts w:ascii="Aptos" w:hAnsi="Aptos"/>
                <w:sz w:val="16"/>
              </w:rPr>
              <w:t>Protected reserves distributed across R1 through R4 and protected bunkers</w:t>
            </w:r>
          </w:p>
        </w:tc>
        <w:tc>
          <w:tcPr>
            <w:tcW w:type="dxa" w:w="4320"/>
            <w:tcMar>
              <w:top w:w="90" w:type="dxa"/>
              <w:start w:w="90" w:type="dxa"/>
              <w:bottom w:w="90" w:type="dxa"/>
              <w:end w:w="90" w:type="dxa"/>
            </w:tcMar>
            <w:vAlign w:val="top"/>
          </w:tcPr>
          <w:p>
            <w:pPr>
              <w:spacing w:after="0"/>
            </w:pPr>
            <w:r>
              <w:rPr>
                <w:rFonts w:ascii="Aptos" w:hAnsi="Aptos"/>
                <w:sz w:val="16"/>
              </w:rPr>
              <w:t>Inventory management system, cluster isolation tests.</w:t>
            </w:r>
          </w:p>
        </w:tc>
      </w:tr>
      <w:tr>
        <w:tc>
          <w:tcPr>
            <w:tcW w:type="dxa" w:w="3360"/>
            <w:vAlign w:val="top"/>
          </w:tcPr>
          <w:p>
            <w:pPr>
              <w:spacing w:after="0"/>
              <w:jc w:val="left"/>
            </w:pPr>
            <w:r>
              <w:rPr>
                <w:rFonts w:ascii="Aptos" w:hAnsi="Aptos"/>
                <w:sz w:val="16"/>
              </w:rPr>
            </w:r>
            <w:r>
              <w:rPr>
                <w:rFonts w:ascii="Aptos" w:hAnsi="Aptos"/>
                <w:b w:val="0"/>
                <w:sz w:val="16"/>
              </w:rPr>
              <w:t>Surface spaceport</w:t>
            </w:r>
          </w:p>
        </w:tc>
        <w:tc>
          <w:tcPr>
            <w:tcW w:type="dxa" w:w="3360"/>
            <w:vAlign w:val="top"/>
          </w:tcPr>
          <w:p>
            <w:pPr>
              <w:spacing w:after="0"/>
              <w:jc w:val="left"/>
            </w:pPr>
            <w:r>
              <w:rPr>
                <w:rFonts w:ascii="Aptos" w:hAnsi="Aptos"/>
                <w:sz w:val="16"/>
              </w:rPr>
            </w:r>
            <w:r>
              <w:rPr>
                <w:rFonts w:ascii="Aptos" w:hAnsi="Aptos"/>
                <w:b w:val="0"/>
                <w:sz w:val="16"/>
              </w:rPr>
              <w:t>Dedicated spaceport district with heavy and medium pads, pressurized transfer, vehicle turnaround, cargo orbital interface, and traffic control.</w:t>
            </w:r>
          </w:p>
        </w:tc>
        <w:tc>
          <w:tcPr>
            <w:tcW w:type="dxa" w:w="3360"/>
            <w:vAlign w:val="top"/>
          </w:tcPr>
          <w:p>
            <w:pPr>
              <w:spacing w:after="0"/>
              <w:jc w:val="left"/>
            </w:pPr>
            <w:r>
              <w:rPr>
                <w:rFonts w:ascii="Aptos" w:hAnsi="Aptos"/>
                <w:sz w:val="16"/>
              </w:rPr>
            </w:r>
            <w:r>
              <w:rPr>
                <w:rFonts w:ascii="Aptos" w:hAnsi="Aptos"/>
                <w:b w:val="0"/>
                <w:sz w:val="16"/>
              </w:rPr>
              <w:t>Spaceport commissioning, pad tests, vehicle flow simulations, emergency access validation.</w:t>
            </w:r>
          </w:p>
        </w:tc>
      </w:tr>
      <w:tr>
        <w:tc>
          <w:tcPr>
            <w:tcW w:type="dxa" w:w="3360"/>
            <w:vAlign w:val="top"/>
          </w:tcPr>
          <w:p>
            <w:pPr>
              <w:spacing w:after="0"/>
              <w:jc w:val="left"/>
            </w:pPr>
            <w:r>
              <w:rPr>
                <w:rFonts w:ascii="Aptos" w:hAnsi="Aptos"/>
                <w:sz w:val="16"/>
              </w:rPr>
            </w:r>
            <w:r>
              <w:rPr>
                <w:rFonts w:ascii="Aptos" w:hAnsi="Aptos"/>
                <w:b w:val="0"/>
                <w:sz w:val="16"/>
              </w:rPr>
              <w:t>Hyperloop EM launch rail</w:t>
            </w:r>
          </w:p>
        </w:tc>
        <w:tc>
          <w:tcPr>
            <w:tcW w:type="dxa" w:w="3360"/>
            <w:vAlign w:val="top"/>
          </w:tcPr>
          <w:p>
            <w:pPr>
              <w:spacing w:after="0"/>
              <w:jc w:val="left"/>
            </w:pPr>
            <w:r>
              <w:rPr>
                <w:rFonts w:ascii="Aptos" w:hAnsi="Aptos"/>
                <w:sz w:val="16"/>
              </w:rPr>
            </w:r>
            <w:r>
              <w:rPr>
                <w:rFonts w:ascii="Aptos" w:hAnsi="Aptos"/>
                <w:b w:val="0"/>
                <w:sz w:val="16"/>
              </w:rPr>
              <w:t>Cargo first electromagnetic launch rail with reserved alignment, pulse power yard, loading terminal, sled maintenance, and launch hazard corridor.</w:t>
            </w:r>
          </w:p>
        </w:tc>
        <w:tc>
          <w:tcPr>
            <w:tcW w:type="dxa" w:w="3360"/>
            <w:vAlign w:val="top"/>
          </w:tcPr>
          <w:p>
            <w:pPr>
              <w:spacing w:after="0"/>
              <w:jc w:val="left"/>
            </w:pPr>
            <w:r>
              <w:rPr>
                <w:rFonts w:ascii="Aptos" w:hAnsi="Aptos"/>
                <w:sz w:val="16"/>
              </w:rPr>
            </w:r>
            <w:r>
              <w:rPr>
                <w:rFonts w:ascii="Aptos" w:hAnsi="Aptos"/>
                <w:b w:val="0"/>
                <w:sz w:val="16"/>
              </w:rPr>
              <w:t>Demonstration rail test, exclusion zone analysis, power and release tests, cargo launch certification.</w:t>
            </w:r>
          </w:p>
        </w:tc>
      </w:tr>
      <w:tr>
        <w:tc>
          <w:tcPr>
            <w:tcW w:type="dxa" w:w="3360"/>
            <w:vAlign w:val="top"/>
          </w:tcPr>
          <w:p>
            <w:pPr>
              <w:spacing w:after="0"/>
              <w:jc w:val="left"/>
            </w:pPr>
            <w:r>
              <w:rPr>
                <w:rFonts w:ascii="Aptos" w:hAnsi="Aptos"/>
                <w:sz w:val="16"/>
              </w:rPr>
            </w:r>
            <w:r>
              <w:rPr>
                <w:rFonts w:ascii="Aptos" w:hAnsi="Aptos"/>
                <w:b w:val="0"/>
                <w:sz w:val="16"/>
              </w:rPr>
              <w:t>Microwave power receiver</w:t>
            </w:r>
          </w:p>
        </w:tc>
        <w:tc>
          <w:tcPr>
            <w:tcW w:type="dxa" w:w="3360"/>
            <w:vAlign w:val="top"/>
          </w:tcPr>
          <w:p>
            <w:pPr>
              <w:spacing w:after="0"/>
              <w:jc w:val="left"/>
            </w:pPr>
            <w:r>
              <w:rPr>
                <w:rFonts w:ascii="Aptos" w:hAnsi="Aptos"/>
                <w:sz w:val="16"/>
              </w:rPr>
            </w:r>
            <w:r>
              <w:rPr>
                <w:rFonts w:ascii="Aptos" w:hAnsi="Aptos"/>
                <w:b w:val="0"/>
                <w:sz w:val="16"/>
              </w:rPr>
              <w:t>Surface rectenna and conditioning station connected to HVDC network with beam safety and automatic shutdown.</w:t>
            </w:r>
          </w:p>
        </w:tc>
        <w:tc>
          <w:tcPr>
            <w:tcW w:type="dxa" w:w="3360"/>
            <w:vAlign w:val="top"/>
          </w:tcPr>
          <w:p>
            <w:pPr>
              <w:spacing w:after="0"/>
              <w:jc w:val="left"/>
            </w:pPr>
            <w:r>
              <w:rPr>
                <w:rFonts w:ascii="Aptos" w:hAnsi="Aptos"/>
                <w:sz w:val="16"/>
              </w:rPr>
            </w:r>
            <w:r>
              <w:rPr>
                <w:rFonts w:ascii="Aptos" w:hAnsi="Aptos"/>
                <w:b w:val="0"/>
                <w:sz w:val="16"/>
              </w:rPr>
              <w:t>Beam alignment test, conversion efficiency test, exclusion zone verification, grid tie demonstration.</w:t>
            </w:r>
          </w:p>
        </w:tc>
      </w:tr>
      <w:tr>
        <w:tc>
          <w:tcPr>
            <w:tcW w:type="dxa" w:w="3360"/>
            <w:vAlign w:val="top"/>
          </w:tcPr>
          <w:p>
            <w:pPr>
              <w:spacing w:after="0"/>
              <w:jc w:val="left"/>
            </w:pPr>
            <w:r>
              <w:rPr>
                <w:rFonts w:ascii="Aptos" w:hAnsi="Aptos"/>
                <w:sz w:val="16"/>
              </w:rPr>
            </w:r>
            <w:r>
              <w:rPr>
                <w:rFonts w:ascii="Aptos" w:hAnsi="Aptos"/>
                <w:b w:val="0"/>
                <w:sz w:val="16"/>
              </w:rPr>
              <w:t>Surface solar farm</w:t>
            </w:r>
          </w:p>
        </w:tc>
        <w:tc>
          <w:tcPr>
            <w:tcW w:type="dxa" w:w="3360"/>
            <w:vAlign w:val="top"/>
          </w:tcPr>
          <w:p>
            <w:pPr>
              <w:spacing w:after="0"/>
              <w:jc w:val="left"/>
            </w:pPr>
            <w:r>
              <w:rPr>
                <w:rFonts w:ascii="Aptos" w:hAnsi="Aptos"/>
                <w:sz w:val="16"/>
              </w:rPr>
            </w:r>
            <w:r>
              <w:rPr>
                <w:rFonts w:ascii="Aptos" w:hAnsi="Aptos"/>
                <w:b w:val="0"/>
                <w:sz w:val="16"/>
              </w:rPr>
              <w:t>Polar ridge solar collection fields with local conversion, storage, and HVDC export interface.</w:t>
            </w:r>
          </w:p>
        </w:tc>
        <w:tc>
          <w:tcPr>
            <w:tcW w:type="dxa" w:w="3360"/>
            <w:vAlign w:val="top"/>
          </w:tcPr>
          <w:p>
            <w:pPr>
              <w:spacing w:after="0"/>
              <w:jc w:val="left"/>
            </w:pPr>
            <w:r>
              <w:rPr>
                <w:rFonts w:ascii="Aptos" w:hAnsi="Aptos"/>
                <w:sz w:val="16"/>
              </w:rPr>
            </w:r>
            <w:r>
              <w:rPr>
                <w:rFonts w:ascii="Aptos" w:hAnsi="Aptos"/>
                <w:b w:val="0"/>
                <w:sz w:val="16"/>
              </w:rPr>
              <w:t>Solar output testing, dust tolerance trials, grid stability and sectionalization tests.</w:t>
            </w:r>
          </w:p>
        </w:tc>
      </w:tr>
      <w:tr>
        <w:tc>
          <w:tcPr>
            <w:tcW w:type="dxa" w:w="3360"/>
            <w:vAlign w:val="top"/>
          </w:tcPr>
          <w:p>
            <w:pPr>
              <w:spacing w:after="0"/>
              <w:jc w:val="left"/>
            </w:pPr>
            <w:r>
              <w:rPr>
                <w:rFonts w:ascii="Aptos" w:hAnsi="Aptos"/>
                <w:sz w:val="16"/>
              </w:rPr>
            </w:r>
            <w:r>
              <w:rPr>
                <w:rFonts w:ascii="Aptos" w:hAnsi="Aptos"/>
                <w:b w:val="0"/>
                <w:sz w:val="16"/>
              </w:rPr>
              <w:t>Lunar seismic monitoring</w:t>
            </w:r>
          </w:p>
        </w:tc>
        <w:tc>
          <w:tcPr>
            <w:tcW w:type="dxa" w:w="3360"/>
            <w:vAlign w:val="top"/>
          </w:tcPr>
          <w:p>
            <w:pPr>
              <w:spacing w:after="0"/>
              <w:jc w:val="left"/>
            </w:pPr>
            <w:r>
              <w:rPr>
                <w:rFonts w:ascii="Aptos" w:hAnsi="Aptos"/>
                <w:sz w:val="16"/>
              </w:rPr>
            </w:r>
            <w:r>
              <w:rPr>
                <w:rFonts w:ascii="Aptos" w:hAnsi="Aptos"/>
                <w:b w:val="0"/>
                <w:sz w:val="16"/>
              </w:rPr>
              <w:t>Local and regional seismic network integrated with structural health monitoring for shafts, habitat, rail bed, pads, and power island.</w:t>
            </w:r>
          </w:p>
        </w:tc>
        <w:tc>
          <w:tcPr>
            <w:tcW w:type="dxa" w:w="3360"/>
            <w:vAlign w:val="top"/>
          </w:tcPr>
          <w:p>
            <w:pPr>
              <w:spacing w:after="0"/>
              <w:jc w:val="left"/>
            </w:pPr>
            <w:r>
              <w:rPr>
                <w:rFonts w:ascii="Aptos" w:hAnsi="Aptos"/>
                <w:sz w:val="16"/>
              </w:rPr>
            </w:r>
            <w:r>
              <w:rPr>
                <w:rFonts w:ascii="Aptos" w:hAnsi="Aptos"/>
                <w:b w:val="0"/>
                <w:sz w:val="16"/>
              </w:rPr>
              <w:t>Sensor calibration, moonquake response drills, structural trigger verification.</w:t>
            </w:r>
          </w:p>
        </w:tc>
      </w:tr>
      <w:tr>
        <w:tc>
          <w:tcPr>
            <w:tcW w:type="dxa" w:w="3360"/>
            <w:vAlign w:val="top"/>
          </w:tcPr>
          <w:p>
            <w:pPr>
              <w:spacing w:after="0"/>
              <w:jc w:val="left"/>
            </w:pPr>
            <w:r>
              <w:rPr>
                <w:rFonts w:ascii="Aptos" w:hAnsi="Aptos"/>
                <w:sz w:val="16"/>
              </w:rPr>
            </w:r>
            <w:r>
              <w:rPr>
                <w:rFonts w:ascii="Aptos" w:hAnsi="Aptos"/>
                <w:b w:val="0"/>
                <w:sz w:val="16"/>
              </w:rPr>
              <w:t>Separate mineral processing</w:t>
            </w:r>
          </w:p>
        </w:tc>
        <w:tc>
          <w:tcPr>
            <w:tcW w:type="dxa" w:w="3360"/>
            <w:vAlign w:val="top"/>
          </w:tcPr>
          <w:p>
            <w:pPr>
              <w:spacing w:after="0"/>
              <w:jc w:val="left"/>
            </w:pPr>
            <w:r>
              <w:rPr>
                <w:rFonts w:ascii="Aptos" w:hAnsi="Aptos"/>
                <w:sz w:val="16"/>
              </w:rPr>
            </w:r>
            <w:r>
              <w:rPr>
                <w:rFonts w:ascii="Aptos" w:hAnsi="Aptos"/>
                <w:b w:val="0"/>
                <w:sz w:val="16"/>
              </w:rPr>
              <w:t>Dedicated mineral beneficiation, oxide and salt processing, metals recovery, ceramic and glass feedstock production, and slag management district.</w:t>
            </w:r>
          </w:p>
        </w:tc>
        <w:tc>
          <w:tcPr>
            <w:tcW w:type="dxa" w:w="3360"/>
            <w:vAlign w:val="top"/>
          </w:tcPr>
          <w:p>
            <w:pPr>
              <w:spacing w:after="0"/>
              <w:jc w:val="left"/>
            </w:pPr>
            <w:r>
              <w:rPr>
                <w:rFonts w:ascii="Aptos" w:hAnsi="Aptos"/>
                <w:sz w:val="16"/>
              </w:rPr>
            </w:r>
            <w:r>
              <w:rPr>
                <w:rFonts w:ascii="Aptos" w:hAnsi="Aptos"/>
                <w:b w:val="0"/>
                <w:sz w:val="16"/>
              </w:rPr>
              <w:t>Process hazard review, dust isolation, utility separation, pilot line commissioning.</w:t>
            </w:r>
          </w:p>
        </w:tc>
      </w:tr>
    </w:tbl>
    <w:p>
      <w:pPr>
        <w:spacing w:after="120"/>
      </w:pPr>
    </w:p>
    <w:p>
      <w:pPr>
        <w:pStyle w:val="Heading1"/>
        <w:spacing w:before="200" w:after="120"/>
      </w:pPr>
      <w:r>
        <w:rPr>
          <w:rFonts w:ascii="Aptos" w:hAnsi="Aptos"/>
          <w:b/>
          <w:sz w:val="28"/>
        </w:rPr>
        <w:t>5. Lunar South Pole Site and Facility Layout</w:t>
      </w:r>
    </w:p>
    <w:p>
      <w:pPr>
        <w:pStyle w:val="Heading2"/>
        <w:spacing w:before="200" w:after="120"/>
      </w:pPr>
      <w:r>
        <w:rPr>
          <w:rFonts w:ascii="Aptos" w:hAnsi="Aptos"/>
          <w:b/>
          <w:sz w:val="24"/>
        </w:rPr>
        <w:t>5.1 Siting logic</w:t>
      </w:r>
    </w:p>
    <w:p>
      <w:pPr>
        <w:spacing w:after="120"/>
      </w:pPr>
      <w:r>
        <w:rPr>
          <w:rFonts w:ascii="Aptos" w:hAnsi="Aptos"/>
          <w:sz w:val="21"/>
        </w:rPr>
        <w:t>The preferred operating region is the Shackleton crater rim and adjacent south polar plateau. The region is prioritized because the south pole offers access to permanently shadowed volatile bearing terrain, elevated illumination opportunities on rims and ridges, and useful geometry for Earth communications and cislunar operations.</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b/>
                <w:color w:val="781C20"/>
                <w:sz w:val="16"/>
              </w:rPr>
              <w:t>Site screening criteria</w:t>
            </w:r>
          </w:p>
          <w:p>
            <w:pPr>
              <w:spacing w:after="0"/>
            </w:pPr>
            <w:r>
              <w:rPr>
                <w:rFonts w:ascii="Aptos" w:hAnsi="Aptos"/>
                <w:sz w:val="16"/>
              </w:rPr>
              <w:t>Access to sunlight or power relay corridors for surface systems.</w:t>
            </w:r>
          </w:p>
          <w:p>
            <w:pPr>
              <w:spacing w:after="0"/>
            </w:pPr>
            <w:r>
              <w:rPr>
                <w:rFonts w:ascii="Aptos" w:hAnsi="Aptos"/>
                <w:sz w:val="16"/>
              </w:rPr>
              <w:t>Short haul routes to volatile bearing permanently shadowed regions.</w:t>
            </w:r>
          </w:p>
          <w:p>
            <w:pPr>
              <w:spacing w:after="0"/>
            </w:pPr>
            <w:r>
              <w:rPr>
                <w:rFonts w:ascii="Aptos" w:hAnsi="Aptos"/>
                <w:sz w:val="16"/>
              </w:rPr>
              <w:t>Terrain slopes below 7 degrees for major heavy facilities where practical.</w:t>
            </w:r>
          </w:p>
          <w:p>
            <w:pPr>
              <w:spacing w:after="0"/>
            </w:pPr>
            <w:r>
              <w:rPr>
                <w:rFonts w:ascii="Aptos" w:hAnsi="Aptos"/>
                <w:sz w:val="16"/>
              </w:rPr>
              <w:t>Subsurface conditions that support shafts, galleries, and pressure shell installation.</w:t>
            </w:r>
          </w:p>
          <w:p>
            <w:pPr>
              <w:spacing w:after="0"/>
            </w:pPr>
            <w:r>
              <w:rPr>
                <w:rFonts w:ascii="Aptos" w:hAnsi="Aptos"/>
                <w:sz w:val="16"/>
              </w:rPr>
              <w:t>Physical separation between habitat, power island, landing district, and industrial yard.</w:t>
            </w:r>
          </w:p>
          <w:p>
            <w:pPr>
              <w:spacing w:after="0"/>
            </w:pPr>
            <w:r>
              <w:rPr>
                <w:rFonts w:ascii="Aptos" w:hAnsi="Aptos"/>
                <w:sz w:val="16"/>
              </w:rPr>
              <w:t>Redundant emergency routes to embarkation zones.</w:t>
            </w:r>
          </w:p>
        </w:tc>
        <w:trPr>
          <w:tblHeader/>
        </w:trPr>
      </w:tr>
    </w:tbl>
    <w:p>
      <w:pPr>
        <w:spacing w:after="120"/>
      </w:pPr>
    </w:p>
    <w:p>
      <w:pPr>
        <w:pStyle w:val="Heading2"/>
        <w:spacing w:before="200" w:after="120"/>
      </w:pPr>
      <w:r>
        <w:rPr>
          <w:rFonts w:ascii="Aptos" w:hAnsi="Aptos"/>
          <w:b/>
          <w:sz w:val="24"/>
        </w:rPr>
        <w:t>5.2 District plan</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864"/>
            <w:shd w:fill="D9EAF7"/>
            <w:tcMar>
              <w:top w:w="90" w:type="dxa"/>
              <w:start w:w="90" w:type="dxa"/>
              <w:bottom w:w="90" w:type="dxa"/>
              <w:end w:w="90" w:type="dxa"/>
            </w:tcMar>
            <w:vAlign w:val="top"/>
          </w:tcPr>
          <w:p>
            <w:pPr>
              <w:spacing w:after="0"/>
            </w:pPr>
            <w:r>
              <w:rPr>
                <w:rFonts w:ascii="Aptos" w:hAnsi="Aptos"/>
                <w:b/>
                <w:color w:val="FFFFFF"/>
                <w:sz w:val="16"/>
              </w:rPr>
              <w:t>District</w:t>
            </w:r>
          </w:p>
        </w:tc>
        <w:tc>
          <w:tcPr>
            <w:tcW w:type="dxa" w:w="2592"/>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Primary facilities</w:t>
            </w:r>
          </w:p>
        </w:tc>
        <w:tc>
          <w:tcPr>
            <w:tcW w:type="dxa" w:w="2160"/>
            <w:shd w:fill="D9EAF7"/>
            <w:tcMar>
              <w:top w:w="90" w:type="dxa"/>
              <w:start w:w="90" w:type="dxa"/>
              <w:bottom w:w="90" w:type="dxa"/>
              <w:end w:w="90" w:type="dxa"/>
            </w:tcMar>
            <w:vAlign w:val="top"/>
          </w:tcPr>
          <w:p>
            <w:pPr>
              <w:spacing w:after="0"/>
            </w:pPr>
            <w:r>
              <w:rPr>
                <w:rFonts w:ascii="Aptos" w:hAnsi="Aptos"/>
                <w:b/>
                <w:color w:val="FFFFFF"/>
                <w:sz w:val="16"/>
              </w:rPr>
              <w:t>Planning priority</w:t>
            </w:r>
          </w:p>
        </w:tc>
      </w:tr>
      <w:tr>
        <w:tc>
          <w:tcPr>
            <w:tcW w:type="dxa" w:w="864"/>
            <w:tcMar>
              <w:top w:w="90" w:type="dxa"/>
              <w:start w:w="90" w:type="dxa"/>
              <w:bottom w:w="90" w:type="dxa"/>
              <w:end w:w="90" w:type="dxa"/>
            </w:tcMar>
            <w:vAlign w:val="top"/>
          </w:tcPr>
          <w:p>
            <w:pPr>
              <w:spacing w:after="0"/>
            </w:pPr>
            <w:r>
              <w:rPr>
                <w:rFonts w:ascii="Aptos" w:hAnsi="Aptos"/>
                <w:sz w:val="16"/>
              </w:rPr>
              <w:t>A</w:t>
            </w:r>
          </w:p>
        </w:tc>
        <w:tc>
          <w:tcPr>
            <w:tcW w:type="dxa" w:w="2592"/>
            <w:tcMar>
              <w:top w:w="90" w:type="dxa"/>
              <w:start w:w="90" w:type="dxa"/>
              <w:bottom w:w="90" w:type="dxa"/>
              <w:end w:w="90" w:type="dxa"/>
            </w:tcMar>
            <w:vAlign w:val="top"/>
          </w:tcPr>
          <w:p>
            <w:pPr>
              <w:spacing w:after="0"/>
            </w:pPr>
            <w:r>
              <w:rPr>
                <w:rFonts w:ascii="Aptos" w:hAnsi="Aptos"/>
                <w:sz w:val="16"/>
              </w:rPr>
              <w:t>Surface industrial district</w:t>
            </w:r>
          </w:p>
        </w:tc>
        <w:tc>
          <w:tcPr>
            <w:tcW w:type="dxa" w:w="5760"/>
            <w:tcMar>
              <w:top w:w="90" w:type="dxa"/>
              <w:start w:w="90" w:type="dxa"/>
              <w:bottom w:w="90" w:type="dxa"/>
              <w:end w:w="90" w:type="dxa"/>
            </w:tcMar>
            <w:vAlign w:val="top"/>
          </w:tcPr>
          <w:p>
            <w:pPr>
              <w:spacing w:after="0"/>
            </w:pPr>
            <w:r>
              <w:rPr>
                <w:rFonts w:ascii="Aptos" w:hAnsi="Aptos"/>
                <w:sz w:val="16"/>
              </w:rPr>
              <w:t>Volatile extraction, water purification, electrolysis, gas handling, liquefaction, tank farm, regolith oxygen extraction, fabrication.</w:t>
            </w:r>
          </w:p>
        </w:tc>
        <w:tc>
          <w:tcPr>
            <w:tcW w:type="dxa" w:w="2160"/>
            <w:tcMar>
              <w:top w:w="90" w:type="dxa"/>
              <w:start w:w="90" w:type="dxa"/>
              <w:bottom w:w="90" w:type="dxa"/>
              <w:end w:w="90" w:type="dxa"/>
            </w:tcMar>
            <w:vAlign w:val="top"/>
          </w:tcPr>
          <w:p>
            <w:pPr>
              <w:spacing w:after="0"/>
            </w:pPr>
            <w:r>
              <w:rPr>
                <w:rFonts w:ascii="Aptos" w:hAnsi="Aptos"/>
                <w:sz w:val="16"/>
              </w:rPr>
              <w:t>Production and reserves.</w:t>
            </w:r>
          </w:p>
        </w:tc>
      </w:tr>
      <w:tr>
        <w:tc>
          <w:tcPr>
            <w:tcW w:type="dxa" w:w="864"/>
            <w:tcMar>
              <w:top w:w="90" w:type="dxa"/>
              <w:start w:w="90" w:type="dxa"/>
              <w:bottom w:w="90" w:type="dxa"/>
              <w:end w:w="90" w:type="dxa"/>
            </w:tcMar>
            <w:vAlign w:val="top"/>
          </w:tcPr>
          <w:p>
            <w:pPr>
              <w:spacing w:after="0"/>
            </w:pPr>
            <w:r>
              <w:rPr>
                <w:rFonts w:ascii="Aptos" w:hAnsi="Aptos"/>
                <w:sz w:val="16"/>
              </w:rPr>
              <w:t>B</w:t>
            </w:r>
          </w:p>
        </w:tc>
        <w:tc>
          <w:tcPr>
            <w:tcW w:type="dxa" w:w="2592"/>
            <w:tcMar>
              <w:top w:w="90" w:type="dxa"/>
              <w:start w:w="90" w:type="dxa"/>
              <w:bottom w:w="90" w:type="dxa"/>
              <w:end w:w="90" w:type="dxa"/>
            </w:tcMar>
            <w:vAlign w:val="top"/>
          </w:tcPr>
          <w:p>
            <w:pPr>
              <w:spacing w:after="0"/>
            </w:pPr>
            <w:r>
              <w:rPr>
                <w:rFonts w:ascii="Aptos" w:hAnsi="Aptos"/>
                <w:sz w:val="16"/>
              </w:rPr>
              <w:t>Subsurface habitat and command district</w:t>
            </w:r>
          </w:p>
        </w:tc>
        <w:tc>
          <w:tcPr>
            <w:tcW w:type="dxa" w:w="5760"/>
            <w:tcMar>
              <w:top w:w="90" w:type="dxa"/>
              <w:start w:w="90" w:type="dxa"/>
              <w:bottom w:w="90" w:type="dxa"/>
              <w:end w:w="90" w:type="dxa"/>
            </w:tcMar>
            <w:vAlign w:val="top"/>
          </w:tcPr>
          <w:p>
            <w:pPr>
              <w:spacing w:after="0"/>
            </w:pPr>
            <w:r>
              <w:rPr>
                <w:rFonts w:ascii="Aptos" w:hAnsi="Aptos"/>
                <w:sz w:val="16"/>
              </w:rPr>
              <w:t>Housing, command, medical, food, labs, utilities, refuge clusters, evacuation spines.</w:t>
            </w:r>
          </w:p>
        </w:tc>
        <w:tc>
          <w:tcPr>
            <w:tcW w:type="dxa" w:w="2160"/>
            <w:tcMar>
              <w:top w:w="90" w:type="dxa"/>
              <w:start w:w="90" w:type="dxa"/>
              <w:bottom w:w="90" w:type="dxa"/>
              <w:end w:w="90" w:type="dxa"/>
            </w:tcMar>
            <w:vAlign w:val="top"/>
          </w:tcPr>
          <w:p>
            <w:pPr>
              <w:spacing w:after="0"/>
            </w:pPr>
            <w:r>
              <w:rPr>
                <w:rFonts w:ascii="Aptos" w:hAnsi="Aptos"/>
                <w:sz w:val="16"/>
              </w:rPr>
              <w:t>Life safety and command.</w:t>
            </w:r>
          </w:p>
        </w:tc>
      </w:tr>
      <w:tr>
        <w:tc>
          <w:tcPr>
            <w:tcW w:type="dxa" w:w="864"/>
            <w:tcMar>
              <w:top w:w="90" w:type="dxa"/>
              <w:start w:w="90" w:type="dxa"/>
              <w:bottom w:w="90" w:type="dxa"/>
              <w:end w:w="90" w:type="dxa"/>
            </w:tcMar>
            <w:vAlign w:val="top"/>
          </w:tcPr>
          <w:p>
            <w:pPr>
              <w:spacing w:after="0"/>
            </w:pPr>
            <w:r>
              <w:rPr>
                <w:rFonts w:ascii="Aptos" w:hAnsi="Aptos"/>
                <w:sz w:val="16"/>
              </w:rPr>
              <w:t>C</w:t>
            </w:r>
          </w:p>
        </w:tc>
        <w:tc>
          <w:tcPr>
            <w:tcW w:type="dxa" w:w="2592"/>
            <w:tcMar>
              <w:top w:w="90" w:type="dxa"/>
              <w:start w:w="90" w:type="dxa"/>
              <w:bottom w:w="90" w:type="dxa"/>
              <w:end w:w="90" w:type="dxa"/>
            </w:tcMar>
            <w:vAlign w:val="top"/>
          </w:tcPr>
          <w:p>
            <w:pPr>
              <w:spacing w:after="0"/>
            </w:pPr>
            <w:r>
              <w:rPr>
                <w:rFonts w:ascii="Aptos" w:hAnsi="Aptos"/>
                <w:sz w:val="16"/>
              </w:rPr>
              <w:t>Power generation and thermal rejection district</w:t>
            </w:r>
          </w:p>
        </w:tc>
        <w:tc>
          <w:tcPr>
            <w:tcW w:type="dxa" w:w="5760"/>
            <w:tcMar>
              <w:top w:w="90" w:type="dxa"/>
              <w:start w:w="90" w:type="dxa"/>
              <w:bottom w:w="90" w:type="dxa"/>
              <w:end w:w="90" w:type="dxa"/>
            </w:tcMar>
            <w:vAlign w:val="top"/>
          </w:tcPr>
          <w:p>
            <w:pPr>
              <w:spacing w:after="0"/>
            </w:pPr>
            <w:r>
              <w:rPr>
                <w:rFonts w:ascii="Aptos" w:hAnsi="Aptos"/>
                <w:sz w:val="16"/>
              </w:rPr>
              <w:t>Reactor islands, HVDC conversion, switchyard, emergency power vaults, radiator fields.</w:t>
            </w:r>
          </w:p>
        </w:tc>
        <w:tc>
          <w:tcPr>
            <w:tcW w:type="dxa" w:w="2160"/>
            <w:tcMar>
              <w:top w:w="90" w:type="dxa"/>
              <w:start w:w="90" w:type="dxa"/>
              <w:bottom w:w="90" w:type="dxa"/>
              <w:end w:w="90" w:type="dxa"/>
            </w:tcMar>
            <w:vAlign w:val="top"/>
          </w:tcPr>
          <w:p>
            <w:pPr>
              <w:spacing w:after="0"/>
            </w:pPr>
            <w:r>
              <w:rPr>
                <w:rFonts w:ascii="Aptos" w:hAnsi="Aptos"/>
                <w:sz w:val="16"/>
              </w:rPr>
              <w:t>Dependable power.</w:t>
            </w:r>
          </w:p>
        </w:tc>
      </w:tr>
      <w:tr>
        <w:tc>
          <w:tcPr>
            <w:tcW w:type="dxa" w:w="864"/>
            <w:tcMar>
              <w:top w:w="90" w:type="dxa"/>
              <w:start w:w="90" w:type="dxa"/>
              <w:bottom w:w="90" w:type="dxa"/>
              <w:end w:w="90" w:type="dxa"/>
            </w:tcMar>
            <w:vAlign w:val="top"/>
          </w:tcPr>
          <w:p>
            <w:pPr>
              <w:spacing w:after="0"/>
            </w:pPr>
            <w:r>
              <w:rPr>
                <w:rFonts w:ascii="Aptos" w:hAnsi="Aptos"/>
                <w:sz w:val="16"/>
              </w:rPr>
              <w:t>D</w:t>
            </w:r>
          </w:p>
        </w:tc>
        <w:tc>
          <w:tcPr>
            <w:tcW w:type="dxa" w:w="2592"/>
            <w:tcMar>
              <w:top w:w="90" w:type="dxa"/>
              <w:start w:w="90" w:type="dxa"/>
              <w:bottom w:w="90" w:type="dxa"/>
              <w:end w:w="90" w:type="dxa"/>
            </w:tcMar>
            <w:vAlign w:val="top"/>
          </w:tcPr>
          <w:p>
            <w:pPr>
              <w:spacing w:after="0"/>
            </w:pPr>
            <w:r>
              <w:rPr>
                <w:rFonts w:ascii="Aptos" w:hAnsi="Aptos"/>
                <w:sz w:val="16"/>
              </w:rPr>
              <w:t>Landing, cargo, and export district</w:t>
            </w:r>
          </w:p>
        </w:tc>
        <w:tc>
          <w:tcPr>
            <w:tcW w:type="dxa" w:w="5760"/>
            <w:tcMar>
              <w:top w:w="90" w:type="dxa"/>
              <w:start w:w="90" w:type="dxa"/>
              <w:bottom w:w="90" w:type="dxa"/>
              <w:end w:w="90" w:type="dxa"/>
            </w:tcMar>
            <w:vAlign w:val="top"/>
          </w:tcPr>
          <w:p>
            <w:pPr>
              <w:spacing w:after="0"/>
            </w:pPr>
            <w:r>
              <w:rPr>
                <w:rFonts w:ascii="Aptos" w:hAnsi="Aptos"/>
                <w:sz w:val="16"/>
              </w:rPr>
              <w:t>Heavy pads, light pads, cargo aprons, warehouses, export loading, embarkation zones.</w:t>
            </w:r>
          </w:p>
        </w:tc>
        <w:tc>
          <w:tcPr>
            <w:tcW w:type="dxa" w:w="2160"/>
            <w:tcMar>
              <w:top w:w="90" w:type="dxa"/>
              <w:start w:w="90" w:type="dxa"/>
              <w:bottom w:w="90" w:type="dxa"/>
              <w:end w:w="90" w:type="dxa"/>
            </w:tcMar>
            <w:vAlign w:val="top"/>
          </w:tcPr>
          <w:p>
            <w:pPr>
              <w:spacing w:after="0"/>
            </w:pPr>
            <w:r>
              <w:rPr>
                <w:rFonts w:ascii="Aptos" w:hAnsi="Aptos"/>
                <w:sz w:val="16"/>
              </w:rPr>
              <w:t>Logistics and evacuation.</w:t>
            </w:r>
          </w:p>
        </w:tc>
      </w:tr>
      <w:tr>
        <w:tc>
          <w:tcPr>
            <w:tcW w:type="dxa" w:w="864"/>
            <w:tcMar>
              <w:top w:w="90" w:type="dxa"/>
              <w:start w:w="90" w:type="dxa"/>
              <w:bottom w:w="90" w:type="dxa"/>
              <w:end w:w="90" w:type="dxa"/>
            </w:tcMar>
            <w:vAlign w:val="top"/>
          </w:tcPr>
          <w:p>
            <w:pPr>
              <w:spacing w:after="0"/>
            </w:pPr>
            <w:r>
              <w:rPr>
                <w:rFonts w:ascii="Aptos" w:hAnsi="Aptos"/>
                <w:sz w:val="16"/>
              </w:rPr>
              <w:t>E</w:t>
            </w:r>
          </w:p>
        </w:tc>
        <w:tc>
          <w:tcPr>
            <w:tcW w:type="dxa" w:w="2592"/>
            <w:tcMar>
              <w:top w:w="90" w:type="dxa"/>
              <w:start w:w="90" w:type="dxa"/>
              <w:bottom w:w="90" w:type="dxa"/>
              <w:end w:w="90" w:type="dxa"/>
            </w:tcMar>
            <w:vAlign w:val="top"/>
          </w:tcPr>
          <w:p>
            <w:pPr>
              <w:spacing w:after="0"/>
            </w:pPr>
            <w:r>
              <w:rPr>
                <w:rFonts w:ascii="Aptos" w:hAnsi="Aptos"/>
                <w:sz w:val="16"/>
              </w:rPr>
              <w:t>Emergency transport and refuge support district</w:t>
            </w:r>
          </w:p>
        </w:tc>
        <w:tc>
          <w:tcPr>
            <w:tcW w:type="dxa" w:w="5760"/>
            <w:tcMar>
              <w:top w:w="90" w:type="dxa"/>
              <w:start w:w="90" w:type="dxa"/>
              <w:bottom w:w="90" w:type="dxa"/>
              <w:end w:w="90" w:type="dxa"/>
            </w:tcMar>
            <w:vAlign w:val="top"/>
          </w:tcPr>
          <w:p>
            <w:pPr>
              <w:spacing w:after="0"/>
            </w:pPr>
            <w:r>
              <w:rPr>
                <w:rFonts w:ascii="Aptos" w:hAnsi="Aptos"/>
                <w:sz w:val="16"/>
              </w:rPr>
              <w:t>Assembly halls, suit issue, manifest control, water and gas bunkers, emergency mobility depot, alternate command.</w:t>
            </w:r>
          </w:p>
        </w:tc>
        <w:tc>
          <w:tcPr>
            <w:tcW w:type="dxa" w:w="2160"/>
            <w:tcMar>
              <w:top w:w="90" w:type="dxa"/>
              <w:start w:w="90" w:type="dxa"/>
              <w:bottom w:w="90" w:type="dxa"/>
              <w:end w:w="90" w:type="dxa"/>
            </w:tcMar>
            <w:vAlign w:val="top"/>
          </w:tcPr>
          <w:p>
            <w:pPr>
              <w:spacing w:after="0"/>
            </w:pPr>
            <w:r>
              <w:rPr>
                <w:rFonts w:ascii="Aptos" w:hAnsi="Aptos"/>
                <w:sz w:val="16"/>
              </w:rPr>
              <w:t>Refuge and evacuation.</w:t>
            </w:r>
          </w:p>
        </w:tc>
      </w:tr>
      <w:tr>
        <w:tc>
          <w:tcPr>
            <w:tcW w:type="dxa" w:w="2520"/>
            <w:vAlign w:val="top"/>
          </w:tcPr>
          <w:p>
            <w:pPr>
              <w:spacing w:after="0"/>
              <w:jc w:val="left"/>
            </w:pPr>
            <w:r>
              <w:rPr>
                <w:rFonts w:ascii="Aptos" w:hAnsi="Aptos"/>
                <w:sz w:val="16"/>
              </w:rPr>
            </w:r>
            <w:r>
              <w:rPr>
                <w:rFonts w:ascii="Aptos" w:hAnsi="Aptos"/>
                <w:b w:val="0"/>
                <w:sz w:val="16"/>
              </w:rPr>
              <w:t>F</w:t>
            </w:r>
          </w:p>
        </w:tc>
        <w:tc>
          <w:tcPr>
            <w:tcW w:type="dxa" w:w="2520"/>
            <w:vAlign w:val="top"/>
          </w:tcPr>
          <w:p>
            <w:pPr>
              <w:spacing w:after="0"/>
              <w:jc w:val="left"/>
            </w:pPr>
            <w:r>
              <w:rPr>
                <w:rFonts w:ascii="Aptos" w:hAnsi="Aptos"/>
                <w:sz w:val="16"/>
              </w:rPr>
            </w:r>
            <w:r>
              <w:rPr>
                <w:rFonts w:ascii="Aptos" w:hAnsi="Aptos"/>
                <w:b w:val="0"/>
                <w:sz w:val="16"/>
              </w:rPr>
              <w:t>Surface spaceport and launch operations district</w:t>
            </w:r>
          </w:p>
        </w:tc>
        <w:tc>
          <w:tcPr>
            <w:tcW w:type="dxa" w:w="2520"/>
            <w:vAlign w:val="top"/>
          </w:tcPr>
          <w:p>
            <w:pPr>
              <w:spacing w:after="0"/>
              <w:jc w:val="left"/>
            </w:pPr>
            <w:r>
              <w:rPr>
                <w:rFonts w:ascii="Aptos" w:hAnsi="Aptos"/>
                <w:sz w:val="16"/>
              </w:rPr>
            </w:r>
            <w:r>
              <w:rPr>
                <w:rFonts w:ascii="Aptos" w:hAnsi="Aptos"/>
                <w:b w:val="0"/>
                <w:sz w:val="16"/>
              </w:rPr>
              <w:t>Heavy and medium pads, crew terminal, cargo orbital interface, turnaround hangars, launch operations center, hyperloop terminal interface.</w:t>
            </w:r>
          </w:p>
        </w:tc>
        <w:tc>
          <w:tcPr>
            <w:tcW w:type="dxa" w:w="2520"/>
            <w:vAlign w:val="top"/>
          </w:tcPr>
          <w:p>
            <w:pPr>
              <w:spacing w:after="0"/>
              <w:jc w:val="left"/>
            </w:pPr>
            <w:r>
              <w:rPr>
                <w:rFonts w:ascii="Aptos" w:hAnsi="Aptos"/>
                <w:sz w:val="16"/>
              </w:rPr>
            </w:r>
            <w:r>
              <w:rPr>
                <w:rFonts w:ascii="Aptos" w:hAnsi="Aptos"/>
                <w:b w:val="0"/>
                <w:sz w:val="16"/>
              </w:rPr>
              <w:t>Logistics throughput and emergency departure support.</w:t>
            </w:r>
          </w:p>
        </w:tc>
      </w:tr>
      <w:tr>
        <w:tc>
          <w:tcPr>
            <w:tcW w:type="dxa" w:w="2520"/>
            <w:vAlign w:val="top"/>
          </w:tcPr>
          <w:p>
            <w:pPr>
              <w:spacing w:after="0"/>
              <w:jc w:val="left"/>
            </w:pPr>
            <w:r>
              <w:rPr>
                <w:rFonts w:ascii="Aptos" w:hAnsi="Aptos"/>
                <w:sz w:val="16"/>
              </w:rPr>
            </w:r>
            <w:r>
              <w:rPr>
                <w:rFonts w:ascii="Aptos" w:hAnsi="Aptos"/>
                <w:b w:val="0"/>
                <w:sz w:val="16"/>
              </w:rPr>
              <w:t>G</w:t>
            </w:r>
          </w:p>
        </w:tc>
        <w:tc>
          <w:tcPr>
            <w:tcW w:type="dxa" w:w="2520"/>
            <w:vAlign w:val="top"/>
          </w:tcPr>
          <w:p>
            <w:pPr>
              <w:spacing w:after="0"/>
              <w:jc w:val="left"/>
            </w:pPr>
            <w:r>
              <w:rPr>
                <w:rFonts w:ascii="Aptos" w:hAnsi="Aptos"/>
                <w:sz w:val="16"/>
              </w:rPr>
            </w:r>
            <w:r>
              <w:rPr>
                <w:rFonts w:ascii="Aptos" w:hAnsi="Aptos"/>
                <w:b w:val="0"/>
                <w:sz w:val="16"/>
              </w:rPr>
              <w:t>Renewable and directed energy reception district</w:t>
            </w:r>
          </w:p>
        </w:tc>
        <w:tc>
          <w:tcPr>
            <w:tcW w:type="dxa" w:w="2520"/>
            <w:vAlign w:val="top"/>
          </w:tcPr>
          <w:p>
            <w:pPr>
              <w:spacing w:after="0"/>
              <w:jc w:val="left"/>
            </w:pPr>
            <w:r>
              <w:rPr>
                <w:rFonts w:ascii="Aptos" w:hAnsi="Aptos"/>
                <w:sz w:val="16"/>
              </w:rPr>
            </w:r>
            <w:r>
              <w:rPr>
                <w:rFonts w:ascii="Aptos" w:hAnsi="Aptos"/>
                <w:b w:val="0"/>
                <w:sz w:val="16"/>
              </w:rPr>
              <w:t>Surface solar farm, rectenna field, microwave power conditioning, storage, HVDC export interface.</w:t>
            </w:r>
          </w:p>
        </w:tc>
        <w:tc>
          <w:tcPr>
            <w:tcW w:type="dxa" w:w="2520"/>
            <w:vAlign w:val="top"/>
          </w:tcPr>
          <w:p>
            <w:pPr>
              <w:spacing w:after="0"/>
              <w:jc w:val="left"/>
            </w:pPr>
            <w:r>
              <w:rPr>
                <w:rFonts w:ascii="Aptos" w:hAnsi="Aptos"/>
                <w:sz w:val="16"/>
              </w:rPr>
            </w:r>
            <w:r>
              <w:rPr>
                <w:rFonts w:ascii="Aptos" w:hAnsi="Aptos"/>
                <w:b w:val="0"/>
                <w:sz w:val="16"/>
              </w:rPr>
              <w:t>Energy resilience and surge support.</w:t>
            </w:r>
          </w:p>
        </w:tc>
      </w:tr>
      <w:tr>
        <w:tc>
          <w:tcPr>
            <w:tcW w:type="dxa" w:w="2520"/>
            <w:vAlign w:val="top"/>
          </w:tcPr>
          <w:p>
            <w:pPr>
              <w:spacing w:after="0"/>
              <w:jc w:val="left"/>
            </w:pPr>
            <w:r>
              <w:rPr>
                <w:rFonts w:ascii="Aptos" w:hAnsi="Aptos"/>
                <w:sz w:val="16"/>
              </w:rPr>
            </w:r>
            <w:r>
              <w:rPr>
                <w:rFonts w:ascii="Aptos" w:hAnsi="Aptos"/>
                <w:b w:val="0"/>
                <w:sz w:val="16"/>
              </w:rPr>
              <w:t>H</w:t>
            </w:r>
          </w:p>
        </w:tc>
        <w:tc>
          <w:tcPr>
            <w:tcW w:type="dxa" w:w="2520"/>
            <w:vAlign w:val="top"/>
          </w:tcPr>
          <w:p>
            <w:pPr>
              <w:spacing w:after="0"/>
              <w:jc w:val="left"/>
            </w:pPr>
            <w:r>
              <w:rPr>
                <w:rFonts w:ascii="Aptos" w:hAnsi="Aptos"/>
                <w:sz w:val="16"/>
              </w:rPr>
            </w:r>
            <w:r>
              <w:rPr>
                <w:rFonts w:ascii="Aptos" w:hAnsi="Aptos"/>
                <w:b w:val="0"/>
                <w:sz w:val="16"/>
              </w:rPr>
              <w:t>Mineral processing and materials refining district</w:t>
            </w:r>
          </w:p>
        </w:tc>
        <w:tc>
          <w:tcPr>
            <w:tcW w:type="dxa" w:w="2520"/>
            <w:vAlign w:val="top"/>
          </w:tcPr>
          <w:p>
            <w:pPr>
              <w:spacing w:after="0"/>
              <w:jc w:val="left"/>
            </w:pPr>
            <w:r>
              <w:rPr>
                <w:rFonts w:ascii="Aptos" w:hAnsi="Aptos"/>
                <w:sz w:val="16"/>
              </w:rPr>
            </w:r>
            <w:r>
              <w:rPr>
                <w:rFonts w:ascii="Aptos" w:hAnsi="Aptos"/>
                <w:b w:val="0"/>
                <w:sz w:val="16"/>
              </w:rPr>
              <w:t>Raw mineral yard, beneficiation hall, oxide and salt processing, metals recovery, ceramic and glass feedstock production, slag management.</w:t>
            </w:r>
          </w:p>
        </w:tc>
        <w:tc>
          <w:tcPr>
            <w:tcW w:type="dxa" w:w="2520"/>
            <w:vAlign w:val="top"/>
          </w:tcPr>
          <w:p>
            <w:pPr>
              <w:spacing w:after="0"/>
              <w:jc w:val="left"/>
            </w:pPr>
            <w:r>
              <w:rPr>
                <w:rFonts w:ascii="Aptos" w:hAnsi="Aptos"/>
                <w:sz w:val="16"/>
              </w:rPr>
            </w:r>
            <w:r>
              <w:rPr>
                <w:rFonts w:ascii="Aptos" w:hAnsi="Aptos"/>
                <w:b w:val="0"/>
                <w:sz w:val="16"/>
              </w:rPr>
              <w:t>Industrial scale materials production.</w:t>
            </w:r>
          </w:p>
        </w:tc>
      </w:tr>
      <w:tr>
        <w:tc>
          <w:tcPr>
            <w:tcW w:type="dxa" w:w="2520"/>
            <w:vAlign w:val="top"/>
          </w:tcPr>
          <w:p>
            <w:pPr>
              <w:spacing w:after="0"/>
              <w:jc w:val="left"/>
            </w:pPr>
            <w:r>
              <w:rPr>
                <w:rFonts w:ascii="Aptos" w:hAnsi="Aptos"/>
                <w:sz w:val="16"/>
              </w:rPr>
            </w:r>
            <w:r>
              <w:rPr>
                <w:rFonts w:ascii="Aptos" w:hAnsi="Aptos"/>
                <w:b w:val="0"/>
                <w:sz w:val="16"/>
              </w:rPr>
              <w:t>I</w:t>
            </w:r>
          </w:p>
        </w:tc>
        <w:tc>
          <w:tcPr>
            <w:tcW w:type="dxa" w:w="2520"/>
            <w:vAlign w:val="top"/>
          </w:tcPr>
          <w:p>
            <w:pPr>
              <w:spacing w:after="0"/>
              <w:jc w:val="left"/>
            </w:pPr>
            <w:r>
              <w:rPr>
                <w:rFonts w:ascii="Aptos" w:hAnsi="Aptos"/>
                <w:sz w:val="16"/>
              </w:rPr>
            </w:r>
            <w:r>
              <w:rPr>
                <w:rFonts w:ascii="Aptos" w:hAnsi="Aptos"/>
                <w:b w:val="0"/>
                <w:sz w:val="16"/>
              </w:rPr>
              <w:t>Lunar geophysical and seismic monitoring network</w:t>
            </w:r>
          </w:p>
        </w:tc>
        <w:tc>
          <w:tcPr>
            <w:tcW w:type="dxa" w:w="2520"/>
            <w:vAlign w:val="top"/>
          </w:tcPr>
          <w:p>
            <w:pPr>
              <w:spacing w:after="0"/>
              <w:jc w:val="left"/>
            </w:pPr>
            <w:r>
              <w:rPr>
                <w:rFonts w:ascii="Aptos" w:hAnsi="Aptos"/>
                <w:sz w:val="16"/>
              </w:rPr>
            </w:r>
            <w:r>
              <w:rPr>
                <w:rFonts w:ascii="Aptos" w:hAnsi="Aptos"/>
                <w:b w:val="0"/>
                <w:sz w:val="16"/>
              </w:rPr>
              <w:t>Distributed seismometers, structural health sensors, rail and pad monitoring, geophysical data center.</w:t>
            </w:r>
          </w:p>
        </w:tc>
        <w:tc>
          <w:tcPr>
            <w:tcW w:type="dxa" w:w="2520"/>
            <w:vAlign w:val="top"/>
          </w:tcPr>
          <w:p>
            <w:pPr>
              <w:spacing w:after="0"/>
              <w:jc w:val="left"/>
            </w:pPr>
            <w:r>
              <w:rPr>
                <w:rFonts w:ascii="Aptos" w:hAnsi="Aptos"/>
                <w:sz w:val="16"/>
              </w:rPr>
            </w:r>
            <w:r>
              <w:rPr>
                <w:rFonts w:ascii="Aptos" w:hAnsi="Aptos"/>
                <w:b w:val="0"/>
                <w:sz w:val="16"/>
              </w:rPr>
              <w:t>Foundation safety, excavation assurance, and science value.</w:t>
            </w:r>
          </w:p>
        </w:tc>
      </w:tr>
      <w:tr>
        <w:tc>
          <w:tcPr>
            <w:tcW w:type="dxa" w:w="2520"/>
            <w:vAlign w:val="top"/>
          </w:tcPr>
          <w:p>
            <w:pPr>
              <w:spacing w:after="0"/>
            </w:pPr>
            <w:r>
              <w:rPr>
                <w:sz w:val="16"/>
              </w:rPr>
              <w:t>J</w:t>
            </w:r>
          </w:p>
        </w:tc>
        <w:tc>
          <w:tcPr>
            <w:tcW w:type="dxa" w:w="2520"/>
            <w:vAlign w:val="top"/>
          </w:tcPr>
          <w:p>
            <w:pPr>
              <w:spacing w:after="0"/>
            </w:pPr>
            <w:r>
              <w:rPr>
                <w:sz w:val="16"/>
              </w:rPr>
              <w:t>Lunar Biodiversity Vault</w:t>
            </w:r>
          </w:p>
        </w:tc>
        <w:tc>
          <w:tcPr>
            <w:tcW w:type="dxa" w:w="2520"/>
            <w:vAlign w:val="top"/>
          </w:tcPr>
          <w:p>
            <w:pPr>
              <w:spacing w:after="0"/>
            </w:pPr>
            <w:r>
              <w:rPr>
                <w:sz w:val="16"/>
              </w:rPr>
              <w:t>Underground cryogenic and passive cold archive, seed and genetic sample vaults, microbial and cell line archive, clean receiving lab, quarantine and chain of custody control.</w:t>
            </w:r>
          </w:p>
        </w:tc>
        <w:tc>
          <w:tcPr>
            <w:tcW w:type="dxa" w:w="2520"/>
            <w:vAlign w:val="top"/>
          </w:tcPr>
          <w:p>
            <w:pPr>
              <w:spacing w:after="0"/>
            </w:pPr>
            <w:r>
              <w:rPr>
                <w:sz w:val="16"/>
              </w:rPr>
              <w:t>Civilization resilience, science, and biological continuity.</w:t>
            </w:r>
          </w:p>
        </w:tc>
      </w:tr>
    </w:tbl>
    <w:p>
      <w:pPr>
        <w:spacing w:after="120"/>
      </w:pPr>
    </w:p>
    <w:p>
      <w:pPr>
        <w:pStyle w:val="Heading2"/>
        <w:spacing w:before="200" w:after="120"/>
      </w:pPr>
      <w:r>
        <w:rPr>
          <w:rFonts w:ascii="Aptos" w:hAnsi="Aptos"/>
          <w:b/>
          <w:sz w:val="24"/>
        </w:rPr>
        <w:t>5.3 Text facility layout</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b/>
                <w:color w:val="781C20"/>
                <w:sz w:val="16"/>
              </w:rPr>
              <w:t>Conceptual spatial layout</w:t>
            </w:r>
          </w:p>
          <w:p>
            <w:pPr>
              <w:spacing w:after="0"/>
            </w:pPr>
            <w:r>
              <w:rPr>
                <w:rFonts w:ascii="Aptos" w:hAnsi="Aptos"/>
                <w:sz w:val="16"/>
              </w:rPr>
              <w:t>Power district C sits at a standoff distance from the habitat and connects through two separate protected utility corridors.</w:t>
            </w:r>
          </w:p>
          <w:p>
            <w:pPr>
              <w:spacing w:after="0"/>
            </w:pPr>
            <w:r>
              <w:rPr>
                <w:rFonts w:ascii="Aptos" w:hAnsi="Aptos"/>
                <w:sz w:val="16"/>
              </w:rPr>
              <w:t>Subsurface district B is placed under regolith cover, with R1 through R4 distributed around two evacuation spines.</w:t>
            </w:r>
          </w:p>
          <w:p>
            <w:pPr>
              <w:spacing w:after="0"/>
            </w:pPr>
            <w:r>
              <w:rPr>
                <w:rFonts w:ascii="Aptos" w:hAnsi="Aptos"/>
                <w:sz w:val="16"/>
              </w:rPr>
              <w:t>Surface industrial district A is separated from crew access routes and tied to raw regolith haul routes and cryogenic tank storage.</w:t>
            </w:r>
          </w:p>
          <w:p>
            <w:pPr>
              <w:spacing w:after="0"/>
            </w:pPr>
            <w:r>
              <w:rPr>
                <w:rFonts w:ascii="Aptos" w:hAnsi="Aptos"/>
                <w:sz w:val="16"/>
              </w:rPr>
              <w:t>Landing and export district D contains normal cargo functions plus two physically separated evacuation embarkation zones.</w:t>
            </w:r>
          </w:p>
          <w:p>
            <w:pPr>
              <w:spacing w:after="0"/>
            </w:pPr>
            <w:r>
              <w:rPr>
                <w:rFonts w:ascii="Aptos" w:hAnsi="Aptos"/>
                <w:sz w:val="16"/>
              </w:rPr>
              <w:t>Emergency district E bridges protected underground movement to surface departure without forcing crew through industrial hazard zones.</w:t>
            </w:r>
          </w:p>
        </w:tc>
        <w:trPr>
          <w:tblHeader/>
        </w:trPr>
      </w:tr>
    </w:tbl>
    <w:p>
      <w:pPr>
        <w:spacing w:after="120"/>
      </w:pPr>
    </w:p>
    <w:p>
      <w:pPr>
        <w:spacing w:after="120"/>
      </w:pPr>
      <w:r>
        <w:rPr>
          <w:rFonts w:ascii="Aptos" w:hAnsi="Aptos"/>
        </w:rPr>
        <w:br w:type="page"/>
      </w:r>
    </w:p>
    <w:p>
      <w:pPr>
        <w:pStyle w:val="Heading1"/>
        <w:spacing w:before="200" w:after="120"/>
      </w:pPr>
      <w:r>
        <w:rPr>
          <w:rFonts w:ascii="Aptos" w:hAnsi="Aptos"/>
          <w:b/>
          <w:sz w:val="28"/>
        </w:rPr>
        <w:t>6. Subsurface Habitat and Surface Processing Plant</w:t>
      </w:r>
    </w:p>
    <w:p>
      <w:pPr>
        <w:pStyle w:val="Heading2"/>
        <w:spacing w:before="200" w:after="120"/>
      </w:pPr>
      <w:r>
        <w:rPr>
          <w:rFonts w:ascii="Aptos" w:hAnsi="Aptos"/>
          <w:b/>
          <w:sz w:val="24"/>
        </w:rPr>
        <w:t>6.1 Subsurface habitat architecture</w:t>
      </w:r>
    </w:p>
    <w:p>
      <w:pPr>
        <w:spacing w:after="120"/>
      </w:pPr>
      <w:r>
        <w:rPr>
          <w:rFonts w:ascii="Aptos" w:hAnsi="Aptos"/>
          <w:sz w:val="21"/>
        </w:rPr>
        <w:t>The underground habitat is the safety and command core. It uses a loop and spoke arrangement with a primary normal operations ring, a protected lower ring, and cross galleries. Critical zones are placed deeper and are separated by bulkheads and pressure zoning.</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592"/>
            <w:shd w:fill="D9EAF7"/>
            <w:tcMar>
              <w:top w:w="90" w:type="dxa"/>
              <w:start w:w="90" w:type="dxa"/>
              <w:bottom w:w="90" w:type="dxa"/>
              <w:end w:w="90" w:type="dxa"/>
            </w:tcMar>
            <w:vAlign w:val="top"/>
          </w:tcPr>
          <w:p>
            <w:pPr>
              <w:spacing w:after="0"/>
            </w:pPr>
            <w:r>
              <w:rPr>
                <w:rFonts w:ascii="Aptos" w:hAnsi="Aptos"/>
                <w:b/>
                <w:color w:val="FFFFFF"/>
                <w:sz w:val="16"/>
              </w:rPr>
              <w:t>Sector</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Concept area</w:t>
            </w:r>
          </w:p>
        </w:tc>
      </w:tr>
      <w:tr>
        <w:tc>
          <w:tcPr>
            <w:tcW w:type="dxa" w:w="2592"/>
            <w:tcMar>
              <w:top w:w="90" w:type="dxa"/>
              <w:start w:w="90" w:type="dxa"/>
              <w:bottom w:w="90" w:type="dxa"/>
              <w:end w:w="90" w:type="dxa"/>
            </w:tcMar>
            <w:vAlign w:val="top"/>
          </w:tcPr>
          <w:p>
            <w:pPr>
              <w:spacing w:after="0"/>
            </w:pPr>
            <w:r>
              <w:rPr>
                <w:rFonts w:ascii="Aptos" w:hAnsi="Aptos"/>
                <w:sz w:val="16"/>
              </w:rPr>
              <w:t>B1 Mission operations</w:t>
            </w:r>
          </w:p>
        </w:tc>
        <w:tc>
          <w:tcPr>
            <w:tcW w:type="dxa" w:w="5760"/>
            <w:tcMar>
              <w:top w:w="90" w:type="dxa"/>
              <w:start w:w="90" w:type="dxa"/>
              <w:bottom w:w="90" w:type="dxa"/>
              <w:end w:w="90" w:type="dxa"/>
            </w:tcMar>
            <w:vAlign w:val="top"/>
          </w:tcPr>
          <w:p>
            <w:pPr>
              <w:spacing w:after="0"/>
            </w:pPr>
            <w:r>
              <w:rPr>
                <w:rFonts w:ascii="Aptos" w:hAnsi="Aptos"/>
                <w:sz w:val="16"/>
              </w:rPr>
              <w:t>Primary control room, network operations, data center, secure planning</w:t>
            </w:r>
          </w:p>
        </w:tc>
        <w:tc>
          <w:tcPr>
            <w:tcW w:type="dxa" w:w="2880"/>
            <w:tcMar>
              <w:top w:w="90" w:type="dxa"/>
              <w:start w:w="90" w:type="dxa"/>
              <w:bottom w:w="90" w:type="dxa"/>
              <w:end w:w="90" w:type="dxa"/>
            </w:tcMar>
            <w:vAlign w:val="top"/>
          </w:tcPr>
          <w:p>
            <w:pPr>
              <w:spacing w:after="0"/>
            </w:pPr>
            <w:r>
              <w:rPr>
                <w:rFonts w:ascii="Aptos" w:hAnsi="Aptos"/>
                <w:sz w:val="16"/>
              </w:rPr>
              <w:t>4,000 to 7,000 square meters</w:t>
            </w:r>
          </w:p>
        </w:tc>
      </w:tr>
      <w:tr>
        <w:tc>
          <w:tcPr>
            <w:tcW w:type="dxa" w:w="2592"/>
            <w:tcMar>
              <w:top w:w="90" w:type="dxa"/>
              <w:start w:w="90" w:type="dxa"/>
              <w:bottom w:w="90" w:type="dxa"/>
              <w:end w:w="90" w:type="dxa"/>
            </w:tcMar>
            <w:vAlign w:val="top"/>
          </w:tcPr>
          <w:p>
            <w:pPr>
              <w:spacing w:after="0"/>
            </w:pPr>
            <w:r>
              <w:rPr>
                <w:rFonts w:ascii="Aptos" w:hAnsi="Aptos"/>
                <w:sz w:val="16"/>
              </w:rPr>
              <w:t>B2 and B3 Residential</w:t>
            </w:r>
          </w:p>
        </w:tc>
        <w:tc>
          <w:tcPr>
            <w:tcW w:type="dxa" w:w="5760"/>
            <w:tcMar>
              <w:top w:w="90" w:type="dxa"/>
              <w:start w:w="90" w:type="dxa"/>
              <w:bottom w:w="90" w:type="dxa"/>
              <w:end w:w="90" w:type="dxa"/>
            </w:tcMar>
            <w:vAlign w:val="top"/>
          </w:tcPr>
          <w:p>
            <w:pPr>
              <w:spacing w:after="0"/>
            </w:pPr>
            <w:r>
              <w:rPr>
                <w:rFonts w:ascii="Aptos" w:hAnsi="Aptos"/>
                <w:sz w:val="16"/>
              </w:rPr>
              <w:t>Crew cabins, hygiene, laundry, surge berthing, dayrooms</w:t>
            </w:r>
          </w:p>
        </w:tc>
        <w:tc>
          <w:tcPr>
            <w:tcW w:type="dxa" w:w="2880"/>
            <w:tcMar>
              <w:top w:w="90" w:type="dxa"/>
              <w:start w:w="90" w:type="dxa"/>
              <w:bottom w:w="90" w:type="dxa"/>
              <w:end w:w="90" w:type="dxa"/>
            </w:tcMar>
            <w:vAlign w:val="top"/>
          </w:tcPr>
          <w:p>
            <w:pPr>
              <w:spacing w:after="0"/>
            </w:pPr>
            <w:r>
              <w:rPr>
                <w:rFonts w:ascii="Aptos" w:hAnsi="Aptos"/>
                <w:sz w:val="16"/>
              </w:rPr>
              <w:t>28,000 to 40,000 square meters</w:t>
            </w:r>
          </w:p>
        </w:tc>
      </w:tr>
      <w:tr>
        <w:tc>
          <w:tcPr>
            <w:tcW w:type="dxa" w:w="2592"/>
            <w:tcMar>
              <w:top w:w="90" w:type="dxa"/>
              <w:start w:w="90" w:type="dxa"/>
              <w:bottom w:w="90" w:type="dxa"/>
              <w:end w:w="90" w:type="dxa"/>
            </w:tcMar>
            <w:vAlign w:val="top"/>
          </w:tcPr>
          <w:p>
            <w:pPr>
              <w:spacing w:after="0"/>
            </w:pPr>
            <w:r>
              <w:rPr>
                <w:rFonts w:ascii="Aptos" w:hAnsi="Aptos"/>
                <w:sz w:val="16"/>
              </w:rPr>
              <w:t>B4 Medical</w:t>
            </w:r>
          </w:p>
        </w:tc>
        <w:tc>
          <w:tcPr>
            <w:tcW w:type="dxa" w:w="5760"/>
            <w:tcMar>
              <w:top w:w="90" w:type="dxa"/>
              <w:start w:w="90" w:type="dxa"/>
              <w:bottom w:w="90" w:type="dxa"/>
              <w:end w:w="90" w:type="dxa"/>
            </w:tcMar>
            <w:vAlign w:val="top"/>
          </w:tcPr>
          <w:p>
            <w:pPr>
              <w:spacing w:after="0"/>
            </w:pPr>
            <w:r>
              <w:rPr>
                <w:rFonts w:ascii="Aptos" w:hAnsi="Aptos"/>
                <w:sz w:val="16"/>
              </w:rPr>
              <w:t>Emergency department, surgery, ICU, diagnostics, pharmacy, isolation</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B5 Food and galley</w:t>
            </w:r>
          </w:p>
        </w:tc>
        <w:tc>
          <w:tcPr>
            <w:tcW w:type="dxa" w:w="5760"/>
            <w:tcMar>
              <w:top w:w="90" w:type="dxa"/>
              <w:start w:w="90" w:type="dxa"/>
              <w:bottom w:w="90" w:type="dxa"/>
              <w:end w:w="90" w:type="dxa"/>
            </w:tcMar>
            <w:vAlign w:val="top"/>
          </w:tcPr>
          <w:p>
            <w:pPr>
              <w:spacing w:after="0"/>
            </w:pPr>
            <w:r>
              <w:rPr>
                <w:rFonts w:ascii="Aptos" w:hAnsi="Aptos"/>
                <w:sz w:val="16"/>
              </w:rPr>
              <w:t>Central galley, mess halls, dry and cold stores, emergency rations</w:t>
            </w:r>
          </w:p>
        </w:tc>
        <w:tc>
          <w:tcPr>
            <w:tcW w:type="dxa" w:w="2880"/>
            <w:tcMar>
              <w:top w:w="90" w:type="dxa"/>
              <w:start w:w="90" w:type="dxa"/>
              <w:bottom w:w="90" w:type="dxa"/>
              <w:end w:w="90" w:type="dxa"/>
            </w:tcMar>
            <w:vAlign w:val="top"/>
          </w:tcPr>
          <w:p>
            <w:pPr>
              <w:spacing w:after="0"/>
            </w:pPr>
            <w:r>
              <w:rPr>
                <w:rFonts w:ascii="Aptos" w:hAnsi="Aptos"/>
                <w:sz w:val="16"/>
              </w:rPr>
              <w:t>5,000 to 8,000 square meters</w:t>
            </w:r>
          </w:p>
        </w:tc>
      </w:tr>
      <w:tr>
        <w:tc>
          <w:tcPr>
            <w:tcW w:type="dxa" w:w="2592"/>
            <w:tcMar>
              <w:top w:w="90" w:type="dxa"/>
              <w:start w:w="90" w:type="dxa"/>
              <w:bottom w:w="90" w:type="dxa"/>
              <w:end w:w="90" w:type="dxa"/>
            </w:tcMar>
            <w:vAlign w:val="top"/>
          </w:tcPr>
          <w:p>
            <w:pPr>
              <w:spacing w:after="0"/>
            </w:pPr>
            <w:r>
              <w:rPr>
                <w:rFonts w:ascii="Aptos" w:hAnsi="Aptos"/>
                <w:sz w:val="16"/>
              </w:rPr>
              <w:t>B6 Food production</w:t>
            </w:r>
          </w:p>
        </w:tc>
        <w:tc>
          <w:tcPr>
            <w:tcW w:type="dxa" w:w="5760"/>
            <w:tcMar>
              <w:top w:w="90" w:type="dxa"/>
              <w:start w:w="90" w:type="dxa"/>
              <w:bottom w:w="90" w:type="dxa"/>
              <w:end w:w="90" w:type="dxa"/>
            </w:tcMar>
            <w:vAlign w:val="top"/>
          </w:tcPr>
          <w:p>
            <w:pPr>
              <w:spacing w:after="0"/>
            </w:pPr>
            <w:r>
              <w:rPr>
                <w:rFonts w:ascii="Aptos" w:hAnsi="Aptos"/>
                <w:sz w:val="16"/>
              </w:rPr>
              <w:t>Hydroponics, algae bioreactors, crop processing, nutrient support</w:t>
            </w:r>
          </w:p>
        </w:tc>
        <w:tc>
          <w:tcPr>
            <w:tcW w:type="dxa" w:w="2880"/>
            <w:tcMar>
              <w:top w:w="90" w:type="dxa"/>
              <w:start w:w="90" w:type="dxa"/>
              <w:bottom w:w="90" w:type="dxa"/>
              <w:end w:w="90" w:type="dxa"/>
            </w:tcMar>
            <w:vAlign w:val="top"/>
          </w:tcPr>
          <w:p>
            <w:pPr>
              <w:spacing w:after="0"/>
            </w:pPr>
            <w:r>
              <w:rPr>
                <w:rFonts w:ascii="Aptos" w:hAnsi="Aptos"/>
                <w:sz w:val="16"/>
              </w:rPr>
              <w:t>12,000 to 20,000 square meters</w:t>
            </w:r>
          </w:p>
        </w:tc>
      </w:tr>
      <w:tr>
        <w:tc>
          <w:tcPr>
            <w:tcW w:type="dxa" w:w="2592"/>
            <w:tcMar>
              <w:top w:w="90" w:type="dxa"/>
              <w:start w:w="90" w:type="dxa"/>
              <w:bottom w:w="90" w:type="dxa"/>
              <w:end w:w="90" w:type="dxa"/>
            </w:tcMar>
            <w:vAlign w:val="top"/>
          </w:tcPr>
          <w:p>
            <w:pPr>
              <w:spacing w:after="0"/>
            </w:pPr>
            <w:r>
              <w:rPr>
                <w:rFonts w:ascii="Aptos" w:hAnsi="Aptos"/>
                <w:sz w:val="16"/>
              </w:rPr>
              <w:t>B7 Labs and training</w:t>
            </w:r>
          </w:p>
        </w:tc>
        <w:tc>
          <w:tcPr>
            <w:tcW w:type="dxa" w:w="5760"/>
            <w:tcMar>
              <w:top w:w="90" w:type="dxa"/>
              <w:start w:w="90" w:type="dxa"/>
              <w:bottom w:w="90" w:type="dxa"/>
              <w:end w:w="90" w:type="dxa"/>
            </w:tcMar>
            <w:vAlign w:val="top"/>
          </w:tcPr>
          <w:p>
            <w:pPr>
              <w:spacing w:after="0"/>
            </w:pPr>
            <w:r>
              <w:rPr>
                <w:rFonts w:ascii="Aptos" w:hAnsi="Aptos"/>
                <w:sz w:val="16"/>
              </w:rPr>
              <w:t>Materials, geology, life sciences, simulation, classrooms</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B8 Common services</w:t>
            </w:r>
          </w:p>
        </w:tc>
        <w:tc>
          <w:tcPr>
            <w:tcW w:type="dxa" w:w="5760"/>
            <w:tcMar>
              <w:top w:w="90" w:type="dxa"/>
              <w:start w:w="90" w:type="dxa"/>
              <w:bottom w:w="90" w:type="dxa"/>
              <w:end w:w="90" w:type="dxa"/>
            </w:tcMar>
            <w:vAlign w:val="top"/>
          </w:tcPr>
          <w:p>
            <w:pPr>
              <w:spacing w:after="0"/>
            </w:pPr>
            <w:r>
              <w:rPr>
                <w:rFonts w:ascii="Aptos" w:hAnsi="Aptos"/>
                <w:sz w:val="16"/>
              </w:rPr>
              <w:t>Exercise, recreation, administration, morale spaces</w:t>
            </w:r>
          </w:p>
        </w:tc>
        <w:tc>
          <w:tcPr>
            <w:tcW w:type="dxa" w:w="2880"/>
            <w:tcMar>
              <w:top w:w="90" w:type="dxa"/>
              <w:start w:w="90" w:type="dxa"/>
              <w:bottom w:w="90" w:type="dxa"/>
              <w:end w:w="90" w:type="dxa"/>
            </w:tcMar>
            <w:vAlign w:val="top"/>
          </w:tcPr>
          <w:p>
            <w:pPr>
              <w:spacing w:after="0"/>
            </w:pPr>
            <w:r>
              <w:rPr>
                <w:rFonts w:ascii="Aptos" w:hAnsi="Aptos"/>
                <w:sz w:val="16"/>
              </w:rPr>
              <w:t>5,000 to 9,000 square meters</w:t>
            </w:r>
          </w:p>
        </w:tc>
      </w:tr>
      <w:tr>
        <w:tc>
          <w:tcPr>
            <w:tcW w:type="dxa" w:w="2592"/>
            <w:tcMar>
              <w:top w:w="90" w:type="dxa"/>
              <w:start w:w="90" w:type="dxa"/>
              <w:bottom w:w="90" w:type="dxa"/>
              <w:end w:w="90" w:type="dxa"/>
            </w:tcMar>
            <w:vAlign w:val="top"/>
          </w:tcPr>
          <w:p>
            <w:pPr>
              <w:spacing w:after="0"/>
            </w:pPr>
            <w:r>
              <w:rPr>
                <w:rFonts w:ascii="Aptos" w:hAnsi="Aptos"/>
                <w:sz w:val="16"/>
              </w:rPr>
              <w:t>B9 Utilities</w:t>
            </w:r>
          </w:p>
        </w:tc>
        <w:tc>
          <w:tcPr>
            <w:tcW w:type="dxa" w:w="5760"/>
            <w:tcMar>
              <w:top w:w="90" w:type="dxa"/>
              <w:start w:w="90" w:type="dxa"/>
              <w:bottom w:w="90" w:type="dxa"/>
              <w:end w:w="90" w:type="dxa"/>
            </w:tcMar>
            <w:vAlign w:val="top"/>
          </w:tcPr>
          <w:p>
            <w:pPr>
              <w:spacing w:after="0"/>
            </w:pPr>
            <w:r>
              <w:rPr>
                <w:rFonts w:ascii="Aptos" w:hAnsi="Aptos"/>
                <w:sz w:val="16"/>
              </w:rPr>
              <w:t>Service galleries, substations, water rooms, gas manifolds</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B10 Refuge and movement</w:t>
            </w:r>
          </w:p>
        </w:tc>
        <w:tc>
          <w:tcPr>
            <w:tcW w:type="dxa" w:w="5760"/>
            <w:tcMar>
              <w:top w:w="90" w:type="dxa"/>
              <w:start w:w="90" w:type="dxa"/>
              <w:bottom w:w="90" w:type="dxa"/>
              <w:end w:w="90" w:type="dxa"/>
            </w:tcMar>
            <w:vAlign w:val="top"/>
          </w:tcPr>
          <w:p>
            <w:pPr>
              <w:spacing w:after="0"/>
            </w:pPr>
            <w:r>
              <w:rPr>
                <w:rFonts w:ascii="Aptos" w:hAnsi="Aptos"/>
                <w:sz w:val="16"/>
              </w:rPr>
              <w:t>R1 through R4, Spine Alpha, Spine Bravo, shaft lobbies</w:t>
            </w:r>
          </w:p>
        </w:tc>
        <w:tc>
          <w:tcPr>
            <w:tcW w:type="dxa" w:w="2880"/>
            <w:tcMar>
              <w:top w:w="90" w:type="dxa"/>
              <w:start w:w="90" w:type="dxa"/>
              <w:bottom w:w="90" w:type="dxa"/>
              <w:end w:w="90" w:type="dxa"/>
            </w:tcMar>
            <w:vAlign w:val="top"/>
          </w:tcPr>
          <w:p>
            <w:pPr>
              <w:spacing w:after="0"/>
            </w:pPr>
            <w:r>
              <w:rPr>
                <w:rFonts w:ascii="Aptos" w:hAnsi="Aptos"/>
                <w:sz w:val="16"/>
              </w:rPr>
              <w:t>10,000 to 16,000 square meters</w:t>
            </w:r>
          </w:p>
        </w:tc>
      </w:tr>
    </w:tbl>
    <w:p>
      <w:pPr>
        <w:spacing w:after="120"/>
      </w:pPr>
    </w:p>
    <w:p>
      <w:pPr>
        <w:pStyle w:val="Heading2"/>
        <w:spacing w:before="200" w:after="120"/>
      </w:pPr>
      <w:r>
        <w:rPr>
          <w:rFonts w:ascii="Aptos" w:hAnsi="Aptos"/>
          <w:b/>
          <w:sz w:val="24"/>
        </w:rPr>
        <w:t>6.2 Surface processing plant</w:t>
      </w:r>
    </w:p>
    <w:p>
      <w:pPr>
        <w:spacing w:after="120"/>
      </w:pPr>
      <w:r>
        <w:rPr>
          <w:rFonts w:ascii="Aptos" w:hAnsi="Aptos"/>
          <w:sz w:val="21"/>
        </w:rPr>
        <w:t>The processing plant remains on the surface to support regolith intake, volatile extraction, heat rejection, dust handling, cargo interface, and cryogenic export. The plant is physically separated from routine crew access and from evacuation staging routes.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160"/>
            <w:shd w:fill="D9EAF7"/>
            <w:tcMar>
              <w:top w:w="90" w:type="dxa"/>
              <w:start w:w="90" w:type="dxa"/>
              <w:bottom w:w="90" w:type="dxa"/>
              <w:end w:w="90" w:type="dxa"/>
            </w:tcMar>
            <w:vAlign w:val="top"/>
          </w:tcPr>
          <w:p>
            <w:pPr>
              <w:spacing w:after="0"/>
            </w:pPr>
            <w:r>
              <w:rPr>
                <w:rFonts w:ascii="Aptos" w:hAnsi="Aptos"/>
                <w:b/>
                <w:color w:val="FFFFFF"/>
                <w:sz w:val="16"/>
              </w:rPr>
              <w:t>Sector</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5472"/>
            <w:shd w:fill="D9EAF7"/>
            <w:tcMar>
              <w:top w:w="90" w:type="dxa"/>
              <w:start w:w="90" w:type="dxa"/>
              <w:bottom w:w="90" w:type="dxa"/>
              <w:end w:w="90" w:type="dxa"/>
            </w:tcMar>
            <w:vAlign w:val="top"/>
          </w:tcPr>
          <w:p>
            <w:pPr>
              <w:spacing w:after="0"/>
            </w:pPr>
            <w:r>
              <w:rPr>
                <w:rFonts w:ascii="Aptos" w:hAnsi="Aptos"/>
                <w:b/>
                <w:color w:val="FFFFFF"/>
                <w:sz w:val="16"/>
              </w:rPr>
              <w:t>Key equipment</w:t>
            </w:r>
          </w:p>
        </w:tc>
      </w:tr>
      <w:tr>
        <w:tc>
          <w:tcPr>
            <w:tcW w:type="dxa" w:w="2160"/>
            <w:tcMar>
              <w:top w:w="90" w:type="dxa"/>
              <w:start w:w="90" w:type="dxa"/>
              <w:bottom w:w="90" w:type="dxa"/>
              <w:end w:w="90" w:type="dxa"/>
            </w:tcMar>
            <w:vAlign w:val="top"/>
          </w:tcPr>
          <w:p>
            <w:pPr>
              <w:spacing w:after="0"/>
            </w:pPr>
            <w:r>
              <w:rPr>
                <w:rFonts w:ascii="Aptos" w:hAnsi="Aptos"/>
                <w:sz w:val="16"/>
              </w:rPr>
              <w:t>A1 Intake</w:t>
            </w:r>
          </w:p>
        </w:tc>
        <w:tc>
          <w:tcPr>
            <w:tcW w:type="dxa" w:w="4320"/>
            <w:tcMar>
              <w:top w:w="90" w:type="dxa"/>
              <w:start w:w="90" w:type="dxa"/>
              <w:bottom w:w="90" w:type="dxa"/>
              <w:end w:w="90" w:type="dxa"/>
            </w:tcMar>
            <w:vAlign w:val="top"/>
          </w:tcPr>
          <w:p>
            <w:pPr>
              <w:spacing w:after="0"/>
            </w:pPr>
            <w:r>
              <w:rPr>
                <w:rFonts w:ascii="Aptos" w:hAnsi="Aptos"/>
                <w:sz w:val="16"/>
              </w:rPr>
              <w:t>Receive ice bearing regolith and raw regolith</w:t>
            </w:r>
          </w:p>
        </w:tc>
        <w:tc>
          <w:tcPr>
            <w:tcW w:type="dxa" w:w="5472"/>
            <w:tcMar>
              <w:top w:w="90" w:type="dxa"/>
              <w:start w:w="90" w:type="dxa"/>
              <w:bottom w:w="90" w:type="dxa"/>
              <w:end w:w="90" w:type="dxa"/>
            </w:tcMar>
            <w:vAlign w:val="top"/>
          </w:tcPr>
          <w:p>
            <w:pPr>
              <w:spacing w:after="0"/>
            </w:pPr>
            <w:r>
              <w:rPr>
                <w:rFonts w:ascii="Aptos" w:hAnsi="Aptos"/>
                <w:sz w:val="16"/>
              </w:rPr>
              <w:t>Dock locks, hoppers, bunker lines, sample lab, heavy service pad.</w:t>
            </w:r>
          </w:p>
        </w:tc>
      </w:tr>
      <w:tr>
        <w:tc>
          <w:tcPr>
            <w:tcW w:type="dxa" w:w="2160"/>
            <w:tcMar>
              <w:top w:w="90" w:type="dxa"/>
              <w:start w:w="90" w:type="dxa"/>
              <w:bottom w:w="90" w:type="dxa"/>
              <w:end w:w="90" w:type="dxa"/>
            </w:tcMar>
            <w:vAlign w:val="top"/>
          </w:tcPr>
          <w:p>
            <w:pPr>
              <w:spacing w:after="0"/>
            </w:pPr>
            <w:r>
              <w:rPr>
                <w:rFonts w:ascii="Aptos" w:hAnsi="Aptos"/>
                <w:sz w:val="16"/>
              </w:rPr>
              <w:t>A2 Volatile extraction</w:t>
            </w:r>
          </w:p>
        </w:tc>
        <w:tc>
          <w:tcPr>
            <w:tcW w:type="dxa" w:w="4320"/>
            <w:tcMar>
              <w:top w:w="90" w:type="dxa"/>
              <w:start w:w="90" w:type="dxa"/>
              <w:bottom w:w="90" w:type="dxa"/>
              <w:end w:w="90" w:type="dxa"/>
            </w:tcMar>
            <w:vAlign w:val="top"/>
          </w:tcPr>
          <w:p>
            <w:pPr>
              <w:spacing w:after="0"/>
            </w:pPr>
            <w:r>
              <w:rPr>
                <w:rFonts w:ascii="Aptos" w:hAnsi="Aptos"/>
                <w:sz w:val="16"/>
              </w:rPr>
              <w:t>Heat feedstock and capture water vapor</w:t>
            </w:r>
          </w:p>
        </w:tc>
        <w:tc>
          <w:tcPr>
            <w:tcW w:type="dxa" w:w="5472"/>
            <w:tcMar>
              <w:top w:w="90" w:type="dxa"/>
              <w:start w:w="90" w:type="dxa"/>
              <w:bottom w:w="90" w:type="dxa"/>
              <w:end w:w="90" w:type="dxa"/>
            </w:tcMar>
            <w:vAlign w:val="top"/>
          </w:tcPr>
          <w:p>
            <w:pPr>
              <w:spacing w:after="0"/>
            </w:pPr>
            <w:r>
              <w:rPr>
                <w:rFonts w:ascii="Aptos" w:hAnsi="Aptos"/>
                <w:sz w:val="16"/>
              </w:rPr>
              <w:t>Thermal extraction lines, vapor capture gallery, condensers, collection tanks.</w:t>
            </w:r>
          </w:p>
        </w:tc>
      </w:tr>
      <w:tr>
        <w:tc>
          <w:tcPr>
            <w:tcW w:type="dxa" w:w="2160"/>
            <w:tcMar>
              <w:top w:w="90" w:type="dxa"/>
              <w:start w:w="90" w:type="dxa"/>
              <w:bottom w:w="90" w:type="dxa"/>
              <w:end w:w="90" w:type="dxa"/>
            </w:tcMar>
            <w:vAlign w:val="top"/>
          </w:tcPr>
          <w:p>
            <w:pPr>
              <w:spacing w:after="0"/>
            </w:pPr>
            <w:r>
              <w:rPr>
                <w:rFonts w:ascii="Aptos" w:hAnsi="Aptos"/>
                <w:sz w:val="16"/>
              </w:rPr>
              <w:t>A3 Water purification</w:t>
            </w:r>
          </w:p>
        </w:tc>
        <w:tc>
          <w:tcPr>
            <w:tcW w:type="dxa" w:w="4320"/>
            <w:tcMar>
              <w:top w:w="90" w:type="dxa"/>
              <w:start w:w="90" w:type="dxa"/>
              <w:bottom w:w="90" w:type="dxa"/>
              <w:end w:w="90" w:type="dxa"/>
            </w:tcMar>
            <w:vAlign w:val="top"/>
          </w:tcPr>
          <w:p>
            <w:pPr>
              <w:spacing w:after="0"/>
            </w:pPr>
            <w:r>
              <w:rPr>
                <w:rFonts w:ascii="Aptos" w:hAnsi="Aptos"/>
                <w:sz w:val="16"/>
              </w:rPr>
              <w:t>Produce potable, process, and electrolysis feed water</w:t>
            </w:r>
          </w:p>
        </w:tc>
        <w:tc>
          <w:tcPr>
            <w:tcW w:type="dxa" w:w="5472"/>
            <w:tcMar>
              <w:top w:w="90" w:type="dxa"/>
              <w:start w:w="90" w:type="dxa"/>
              <w:bottom w:w="90" w:type="dxa"/>
              <w:end w:w="90" w:type="dxa"/>
            </w:tcMar>
            <w:vAlign w:val="top"/>
          </w:tcPr>
          <w:p>
            <w:pPr>
              <w:spacing w:after="0"/>
            </w:pPr>
            <w:r>
              <w:rPr>
                <w:rFonts w:ascii="Aptos" w:hAnsi="Aptos"/>
                <w:sz w:val="16"/>
              </w:rPr>
              <w:t>Filtration, membranes, ion exchange, sterilization, tank rooms.</w:t>
            </w:r>
          </w:p>
        </w:tc>
      </w:tr>
      <w:tr>
        <w:tc>
          <w:tcPr>
            <w:tcW w:type="dxa" w:w="2160"/>
            <w:tcMar>
              <w:top w:w="90" w:type="dxa"/>
              <w:start w:w="90" w:type="dxa"/>
              <w:bottom w:w="90" w:type="dxa"/>
              <w:end w:w="90" w:type="dxa"/>
            </w:tcMar>
            <w:vAlign w:val="top"/>
          </w:tcPr>
          <w:p>
            <w:pPr>
              <w:spacing w:after="0"/>
            </w:pPr>
            <w:r>
              <w:rPr>
                <w:rFonts w:ascii="Aptos" w:hAnsi="Aptos"/>
                <w:sz w:val="16"/>
              </w:rPr>
              <w:t>A4 Electrolysis and gas</w:t>
            </w:r>
          </w:p>
        </w:tc>
        <w:tc>
          <w:tcPr>
            <w:tcW w:type="dxa" w:w="4320"/>
            <w:tcMar>
              <w:top w:w="90" w:type="dxa"/>
              <w:start w:w="90" w:type="dxa"/>
              <w:bottom w:w="90" w:type="dxa"/>
              <w:end w:w="90" w:type="dxa"/>
            </w:tcMar>
            <w:vAlign w:val="top"/>
          </w:tcPr>
          <w:p>
            <w:pPr>
              <w:spacing w:after="0"/>
            </w:pPr>
            <w:r>
              <w:rPr>
                <w:rFonts w:ascii="Aptos" w:hAnsi="Aptos"/>
                <w:sz w:val="16"/>
              </w:rPr>
              <w:t>Produce hydrogen and oxygen</w:t>
            </w:r>
          </w:p>
        </w:tc>
        <w:tc>
          <w:tcPr>
            <w:tcW w:type="dxa" w:w="5472"/>
            <w:tcMar>
              <w:top w:w="90" w:type="dxa"/>
              <w:start w:w="90" w:type="dxa"/>
              <w:bottom w:w="90" w:type="dxa"/>
              <w:end w:w="90" w:type="dxa"/>
            </w:tcMar>
            <w:vAlign w:val="top"/>
          </w:tcPr>
          <w:p>
            <w:pPr>
              <w:spacing w:after="0"/>
            </w:pPr>
            <w:r>
              <w:rPr>
                <w:rFonts w:ascii="Aptos" w:hAnsi="Aptos"/>
                <w:sz w:val="16"/>
              </w:rPr>
              <w:t>Electrolyzers, compressors, oxygen and hydrogen manifolds, safety vent systems.</w:t>
            </w:r>
          </w:p>
        </w:tc>
      </w:tr>
      <w:tr>
        <w:tc>
          <w:tcPr>
            <w:tcW w:type="dxa" w:w="2160"/>
            <w:tcMar>
              <w:top w:w="90" w:type="dxa"/>
              <w:start w:w="90" w:type="dxa"/>
              <w:bottom w:w="90" w:type="dxa"/>
              <w:end w:w="90" w:type="dxa"/>
            </w:tcMar>
            <w:vAlign w:val="top"/>
          </w:tcPr>
          <w:p>
            <w:pPr>
              <w:spacing w:after="0"/>
            </w:pPr>
            <w:r>
              <w:rPr>
                <w:rFonts w:ascii="Aptos" w:hAnsi="Aptos"/>
                <w:sz w:val="16"/>
              </w:rPr>
              <w:t>A5 Cryogenic</w:t>
            </w:r>
          </w:p>
        </w:tc>
        <w:tc>
          <w:tcPr>
            <w:tcW w:type="dxa" w:w="4320"/>
            <w:tcMar>
              <w:top w:w="90" w:type="dxa"/>
              <w:start w:w="90" w:type="dxa"/>
              <w:bottom w:w="90" w:type="dxa"/>
              <w:end w:w="90" w:type="dxa"/>
            </w:tcMar>
            <w:vAlign w:val="top"/>
          </w:tcPr>
          <w:p>
            <w:pPr>
              <w:spacing w:after="0"/>
            </w:pPr>
            <w:r>
              <w:rPr>
                <w:rFonts w:ascii="Aptos" w:hAnsi="Aptos"/>
                <w:sz w:val="16"/>
              </w:rPr>
              <w:t>Liquefy, store, and load LOX and LH2</w:t>
            </w:r>
          </w:p>
        </w:tc>
        <w:tc>
          <w:tcPr>
            <w:tcW w:type="dxa" w:w="5472"/>
            <w:tcMar>
              <w:top w:w="90" w:type="dxa"/>
              <w:start w:w="90" w:type="dxa"/>
              <w:bottom w:w="90" w:type="dxa"/>
              <w:end w:w="90" w:type="dxa"/>
            </w:tcMar>
            <w:vAlign w:val="top"/>
          </w:tcPr>
          <w:p>
            <w:pPr>
              <w:spacing w:after="0"/>
            </w:pPr>
            <w:r>
              <w:rPr>
                <w:rFonts w:ascii="Aptos" w:hAnsi="Aptos"/>
                <w:sz w:val="16"/>
              </w:rPr>
              <w:t>Cold boxes, tank farm, boil off recovery, loading stands.</w:t>
            </w:r>
          </w:p>
        </w:tc>
      </w:tr>
      <w:tr>
        <w:tc>
          <w:tcPr>
            <w:tcW w:type="dxa" w:w="2160"/>
            <w:tcMar>
              <w:top w:w="90" w:type="dxa"/>
              <w:start w:w="90" w:type="dxa"/>
              <w:bottom w:w="90" w:type="dxa"/>
              <w:end w:w="90" w:type="dxa"/>
            </w:tcMar>
            <w:vAlign w:val="top"/>
          </w:tcPr>
          <w:p>
            <w:pPr>
              <w:spacing w:after="0"/>
            </w:pPr>
            <w:r>
              <w:rPr>
                <w:rFonts w:ascii="Aptos" w:hAnsi="Aptos"/>
                <w:sz w:val="16"/>
              </w:rPr>
              <w:t>A6 Regolith oxygen</w:t>
            </w:r>
          </w:p>
        </w:tc>
        <w:tc>
          <w:tcPr>
            <w:tcW w:type="dxa" w:w="4320"/>
            <w:tcMar>
              <w:top w:w="90" w:type="dxa"/>
              <w:start w:w="90" w:type="dxa"/>
              <w:bottom w:w="90" w:type="dxa"/>
              <w:end w:w="90" w:type="dxa"/>
            </w:tcMar>
            <w:vAlign w:val="top"/>
          </w:tcPr>
          <w:p>
            <w:pPr>
              <w:spacing w:after="0"/>
            </w:pPr>
            <w:r>
              <w:rPr>
                <w:rFonts w:ascii="Aptos" w:hAnsi="Aptos"/>
                <w:sz w:val="16"/>
              </w:rPr>
              <w:t>Beneficiation, oxygen extraction, construction products</w:t>
            </w:r>
          </w:p>
        </w:tc>
        <w:tc>
          <w:tcPr>
            <w:tcW w:type="dxa" w:w="5472"/>
            <w:tcMar>
              <w:top w:w="90" w:type="dxa"/>
              <w:start w:w="90" w:type="dxa"/>
              <w:bottom w:w="90" w:type="dxa"/>
              <w:end w:w="90" w:type="dxa"/>
            </w:tcMar>
            <w:vAlign w:val="top"/>
          </w:tcPr>
          <w:p>
            <w:pPr>
              <w:spacing w:after="0"/>
            </w:pPr>
            <w:r>
              <w:rPr>
                <w:rFonts w:ascii="Aptos" w:hAnsi="Aptos"/>
                <w:sz w:val="16"/>
              </w:rPr>
              <w:t>Crushers, screens, oxygen extraction modules, block production.</w:t>
            </w:r>
          </w:p>
        </w:tc>
      </w:tr>
      <w:tr>
        <w:tc>
          <w:tcPr>
            <w:tcW w:type="dxa" w:w="2160"/>
            <w:tcMar>
              <w:top w:w="90" w:type="dxa"/>
              <w:start w:w="90" w:type="dxa"/>
              <w:bottom w:w="90" w:type="dxa"/>
              <w:end w:w="90" w:type="dxa"/>
            </w:tcMar>
            <w:vAlign w:val="top"/>
          </w:tcPr>
          <w:p>
            <w:pPr>
              <w:spacing w:after="0"/>
            </w:pPr>
            <w:r>
              <w:rPr>
                <w:rFonts w:ascii="Aptos" w:hAnsi="Aptos"/>
                <w:sz w:val="16"/>
              </w:rPr>
              <w:t>A7 Maintenance</w:t>
            </w:r>
          </w:p>
        </w:tc>
        <w:tc>
          <w:tcPr>
            <w:tcW w:type="dxa" w:w="4320"/>
            <w:tcMar>
              <w:top w:w="90" w:type="dxa"/>
              <w:start w:w="90" w:type="dxa"/>
              <w:bottom w:w="90" w:type="dxa"/>
              <w:end w:w="90" w:type="dxa"/>
            </w:tcMar>
            <w:vAlign w:val="top"/>
          </w:tcPr>
          <w:p>
            <w:pPr>
              <w:spacing w:after="0"/>
            </w:pPr>
            <w:r>
              <w:rPr>
                <w:rFonts w:ascii="Aptos" w:hAnsi="Aptos"/>
                <w:sz w:val="16"/>
              </w:rPr>
              <w:t>Repair and fabricate site hardware</w:t>
            </w:r>
          </w:p>
        </w:tc>
        <w:tc>
          <w:tcPr>
            <w:tcW w:type="dxa" w:w="5472"/>
            <w:tcMar>
              <w:top w:w="90" w:type="dxa"/>
              <w:start w:w="90" w:type="dxa"/>
              <w:bottom w:w="90" w:type="dxa"/>
              <w:end w:w="90" w:type="dxa"/>
            </w:tcMar>
            <w:vAlign w:val="top"/>
          </w:tcPr>
          <w:p>
            <w:pPr>
              <w:spacing w:after="0"/>
            </w:pPr>
            <w:r>
              <w:rPr>
                <w:rFonts w:ascii="Aptos" w:hAnsi="Aptos"/>
                <w:sz w:val="16"/>
              </w:rPr>
              <w:t>Heavy bays, CNC tools, additive manufacturing, spare warehouse.</w:t>
            </w:r>
          </w:p>
        </w:tc>
      </w:tr>
      <w:tr>
        <w:tc>
          <w:tcPr>
            <w:tcW w:type="dxa" w:w="2160"/>
            <w:tcMar>
              <w:top w:w="90" w:type="dxa"/>
              <w:start w:w="90" w:type="dxa"/>
              <w:bottom w:w="90" w:type="dxa"/>
              <w:end w:w="90" w:type="dxa"/>
            </w:tcMar>
            <w:vAlign w:val="top"/>
          </w:tcPr>
          <w:p>
            <w:pPr>
              <w:spacing w:after="0"/>
            </w:pPr>
            <w:r>
              <w:rPr>
                <w:rFonts w:ascii="Aptos" w:hAnsi="Aptos"/>
                <w:sz w:val="16"/>
              </w:rPr>
              <w:t>A8 Industrial control</w:t>
            </w:r>
          </w:p>
        </w:tc>
        <w:tc>
          <w:tcPr>
            <w:tcW w:type="dxa" w:w="4320"/>
            <w:tcMar>
              <w:top w:w="90" w:type="dxa"/>
              <w:start w:w="90" w:type="dxa"/>
              <w:bottom w:w="90" w:type="dxa"/>
              <w:end w:w="90" w:type="dxa"/>
            </w:tcMar>
            <w:vAlign w:val="top"/>
          </w:tcPr>
          <w:p>
            <w:pPr>
              <w:spacing w:after="0"/>
            </w:pPr>
            <w:r>
              <w:rPr>
                <w:rFonts w:ascii="Aptos" w:hAnsi="Aptos"/>
                <w:sz w:val="16"/>
              </w:rPr>
              <w:t>Plant command and emergency response</w:t>
            </w:r>
          </w:p>
        </w:tc>
        <w:tc>
          <w:tcPr>
            <w:tcW w:type="dxa" w:w="5472"/>
            <w:tcMar>
              <w:top w:w="90" w:type="dxa"/>
              <w:start w:w="90" w:type="dxa"/>
              <w:bottom w:w="90" w:type="dxa"/>
              <w:end w:w="90" w:type="dxa"/>
            </w:tcMar>
            <w:vAlign w:val="top"/>
          </w:tcPr>
          <w:p>
            <w:pPr>
              <w:spacing w:after="0"/>
            </w:pPr>
            <w:r>
              <w:rPr>
                <w:rFonts w:ascii="Aptos" w:hAnsi="Aptos"/>
                <w:sz w:val="16"/>
              </w:rPr>
              <w:t>Control center, response garage, hazardous materials storage.</w:t>
            </w:r>
          </w:p>
        </w:tc>
      </w:tr>
    </w:tbl>
    <w:p>
      <w:pPr>
        <w:spacing w:after="120"/>
      </w:pPr>
    </w:p>
    <w:p>
      <w:pPr>
        <w:pStyle w:val="Heading2"/>
        <w:spacing w:before="200" w:after="120"/>
      </w:pPr>
      <w:r>
        <w:rPr>
          <w:rFonts w:ascii="Aptos" w:hAnsi="Aptos"/>
          <w:b/>
          <w:sz w:val="24"/>
        </w:rPr>
        <w:t>6.3 Area program</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760"/>
            <w:shd w:fill="D9EAF7"/>
            <w:tcMar>
              <w:top w:w="90" w:type="dxa"/>
              <w:start w:w="90" w:type="dxa"/>
              <w:bottom w:w="90" w:type="dxa"/>
              <w:end w:w="90" w:type="dxa"/>
            </w:tcMar>
            <w:vAlign w:val="top"/>
          </w:tcPr>
          <w:p>
            <w:pPr>
              <w:spacing w:after="0"/>
            </w:pPr>
            <w:r>
              <w:rPr>
                <w:rFonts w:ascii="Aptos" w:hAnsi="Aptos"/>
                <w:b/>
                <w:color w:val="FFFFFF"/>
                <w:sz w:val="16"/>
              </w:rPr>
              <w:t>Area category</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Concept size range</w:t>
            </w:r>
          </w:p>
        </w:tc>
      </w:tr>
      <w:tr>
        <w:tc>
          <w:tcPr>
            <w:tcW w:type="dxa" w:w="5760"/>
            <w:tcMar>
              <w:top w:w="90" w:type="dxa"/>
              <w:start w:w="90" w:type="dxa"/>
              <w:bottom w:w="90" w:type="dxa"/>
              <w:end w:w="90" w:type="dxa"/>
            </w:tcMar>
            <w:vAlign w:val="top"/>
          </w:tcPr>
          <w:p>
            <w:pPr>
              <w:spacing w:after="0"/>
            </w:pPr>
            <w:r>
              <w:rPr>
                <w:rFonts w:ascii="Aptos" w:hAnsi="Aptos"/>
                <w:sz w:val="16"/>
              </w:rPr>
              <w:t>Underground habitat and command complex</w:t>
            </w:r>
          </w:p>
        </w:tc>
        <w:tc>
          <w:tcPr>
            <w:tcW w:type="dxa" w:w="4320"/>
            <w:tcMar>
              <w:top w:w="90" w:type="dxa"/>
              <w:start w:w="90" w:type="dxa"/>
              <w:bottom w:w="90" w:type="dxa"/>
              <w:end w:w="90" w:type="dxa"/>
            </w:tcMar>
            <w:vAlign w:val="top"/>
          </w:tcPr>
          <w:p>
            <w:pPr>
              <w:spacing w:after="0"/>
            </w:pPr>
            <w:r>
              <w:rPr>
                <w:rFonts w:ascii="Aptos" w:hAnsi="Aptos"/>
                <w:sz w:val="16"/>
              </w:rPr>
              <w:t>85,000 to 120,000 square meters gross</w:t>
            </w:r>
          </w:p>
        </w:tc>
      </w:tr>
      <w:tr>
        <w:tc>
          <w:tcPr>
            <w:tcW w:type="dxa" w:w="5760"/>
            <w:tcMar>
              <w:top w:w="90" w:type="dxa"/>
              <w:start w:w="90" w:type="dxa"/>
              <w:bottom w:w="90" w:type="dxa"/>
              <w:end w:w="90" w:type="dxa"/>
            </w:tcMar>
            <w:vAlign w:val="top"/>
          </w:tcPr>
          <w:p>
            <w:pPr>
              <w:spacing w:after="0"/>
            </w:pPr>
            <w:r>
              <w:rPr>
                <w:rFonts w:ascii="Aptos" w:hAnsi="Aptos"/>
                <w:sz w:val="16"/>
              </w:rPr>
              <w:t>Protected refuge and emergency movement area</w:t>
            </w:r>
          </w:p>
        </w:tc>
        <w:tc>
          <w:tcPr>
            <w:tcW w:type="dxa" w:w="4320"/>
            <w:tcMar>
              <w:top w:w="90" w:type="dxa"/>
              <w:start w:w="90" w:type="dxa"/>
              <w:bottom w:w="90" w:type="dxa"/>
              <w:end w:w="90" w:type="dxa"/>
            </w:tcMar>
            <w:vAlign w:val="top"/>
          </w:tcPr>
          <w:p>
            <w:pPr>
              <w:spacing w:after="0"/>
            </w:pPr>
            <w:r>
              <w:rPr>
                <w:rFonts w:ascii="Aptos" w:hAnsi="Aptos"/>
                <w:sz w:val="16"/>
              </w:rPr>
              <w:t>10,000 to 16,000 square meters gross</w:t>
            </w:r>
          </w:p>
        </w:tc>
      </w:tr>
      <w:tr>
        <w:tc>
          <w:tcPr>
            <w:tcW w:type="dxa" w:w="5760"/>
            <w:tcMar>
              <w:top w:w="90" w:type="dxa"/>
              <w:start w:w="90" w:type="dxa"/>
              <w:bottom w:w="90" w:type="dxa"/>
              <w:end w:w="90" w:type="dxa"/>
            </w:tcMar>
            <w:vAlign w:val="top"/>
          </w:tcPr>
          <w:p>
            <w:pPr>
              <w:spacing w:after="0"/>
            </w:pPr>
            <w:r>
              <w:rPr>
                <w:rFonts w:ascii="Aptos" w:hAnsi="Aptos"/>
                <w:sz w:val="16"/>
              </w:rPr>
              <w:t>Surface industrial enclosed equivalent area</w:t>
            </w:r>
          </w:p>
        </w:tc>
        <w:tc>
          <w:tcPr>
            <w:tcW w:type="dxa" w:w="4320"/>
            <w:tcMar>
              <w:top w:w="90" w:type="dxa"/>
              <w:start w:w="90" w:type="dxa"/>
              <w:bottom w:w="90" w:type="dxa"/>
              <w:end w:w="90" w:type="dxa"/>
            </w:tcMar>
            <w:vAlign w:val="top"/>
          </w:tcPr>
          <w:p>
            <w:pPr>
              <w:spacing w:after="0"/>
            </w:pPr>
            <w:r>
              <w:rPr>
                <w:rFonts w:ascii="Aptos" w:hAnsi="Aptos"/>
                <w:sz w:val="16"/>
              </w:rPr>
              <w:t>45,000 to 70,000 square meters</w:t>
            </w:r>
          </w:p>
        </w:tc>
      </w:tr>
      <w:tr>
        <w:tc>
          <w:tcPr>
            <w:tcW w:type="dxa" w:w="5760"/>
            <w:tcMar>
              <w:top w:w="90" w:type="dxa"/>
              <w:start w:w="90" w:type="dxa"/>
              <w:bottom w:w="90" w:type="dxa"/>
              <w:end w:w="90" w:type="dxa"/>
            </w:tcMar>
            <w:vAlign w:val="top"/>
          </w:tcPr>
          <w:p>
            <w:pPr>
              <w:spacing w:after="0"/>
            </w:pPr>
            <w:r>
              <w:rPr>
                <w:rFonts w:ascii="Aptos" w:hAnsi="Aptos"/>
                <w:sz w:val="16"/>
              </w:rPr>
              <w:t>Landing, embarkation, and marshalling site area</w:t>
            </w:r>
          </w:p>
        </w:tc>
        <w:tc>
          <w:tcPr>
            <w:tcW w:type="dxa" w:w="4320"/>
            <w:tcMar>
              <w:top w:w="90" w:type="dxa"/>
              <w:start w:w="90" w:type="dxa"/>
              <w:bottom w:w="90" w:type="dxa"/>
              <w:end w:w="90" w:type="dxa"/>
            </w:tcMar>
            <w:vAlign w:val="top"/>
          </w:tcPr>
          <w:p>
            <w:pPr>
              <w:spacing w:after="0"/>
            </w:pPr>
            <w:r>
              <w:rPr>
                <w:rFonts w:ascii="Aptos" w:hAnsi="Aptos"/>
                <w:sz w:val="16"/>
              </w:rPr>
              <w:t>700,000 to 1,100,000 square meters</w:t>
            </w:r>
          </w:p>
        </w:tc>
      </w:tr>
      <w:tr>
        <w:tc>
          <w:tcPr>
            <w:tcW w:type="dxa" w:w="5760"/>
            <w:tcMar>
              <w:top w:w="90" w:type="dxa"/>
              <w:start w:w="90" w:type="dxa"/>
              <w:bottom w:w="90" w:type="dxa"/>
              <w:end w:w="90" w:type="dxa"/>
            </w:tcMar>
            <w:vAlign w:val="top"/>
          </w:tcPr>
          <w:p>
            <w:pPr>
              <w:spacing w:after="0"/>
            </w:pPr>
            <w:r>
              <w:rPr>
                <w:rFonts w:ascii="Aptos" w:hAnsi="Aptos"/>
                <w:sz w:val="16"/>
              </w:rPr>
              <w:t>Power district site area including radiators and standoff</w:t>
            </w:r>
          </w:p>
        </w:tc>
        <w:tc>
          <w:tcPr>
            <w:tcW w:type="dxa" w:w="4320"/>
            <w:tcMar>
              <w:top w:w="90" w:type="dxa"/>
              <w:start w:w="90" w:type="dxa"/>
              <w:bottom w:w="90" w:type="dxa"/>
              <w:end w:w="90" w:type="dxa"/>
            </w:tcMar>
            <w:vAlign w:val="top"/>
          </w:tcPr>
          <w:p>
            <w:pPr>
              <w:spacing w:after="0"/>
            </w:pPr>
            <w:r>
              <w:rPr>
                <w:rFonts w:ascii="Aptos" w:hAnsi="Aptos"/>
                <w:sz w:val="16"/>
              </w:rPr>
              <w:t>350,000 to 600,000 square meters</w:t>
            </w:r>
          </w:p>
        </w:tc>
      </w:tr>
      <w:tr>
        <w:tc>
          <w:tcPr>
            <w:tcW w:type="dxa" w:w="5040"/>
            <w:vAlign w:val="top"/>
          </w:tcPr>
          <w:p>
            <w:pPr>
              <w:spacing w:after="0"/>
              <w:jc w:val="left"/>
            </w:pPr>
            <w:r>
              <w:rPr>
                <w:rFonts w:ascii="Aptos" w:hAnsi="Aptos"/>
                <w:sz w:val="16"/>
              </w:rPr>
            </w:r>
            <w:r>
              <w:rPr>
                <w:rFonts w:ascii="Aptos" w:hAnsi="Aptos"/>
                <w:b w:val="0"/>
                <w:sz w:val="16"/>
              </w:rPr>
              <w:t>Surface spaceport and launch operations district</w:t>
            </w:r>
          </w:p>
        </w:tc>
        <w:tc>
          <w:tcPr>
            <w:tcW w:type="dxa" w:w="5040"/>
            <w:vAlign w:val="top"/>
          </w:tcPr>
          <w:p>
            <w:pPr>
              <w:spacing w:after="0"/>
              <w:jc w:val="left"/>
            </w:pPr>
            <w:r>
              <w:rPr>
                <w:rFonts w:ascii="Aptos" w:hAnsi="Aptos"/>
                <w:sz w:val="16"/>
              </w:rPr>
            </w:r>
            <w:r>
              <w:rPr>
                <w:rFonts w:ascii="Aptos" w:hAnsi="Aptos"/>
                <w:b w:val="0"/>
                <w:sz w:val="16"/>
              </w:rPr>
              <w:t>500,000 to 900,000 square meters site area, depending on pad count and hazard corridors</w:t>
            </w:r>
          </w:p>
        </w:tc>
      </w:tr>
      <w:tr>
        <w:tc>
          <w:tcPr>
            <w:tcW w:type="dxa" w:w="5040"/>
            <w:vAlign w:val="top"/>
          </w:tcPr>
          <w:p>
            <w:pPr>
              <w:spacing w:after="0"/>
              <w:jc w:val="left"/>
            </w:pPr>
            <w:r>
              <w:rPr>
                <w:rFonts w:ascii="Aptos" w:hAnsi="Aptos"/>
                <w:sz w:val="16"/>
              </w:rPr>
            </w:r>
            <w:r>
              <w:rPr>
                <w:rFonts w:ascii="Aptos" w:hAnsi="Aptos"/>
                <w:b w:val="0"/>
                <w:sz w:val="16"/>
              </w:rPr>
              <w:t>Hyperloop EM launch rail alignment corridor</w:t>
            </w:r>
          </w:p>
        </w:tc>
        <w:tc>
          <w:tcPr>
            <w:tcW w:type="dxa" w:w="5040"/>
            <w:vAlign w:val="top"/>
          </w:tcPr>
          <w:p>
            <w:pPr>
              <w:spacing w:after="0"/>
              <w:jc w:val="left"/>
            </w:pPr>
            <w:r>
              <w:rPr>
                <w:rFonts w:ascii="Aptos" w:hAnsi="Aptos"/>
                <w:sz w:val="16"/>
              </w:rPr>
            </w:r>
            <w:r>
              <w:rPr>
                <w:rFonts w:ascii="Aptos" w:hAnsi="Aptos"/>
                <w:b w:val="0"/>
                <w:sz w:val="16"/>
              </w:rPr>
              <w:t>Reserved long corridor with loading terminal, pulse power yard, sled maintenance, exclusion zone, and terminal release sector</w:t>
            </w:r>
          </w:p>
        </w:tc>
      </w:tr>
      <w:tr>
        <w:tc>
          <w:tcPr>
            <w:tcW w:type="dxa" w:w="5040"/>
            <w:vAlign w:val="top"/>
          </w:tcPr>
          <w:p>
            <w:pPr>
              <w:spacing w:after="0"/>
              <w:jc w:val="left"/>
            </w:pPr>
            <w:r>
              <w:rPr>
                <w:rFonts w:ascii="Aptos" w:hAnsi="Aptos"/>
                <w:sz w:val="16"/>
              </w:rPr>
            </w:r>
            <w:r>
              <w:rPr>
                <w:rFonts w:ascii="Aptos" w:hAnsi="Aptos"/>
                <w:b w:val="0"/>
                <w:sz w:val="16"/>
              </w:rPr>
              <w:t>Renewable and microwave power district</w:t>
            </w:r>
          </w:p>
        </w:tc>
        <w:tc>
          <w:tcPr>
            <w:tcW w:type="dxa" w:w="5040"/>
            <w:vAlign w:val="top"/>
          </w:tcPr>
          <w:p>
            <w:pPr>
              <w:spacing w:after="0"/>
              <w:jc w:val="left"/>
            </w:pPr>
            <w:r>
              <w:rPr>
                <w:rFonts w:ascii="Aptos" w:hAnsi="Aptos"/>
                <w:sz w:val="16"/>
              </w:rPr>
            </w:r>
            <w:r>
              <w:rPr>
                <w:rFonts w:ascii="Aptos" w:hAnsi="Aptos"/>
                <w:b w:val="0"/>
                <w:sz w:val="16"/>
              </w:rPr>
              <w:t>300,000 to 700,000 square meters initial field area, expandable by ridge and line of sight opportunities</w:t>
            </w:r>
          </w:p>
        </w:tc>
      </w:tr>
      <w:tr>
        <w:tc>
          <w:tcPr>
            <w:tcW w:type="dxa" w:w="5040"/>
            <w:vAlign w:val="top"/>
          </w:tcPr>
          <w:p>
            <w:pPr>
              <w:spacing w:after="0"/>
              <w:jc w:val="left"/>
            </w:pPr>
            <w:r>
              <w:rPr>
                <w:rFonts w:ascii="Aptos" w:hAnsi="Aptos"/>
                <w:sz w:val="16"/>
              </w:rPr>
            </w:r>
            <w:r>
              <w:rPr>
                <w:rFonts w:ascii="Aptos" w:hAnsi="Aptos"/>
                <w:b w:val="0"/>
                <w:sz w:val="16"/>
              </w:rPr>
              <w:t>Separate mineral processing district</w:t>
            </w:r>
          </w:p>
        </w:tc>
        <w:tc>
          <w:tcPr>
            <w:tcW w:type="dxa" w:w="5040"/>
            <w:vAlign w:val="top"/>
          </w:tcPr>
          <w:p>
            <w:pPr>
              <w:spacing w:after="0"/>
              <w:jc w:val="left"/>
            </w:pPr>
            <w:r>
              <w:rPr>
                <w:rFonts w:ascii="Aptos" w:hAnsi="Aptos"/>
                <w:sz w:val="16"/>
              </w:rPr>
            </w:r>
            <w:r>
              <w:rPr>
                <w:rFonts w:ascii="Aptos" w:hAnsi="Aptos"/>
                <w:b w:val="0"/>
                <w:sz w:val="16"/>
              </w:rPr>
              <w:t>60,000 to 110,000 square meters enclosed equivalent plus hazardous yards and slag management area</w:t>
            </w:r>
          </w:p>
        </w:tc>
      </w:tr>
      <w:tr>
        <w:tc>
          <w:tcPr>
            <w:tcW w:type="dxa" w:w="5040"/>
            <w:vAlign w:val="top"/>
          </w:tcPr>
          <w:p>
            <w:pPr>
              <w:spacing w:after="0"/>
              <w:jc w:val="left"/>
            </w:pPr>
            <w:r>
              <w:rPr>
                <w:rFonts w:ascii="Aptos" w:hAnsi="Aptos"/>
                <w:sz w:val="16"/>
              </w:rPr>
            </w:r>
            <w:r>
              <w:rPr>
                <w:rFonts w:ascii="Aptos" w:hAnsi="Aptos"/>
                <w:b w:val="0"/>
                <w:sz w:val="16"/>
              </w:rPr>
              <w:t>Seismic and geophysical monitoring network</w:t>
            </w:r>
          </w:p>
        </w:tc>
        <w:tc>
          <w:tcPr>
            <w:tcW w:type="dxa" w:w="5040"/>
            <w:vAlign w:val="top"/>
          </w:tcPr>
          <w:p>
            <w:pPr>
              <w:spacing w:after="0"/>
              <w:jc w:val="left"/>
            </w:pPr>
            <w:r>
              <w:rPr>
                <w:rFonts w:ascii="Aptos" w:hAnsi="Aptos"/>
                <w:sz w:val="16"/>
              </w:rPr>
            </w:r>
            <w:r>
              <w:rPr>
                <w:rFonts w:ascii="Aptos" w:hAnsi="Aptos"/>
                <w:b w:val="0"/>
                <w:sz w:val="16"/>
              </w:rPr>
              <w:t>Distributed nodes across habitat, shafts, rail, spaceport, mineral facility, power island, and regional sensor stations</w:t>
            </w:r>
          </w:p>
        </w:tc>
      </w:tr>
    </w:tbl>
    <w:p>
      <w:pPr>
        <w:spacing w:after="120"/>
      </w:pPr>
    </w:p>
    <w:p>
      <w:pPr>
        <w:spacing w:after="120"/>
      </w:pPr>
      <w:r>
        <w:rPr>
          <w:rFonts w:ascii="Aptos" w:hAnsi="Aptos"/>
        </w:rPr>
        <w:br w:type="page"/>
      </w:r>
    </w:p>
    <w:p>
      <w:pPr>
        <w:pStyle w:val="Heading1"/>
        <w:spacing w:before="200" w:after="120"/>
      </w:pPr>
      <w:r>
        <w:rPr>
          <w:rFonts w:ascii="Aptos" w:hAnsi="Aptos"/>
          <w:b/>
          <w:sz w:val="28"/>
        </w:rPr>
        <w:t>7. Utility Plans</w:t>
      </w:r>
    </w:p>
    <w:p>
      <w:pPr>
        <w:pStyle w:val="Heading2"/>
        <w:spacing w:before="200" w:after="120"/>
      </w:pPr>
      <w:r>
        <w:rPr>
          <w:rFonts w:ascii="Aptos" w:hAnsi="Aptos"/>
          <w:b/>
          <w:sz w:val="24"/>
        </w:rPr>
        <w:t>7.1 Electrical plan</w:t>
      </w:r>
    </w:p>
    <w:p>
      <w:pPr>
        <w:spacing w:after="120"/>
      </w:pPr>
      <w:r>
        <w:rPr>
          <w:rFonts w:ascii="Aptos" w:hAnsi="Aptos"/>
          <w:sz w:val="21"/>
        </w:rPr>
        <w:t>The electrical plan uses a dual ring HVDC architecture, islandable refuge buses, protected emergency power vaults, and black start sequencing. The initial dependable generation target is 200 MWe, expandable to 300 MWe.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456"/>
            <w:shd w:fill="D9EAF7"/>
            <w:tcMar>
              <w:top w:w="90" w:type="dxa"/>
              <w:start w:w="90" w:type="dxa"/>
              <w:bottom w:w="90" w:type="dxa"/>
              <w:end w:w="90" w:type="dxa"/>
            </w:tcMar>
            <w:vAlign w:val="top"/>
          </w:tcPr>
          <w:p>
            <w:pPr>
              <w:spacing w:after="0"/>
            </w:pPr>
            <w:r>
              <w:rPr>
                <w:rFonts w:ascii="Aptos" w:hAnsi="Aptos"/>
                <w:b/>
                <w:color w:val="FFFFFF"/>
                <w:sz w:val="16"/>
              </w:rPr>
              <w:t>Electrical element</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Baseline</w:t>
            </w:r>
          </w:p>
        </w:tc>
      </w:tr>
      <w:tr>
        <w:tc>
          <w:tcPr>
            <w:tcW w:type="dxa" w:w="3456"/>
            <w:tcMar>
              <w:top w:w="90" w:type="dxa"/>
              <w:start w:w="90" w:type="dxa"/>
              <w:bottom w:w="90" w:type="dxa"/>
              <w:end w:w="90" w:type="dxa"/>
            </w:tcMar>
            <w:vAlign w:val="top"/>
          </w:tcPr>
          <w:p>
            <w:pPr>
              <w:spacing w:after="0"/>
            </w:pPr>
            <w:r>
              <w:rPr>
                <w:rFonts w:ascii="Aptos" w:hAnsi="Aptos"/>
                <w:sz w:val="16"/>
              </w:rPr>
              <w:t>Primary generation</w:t>
            </w:r>
          </w:p>
        </w:tc>
        <w:tc>
          <w:tcPr>
            <w:tcW w:type="dxa" w:w="7200"/>
            <w:tcMar>
              <w:top w:w="90" w:type="dxa"/>
              <w:start w:w="90" w:type="dxa"/>
              <w:bottom w:w="90" w:type="dxa"/>
              <w:end w:w="90" w:type="dxa"/>
            </w:tcMar>
            <w:vAlign w:val="top"/>
          </w:tcPr>
          <w:p>
            <w:pPr>
              <w:spacing w:after="0"/>
            </w:pPr>
            <w:r>
              <w:rPr>
                <w:rFonts w:ascii="Aptos" w:hAnsi="Aptos"/>
                <w:sz w:val="16"/>
              </w:rPr>
              <w:t>Four 50 MWe modular reactor units for 200 MWe net dependable power.</w:t>
            </w:r>
          </w:p>
        </w:tc>
      </w:tr>
      <w:tr>
        <w:tc>
          <w:tcPr>
            <w:tcW w:type="dxa" w:w="3456"/>
            <w:tcMar>
              <w:top w:w="90" w:type="dxa"/>
              <w:start w:w="90" w:type="dxa"/>
              <w:bottom w:w="90" w:type="dxa"/>
              <w:end w:w="90" w:type="dxa"/>
            </w:tcMar>
            <w:vAlign w:val="top"/>
          </w:tcPr>
          <w:p>
            <w:pPr>
              <w:spacing w:after="0"/>
            </w:pPr>
            <w:r>
              <w:rPr>
                <w:rFonts w:ascii="Aptos" w:hAnsi="Aptos"/>
                <w:sz w:val="16"/>
              </w:rPr>
              <w:t>Expansion</w:t>
            </w:r>
          </w:p>
        </w:tc>
        <w:tc>
          <w:tcPr>
            <w:tcW w:type="dxa" w:w="7200"/>
            <w:tcMar>
              <w:top w:w="90" w:type="dxa"/>
              <w:start w:w="90" w:type="dxa"/>
              <w:bottom w:w="90" w:type="dxa"/>
              <w:end w:w="90" w:type="dxa"/>
            </w:tcMar>
            <w:vAlign w:val="top"/>
          </w:tcPr>
          <w:p>
            <w:pPr>
              <w:spacing w:after="0"/>
            </w:pPr>
            <w:r>
              <w:rPr>
                <w:rFonts w:ascii="Aptos" w:hAnsi="Aptos"/>
                <w:sz w:val="16"/>
              </w:rPr>
              <w:t>Two additional 50 MWe units for growth to 300 MWe.</w:t>
            </w:r>
          </w:p>
        </w:tc>
      </w:tr>
      <w:tr>
        <w:tc>
          <w:tcPr>
            <w:tcW w:type="dxa" w:w="3456"/>
            <w:tcMar>
              <w:top w:w="90" w:type="dxa"/>
              <w:start w:w="90" w:type="dxa"/>
              <w:bottom w:w="90" w:type="dxa"/>
              <w:end w:w="90" w:type="dxa"/>
            </w:tcMar>
            <w:vAlign w:val="top"/>
          </w:tcPr>
          <w:p>
            <w:pPr>
              <w:spacing w:after="0"/>
            </w:pPr>
            <w:r>
              <w:rPr>
                <w:rFonts w:ascii="Aptos" w:hAnsi="Aptos"/>
                <w:sz w:val="16"/>
              </w:rPr>
              <w:t>Supplementary power</w:t>
            </w:r>
          </w:p>
        </w:tc>
        <w:tc>
          <w:tcPr>
            <w:tcW w:type="dxa" w:w="7200"/>
            <w:tcMar>
              <w:top w:w="90" w:type="dxa"/>
              <w:start w:w="90" w:type="dxa"/>
              <w:bottom w:w="90" w:type="dxa"/>
              <w:end w:w="90" w:type="dxa"/>
            </w:tcMar>
            <w:vAlign w:val="top"/>
          </w:tcPr>
          <w:p>
            <w:pPr>
              <w:spacing w:after="0"/>
            </w:pPr>
            <w:r>
              <w:rPr>
                <w:rFonts w:ascii="Aptos" w:hAnsi="Aptos"/>
                <w:sz w:val="16"/>
              </w:rPr>
              <w:t>Polar solar fields and energy storage where local illumination and routing justify installation.</w:t>
            </w:r>
          </w:p>
        </w:tc>
      </w:tr>
      <w:tr>
        <w:tc>
          <w:tcPr>
            <w:tcW w:type="dxa" w:w="3456"/>
            <w:tcMar>
              <w:top w:w="90" w:type="dxa"/>
              <w:start w:w="90" w:type="dxa"/>
              <w:bottom w:w="90" w:type="dxa"/>
              <w:end w:w="90" w:type="dxa"/>
            </w:tcMar>
            <w:vAlign w:val="top"/>
          </w:tcPr>
          <w:p>
            <w:pPr>
              <w:spacing w:after="0"/>
            </w:pPr>
            <w:r>
              <w:rPr>
                <w:rFonts w:ascii="Aptos" w:hAnsi="Aptos"/>
                <w:sz w:val="16"/>
              </w:rPr>
              <w:t>Transmission</w:t>
            </w:r>
          </w:p>
        </w:tc>
        <w:tc>
          <w:tcPr>
            <w:tcW w:type="dxa" w:w="7200"/>
            <w:tcMar>
              <w:top w:w="90" w:type="dxa"/>
              <w:start w:w="90" w:type="dxa"/>
              <w:bottom w:w="90" w:type="dxa"/>
              <w:end w:w="90" w:type="dxa"/>
            </w:tcMar>
            <w:vAlign w:val="top"/>
          </w:tcPr>
          <w:p>
            <w:pPr>
              <w:spacing w:after="0"/>
            </w:pPr>
            <w:r>
              <w:rPr>
                <w:rFonts w:ascii="Aptos" w:hAnsi="Aptos"/>
                <w:sz w:val="16"/>
              </w:rPr>
              <w:t>80 kV DC nominal dual ring, north and south routes.</w:t>
            </w:r>
          </w:p>
        </w:tc>
      </w:tr>
      <w:tr>
        <w:tc>
          <w:tcPr>
            <w:tcW w:type="dxa" w:w="3456"/>
            <w:tcMar>
              <w:top w:w="90" w:type="dxa"/>
              <w:start w:w="90" w:type="dxa"/>
              <w:bottom w:w="90" w:type="dxa"/>
              <w:end w:w="90" w:type="dxa"/>
            </w:tcMar>
            <w:vAlign w:val="top"/>
          </w:tcPr>
          <w:p>
            <w:pPr>
              <w:spacing w:after="0"/>
            </w:pPr>
            <w:r>
              <w:rPr>
                <w:rFonts w:ascii="Aptos" w:hAnsi="Aptos"/>
                <w:sz w:val="16"/>
              </w:rPr>
              <w:t>District distribution</w:t>
            </w:r>
          </w:p>
        </w:tc>
        <w:tc>
          <w:tcPr>
            <w:tcW w:type="dxa" w:w="7200"/>
            <w:tcMar>
              <w:top w:w="90" w:type="dxa"/>
              <w:start w:w="90" w:type="dxa"/>
              <w:bottom w:w="90" w:type="dxa"/>
              <w:end w:w="90" w:type="dxa"/>
            </w:tcMar>
            <w:vAlign w:val="top"/>
          </w:tcPr>
          <w:p>
            <w:pPr>
              <w:spacing w:after="0"/>
            </w:pPr>
            <w:r>
              <w:rPr>
                <w:rFonts w:ascii="Aptos" w:hAnsi="Aptos"/>
                <w:sz w:val="16"/>
              </w:rPr>
              <w:t>10 to 20 kV DC major service, 1 to 5 kV DC local service.</w:t>
            </w:r>
          </w:p>
        </w:tc>
      </w:tr>
      <w:tr>
        <w:tc>
          <w:tcPr>
            <w:tcW w:type="dxa" w:w="3456"/>
            <w:tcMar>
              <w:top w:w="90" w:type="dxa"/>
              <w:start w:w="90" w:type="dxa"/>
              <w:bottom w:w="90" w:type="dxa"/>
              <w:end w:w="90" w:type="dxa"/>
            </w:tcMar>
            <w:vAlign w:val="top"/>
          </w:tcPr>
          <w:p>
            <w:pPr>
              <w:spacing w:after="0"/>
            </w:pPr>
            <w:r>
              <w:rPr>
                <w:rFonts w:ascii="Aptos" w:hAnsi="Aptos"/>
                <w:sz w:val="16"/>
              </w:rPr>
              <w:t>Critical buses</w:t>
            </w:r>
          </w:p>
        </w:tc>
        <w:tc>
          <w:tcPr>
            <w:tcW w:type="dxa" w:w="7200"/>
            <w:tcMar>
              <w:top w:w="90" w:type="dxa"/>
              <w:start w:w="90" w:type="dxa"/>
              <w:bottom w:w="90" w:type="dxa"/>
              <w:end w:w="90" w:type="dxa"/>
            </w:tcMar>
            <w:vAlign w:val="top"/>
          </w:tcPr>
          <w:p>
            <w:pPr>
              <w:spacing w:after="0"/>
            </w:pPr>
            <w:r>
              <w:rPr>
                <w:rFonts w:ascii="Aptos" w:hAnsi="Aptos"/>
                <w:sz w:val="16"/>
              </w:rPr>
              <w:t>R1, R2, R3, R4, medical critical, command continuity, embarkation emergency buses.</w:t>
            </w:r>
          </w:p>
        </w:tc>
      </w:tr>
      <w:tr>
        <w:tc>
          <w:tcPr>
            <w:tcW w:type="dxa" w:w="3456"/>
            <w:tcMar>
              <w:top w:w="90" w:type="dxa"/>
              <w:start w:w="90" w:type="dxa"/>
              <w:bottom w:w="90" w:type="dxa"/>
              <w:end w:w="90" w:type="dxa"/>
            </w:tcMar>
            <w:vAlign w:val="top"/>
          </w:tcPr>
          <w:p>
            <w:pPr>
              <w:spacing w:after="0"/>
            </w:pPr>
            <w:r>
              <w:rPr>
                <w:rFonts w:ascii="Aptos" w:hAnsi="Aptos"/>
                <w:sz w:val="16"/>
              </w:rPr>
              <w:t>Black start</w:t>
            </w:r>
          </w:p>
        </w:tc>
        <w:tc>
          <w:tcPr>
            <w:tcW w:type="dxa" w:w="7200"/>
            <w:tcMar>
              <w:top w:w="90" w:type="dxa"/>
              <w:start w:w="90" w:type="dxa"/>
              <w:bottom w:w="90" w:type="dxa"/>
              <w:end w:w="90" w:type="dxa"/>
            </w:tcMar>
            <w:vAlign w:val="top"/>
          </w:tcPr>
          <w:p>
            <w:pPr>
              <w:spacing w:after="0"/>
            </w:pPr>
            <w:r>
              <w:rPr>
                <w:rFonts w:ascii="Aptos" w:hAnsi="Aptos"/>
                <w:sz w:val="16"/>
              </w:rPr>
              <w:t>Protected batteries energize controls, fuel cells restore emergency buses, then generation and rings return in sectionalized mode.</w:t>
            </w:r>
          </w:p>
        </w:tc>
      </w:tr>
      <w:tr>
        <w:tc>
          <w:tcPr>
            <w:tcW w:type="dxa" w:w="5040"/>
            <w:vAlign w:val="top"/>
          </w:tcPr>
          <w:p>
            <w:pPr>
              <w:spacing w:after="0"/>
              <w:jc w:val="left"/>
            </w:pPr>
            <w:r>
              <w:rPr>
                <w:rFonts w:ascii="Aptos" w:hAnsi="Aptos"/>
                <w:sz w:val="16"/>
              </w:rPr>
            </w:r>
            <w:r>
              <w:rPr>
                <w:rFonts w:ascii="Aptos" w:hAnsi="Aptos"/>
                <w:b w:val="0"/>
                <w:sz w:val="16"/>
              </w:rPr>
              <w:t>Surface solar farm</w:t>
            </w:r>
          </w:p>
        </w:tc>
        <w:tc>
          <w:tcPr>
            <w:tcW w:type="dxa" w:w="5040"/>
            <w:vAlign w:val="top"/>
          </w:tcPr>
          <w:p>
            <w:pPr>
              <w:spacing w:after="0"/>
              <w:jc w:val="left"/>
            </w:pPr>
            <w:r>
              <w:rPr>
                <w:rFonts w:ascii="Aptos" w:hAnsi="Aptos"/>
                <w:sz w:val="16"/>
              </w:rPr>
            </w:r>
            <w:r>
              <w:rPr>
                <w:rFonts w:ascii="Aptos" w:hAnsi="Aptos"/>
                <w:b w:val="0"/>
                <w:sz w:val="16"/>
              </w:rPr>
              <w:t>Added as secondary resilient power. Initial field supports noncritical loads, reserve charging, and hydrogen reserve production support.</w:t>
            </w:r>
          </w:p>
        </w:tc>
      </w:tr>
      <w:tr>
        <w:tc>
          <w:tcPr>
            <w:tcW w:type="dxa" w:w="5040"/>
            <w:vAlign w:val="top"/>
          </w:tcPr>
          <w:p>
            <w:pPr>
              <w:spacing w:after="0"/>
              <w:jc w:val="left"/>
            </w:pPr>
            <w:r>
              <w:rPr>
                <w:rFonts w:ascii="Aptos" w:hAnsi="Aptos"/>
                <w:sz w:val="16"/>
              </w:rPr>
            </w:r>
            <w:r>
              <w:rPr>
                <w:rFonts w:ascii="Aptos" w:hAnsi="Aptos"/>
                <w:b w:val="0"/>
                <w:sz w:val="16"/>
              </w:rPr>
              <w:t>Microwave power receiver</w:t>
            </w:r>
          </w:p>
        </w:tc>
        <w:tc>
          <w:tcPr>
            <w:tcW w:type="dxa" w:w="5040"/>
            <w:vAlign w:val="top"/>
          </w:tcPr>
          <w:p>
            <w:pPr>
              <w:spacing w:after="0"/>
              <w:jc w:val="left"/>
            </w:pPr>
            <w:r>
              <w:rPr>
                <w:rFonts w:ascii="Aptos" w:hAnsi="Aptos"/>
                <w:sz w:val="16"/>
              </w:rPr>
            </w:r>
            <w:r>
              <w:rPr>
                <w:rFonts w:ascii="Aptos" w:hAnsi="Aptos"/>
                <w:b w:val="0"/>
                <w:sz w:val="16"/>
              </w:rPr>
              <w:t>Added as supplemental remote power source with rectenna field, conditioning station, safety exclusion, and HVDC tie.</w:t>
            </w:r>
          </w:p>
        </w:tc>
      </w:tr>
      <w:tr>
        <w:tc>
          <w:tcPr>
            <w:tcW w:type="dxa" w:w="5040"/>
            <w:vAlign w:val="top"/>
          </w:tcPr>
          <w:p>
            <w:pPr>
              <w:spacing w:after="0"/>
              <w:jc w:val="left"/>
            </w:pPr>
            <w:r>
              <w:rPr>
                <w:rFonts w:ascii="Aptos" w:hAnsi="Aptos"/>
                <w:sz w:val="16"/>
              </w:rPr>
            </w:r>
            <w:r>
              <w:rPr>
                <w:rFonts w:ascii="Aptos" w:hAnsi="Aptos"/>
                <w:b w:val="0"/>
                <w:sz w:val="16"/>
              </w:rPr>
              <w:t>Hyperloop EM launch rail power</w:t>
            </w:r>
          </w:p>
        </w:tc>
        <w:tc>
          <w:tcPr>
            <w:tcW w:type="dxa" w:w="5040"/>
            <w:vAlign w:val="top"/>
          </w:tcPr>
          <w:p>
            <w:pPr>
              <w:spacing w:after="0"/>
              <w:jc w:val="left"/>
            </w:pPr>
            <w:r>
              <w:rPr>
                <w:rFonts w:ascii="Aptos" w:hAnsi="Aptos"/>
                <w:sz w:val="16"/>
              </w:rPr>
            </w:r>
            <w:r>
              <w:rPr>
                <w:rFonts w:ascii="Aptos" w:hAnsi="Aptos"/>
                <w:b w:val="0"/>
                <w:sz w:val="16"/>
              </w:rPr>
              <w:t>Pulse power banks charged from reactor, solar, and microwave sources. Treated as interruptible industrial load.</w:t>
            </w:r>
          </w:p>
        </w:tc>
      </w:tr>
      <w:tr>
        <w:tc>
          <w:tcPr>
            <w:tcW w:type="dxa" w:w="5040"/>
            <w:vAlign w:val="top"/>
          </w:tcPr>
          <w:p>
            <w:pPr>
              <w:spacing w:after="0"/>
              <w:jc w:val="left"/>
            </w:pPr>
            <w:r>
              <w:rPr>
                <w:rFonts w:ascii="Aptos" w:hAnsi="Aptos"/>
                <w:sz w:val="16"/>
              </w:rPr>
            </w:r>
            <w:r>
              <w:rPr>
                <w:rFonts w:ascii="Aptos" w:hAnsi="Aptos"/>
                <w:b w:val="0"/>
                <w:sz w:val="16"/>
              </w:rPr>
              <w:t>Mineral processing power</w:t>
            </w:r>
          </w:p>
        </w:tc>
        <w:tc>
          <w:tcPr>
            <w:tcW w:type="dxa" w:w="5040"/>
            <w:vAlign w:val="top"/>
          </w:tcPr>
          <w:p>
            <w:pPr>
              <w:spacing w:after="0"/>
              <w:jc w:val="left"/>
            </w:pPr>
            <w:r>
              <w:rPr>
                <w:rFonts w:ascii="Aptos" w:hAnsi="Aptos"/>
                <w:sz w:val="16"/>
              </w:rPr>
            </w:r>
            <w:r>
              <w:rPr>
                <w:rFonts w:ascii="Aptos" w:hAnsi="Aptos"/>
                <w:b w:val="0"/>
                <w:sz w:val="16"/>
              </w:rPr>
              <w:t>Dedicated high power industrial feed through Corridor P7 with thermal and dust isolation.</w:t>
            </w:r>
          </w:p>
        </w:tc>
      </w:tr>
      <w:tr>
        <w:tc>
          <w:tcPr>
            <w:tcW w:type="dxa" w:w="5040"/>
            <w:vAlign w:val="top"/>
          </w:tcPr>
          <w:p>
            <w:pPr>
              <w:spacing w:after="0"/>
              <w:jc w:val="left"/>
            </w:pPr>
            <w:r>
              <w:rPr>
                <w:rFonts w:ascii="Aptos" w:hAnsi="Aptos"/>
                <w:sz w:val="16"/>
              </w:rPr>
            </w:r>
            <w:r>
              <w:rPr>
                <w:rFonts w:ascii="Aptos" w:hAnsi="Aptos"/>
                <w:b w:val="0"/>
                <w:sz w:val="16"/>
              </w:rPr>
              <w:t>Seismic monitoring power</w:t>
            </w:r>
          </w:p>
        </w:tc>
        <w:tc>
          <w:tcPr>
            <w:tcW w:type="dxa" w:w="5040"/>
            <w:vAlign w:val="top"/>
          </w:tcPr>
          <w:p>
            <w:pPr>
              <w:spacing w:after="0"/>
              <w:jc w:val="left"/>
            </w:pPr>
            <w:r>
              <w:rPr>
                <w:rFonts w:ascii="Aptos" w:hAnsi="Aptos"/>
                <w:sz w:val="16"/>
              </w:rPr>
            </w:r>
            <w:r>
              <w:rPr>
                <w:rFonts w:ascii="Aptos" w:hAnsi="Aptos"/>
                <w:b w:val="0"/>
                <w:sz w:val="16"/>
              </w:rPr>
              <w:t>Low power distributed feeds and local backups through protected data and monitoring network Corridor P8.</w:t>
            </w:r>
          </w:p>
        </w:tc>
      </w:tr>
    </w:tbl>
    <w:p>
      <w:pPr>
        <w:spacing w:after="120"/>
      </w:pPr>
    </w:p>
    <w:p>
      <w:pPr>
        <w:pStyle w:val="Heading2"/>
        <w:spacing w:before="200" w:after="120"/>
      </w:pPr>
      <w:r>
        <w:rPr>
          <w:rFonts w:ascii="Aptos" w:hAnsi="Aptos"/>
          <w:b/>
          <w:sz w:val="24"/>
        </w:rPr>
        <w:t>7.2 Water and atmosphere plan</w:t>
      </w:r>
    </w:p>
    <w:p>
      <w:pPr>
        <w:spacing w:after="120"/>
      </w:pPr>
      <w:r>
        <w:rPr>
          <w:rFonts w:ascii="Aptos" w:hAnsi="Aptos"/>
          <w:sz w:val="21"/>
        </w:rPr>
        <w:t>The water system is split into potable, hygiene, greywater, blackwater, industrial process, protected refuge, and emergency loops. The atmosphere system separates normal habitat support, industrial oxygen production, and protected refuge sustainment.</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Utility loop</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Emergency behavior</w:t>
            </w:r>
          </w:p>
        </w:tc>
      </w:tr>
      <w:tr>
        <w:tc>
          <w:tcPr>
            <w:tcW w:type="dxa" w:w="2880"/>
            <w:tcMar>
              <w:top w:w="90" w:type="dxa"/>
              <w:start w:w="90" w:type="dxa"/>
              <w:bottom w:w="90" w:type="dxa"/>
              <w:end w:w="90" w:type="dxa"/>
            </w:tcMar>
            <w:vAlign w:val="top"/>
          </w:tcPr>
          <w:p>
            <w:pPr>
              <w:spacing w:after="0"/>
            </w:pPr>
            <w:r>
              <w:rPr>
                <w:rFonts w:ascii="Aptos" w:hAnsi="Aptos"/>
                <w:sz w:val="16"/>
              </w:rPr>
              <w:t>Potable loop</w:t>
            </w:r>
          </w:p>
        </w:tc>
        <w:tc>
          <w:tcPr>
            <w:tcW w:type="dxa" w:w="4320"/>
            <w:tcMar>
              <w:top w:w="90" w:type="dxa"/>
              <w:start w:w="90" w:type="dxa"/>
              <w:bottom w:w="90" w:type="dxa"/>
              <w:end w:w="90" w:type="dxa"/>
            </w:tcMar>
            <w:vAlign w:val="top"/>
          </w:tcPr>
          <w:p>
            <w:pPr>
              <w:spacing w:after="0"/>
            </w:pPr>
            <w:r>
              <w:rPr>
                <w:rFonts w:ascii="Aptos" w:hAnsi="Aptos"/>
                <w:sz w:val="16"/>
              </w:rPr>
              <w:t>Drinking, galley, medical, hygiene support</w:t>
            </w:r>
          </w:p>
        </w:tc>
        <w:tc>
          <w:tcPr>
            <w:tcW w:type="dxa" w:w="4320"/>
            <w:tcMar>
              <w:top w:w="90" w:type="dxa"/>
              <w:start w:w="90" w:type="dxa"/>
              <w:bottom w:w="90" w:type="dxa"/>
              <w:end w:w="90" w:type="dxa"/>
            </w:tcMar>
            <w:vAlign w:val="top"/>
          </w:tcPr>
          <w:p>
            <w:pPr>
              <w:spacing w:after="0"/>
            </w:pPr>
            <w:r>
              <w:rPr>
                <w:rFonts w:ascii="Aptos" w:hAnsi="Aptos"/>
                <w:sz w:val="16"/>
              </w:rPr>
              <w:t>Isolated by district, backed by protected reserves.</w:t>
            </w:r>
          </w:p>
        </w:tc>
      </w:tr>
      <w:tr>
        <w:tc>
          <w:tcPr>
            <w:tcW w:type="dxa" w:w="2880"/>
            <w:tcMar>
              <w:top w:w="90" w:type="dxa"/>
              <w:start w:w="90" w:type="dxa"/>
              <w:bottom w:w="90" w:type="dxa"/>
              <w:end w:w="90" w:type="dxa"/>
            </w:tcMar>
            <w:vAlign w:val="top"/>
          </w:tcPr>
          <w:p>
            <w:pPr>
              <w:spacing w:after="0"/>
            </w:pPr>
            <w:r>
              <w:rPr>
                <w:rFonts w:ascii="Aptos" w:hAnsi="Aptos"/>
                <w:sz w:val="16"/>
              </w:rPr>
              <w:t>Greywater and blackwater recovery</w:t>
            </w:r>
          </w:p>
        </w:tc>
        <w:tc>
          <w:tcPr>
            <w:tcW w:type="dxa" w:w="4320"/>
            <w:tcMar>
              <w:top w:w="90" w:type="dxa"/>
              <w:start w:w="90" w:type="dxa"/>
              <w:bottom w:w="90" w:type="dxa"/>
              <w:end w:w="90" w:type="dxa"/>
            </w:tcMar>
            <w:vAlign w:val="top"/>
          </w:tcPr>
          <w:p>
            <w:pPr>
              <w:spacing w:after="0"/>
            </w:pPr>
            <w:r>
              <w:rPr>
                <w:rFonts w:ascii="Aptos" w:hAnsi="Aptos"/>
                <w:sz w:val="16"/>
              </w:rPr>
              <w:t>Recover water and stabilize waste streams</w:t>
            </w:r>
          </w:p>
        </w:tc>
        <w:tc>
          <w:tcPr>
            <w:tcW w:type="dxa" w:w="4320"/>
            <w:tcMar>
              <w:top w:w="90" w:type="dxa"/>
              <w:start w:w="90" w:type="dxa"/>
              <w:bottom w:w="90" w:type="dxa"/>
              <w:end w:w="90" w:type="dxa"/>
            </w:tcMar>
            <w:vAlign w:val="top"/>
          </w:tcPr>
          <w:p>
            <w:pPr>
              <w:spacing w:after="0"/>
            </w:pPr>
            <w:r>
              <w:rPr>
                <w:rFonts w:ascii="Aptos" w:hAnsi="Aptos"/>
                <w:sz w:val="16"/>
              </w:rPr>
              <w:t>Can be restricted in refuge mode.</w:t>
            </w:r>
          </w:p>
        </w:tc>
      </w:tr>
      <w:tr>
        <w:tc>
          <w:tcPr>
            <w:tcW w:type="dxa" w:w="2880"/>
            <w:tcMar>
              <w:top w:w="90" w:type="dxa"/>
              <w:start w:w="90" w:type="dxa"/>
              <w:bottom w:w="90" w:type="dxa"/>
              <w:end w:w="90" w:type="dxa"/>
            </w:tcMar>
            <w:vAlign w:val="top"/>
          </w:tcPr>
          <w:p>
            <w:pPr>
              <w:spacing w:after="0"/>
            </w:pPr>
            <w:r>
              <w:rPr>
                <w:rFonts w:ascii="Aptos" w:hAnsi="Aptos"/>
                <w:sz w:val="16"/>
              </w:rPr>
              <w:t>Industrial process water</w:t>
            </w:r>
          </w:p>
        </w:tc>
        <w:tc>
          <w:tcPr>
            <w:tcW w:type="dxa" w:w="4320"/>
            <w:tcMar>
              <w:top w:w="90" w:type="dxa"/>
              <w:start w:w="90" w:type="dxa"/>
              <w:bottom w:w="90" w:type="dxa"/>
              <w:end w:w="90" w:type="dxa"/>
            </w:tcMar>
            <w:vAlign w:val="top"/>
          </w:tcPr>
          <w:p>
            <w:pPr>
              <w:spacing w:after="0"/>
            </w:pPr>
            <w:r>
              <w:rPr>
                <w:rFonts w:ascii="Aptos" w:hAnsi="Aptos"/>
                <w:sz w:val="16"/>
              </w:rPr>
              <w:t>Electrolysis, dust control, process support</w:t>
            </w:r>
          </w:p>
        </w:tc>
        <w:tc>
          <w:tcPr>
            <w:tcW w:type="dxa" w:w="4320"/>
            <w:tcMar>
              <w:top w:w="90" w:type="dxa"/>
              <w:start w:w="90" w:type="dxa"/>
              <w:bottom w:w="90" w:type="dxa"/>
              <w:end w:w="90" w:type="dxa"/>
            </w:tcMar>
            <w:vAlign w:val="top"/>
          </w:tcPr>
          <w:p>
            <w:pPr>
              <w:spacing w:after="0"/>
            </w:pPr>
            <w:r>
              <w:rPr>
                <w:rFonts w:ascii="Aptos" w:hAnsi="Aptos"/>
                <w:sz w:val="16"/>
              </w:rPr>
              <w:t>Shed before life support loads.</w:t>
            </w:r>
          </w:p>
        </w:tc>
      </w:tr>
      <w:tr>
        <w:tc>
          <w:tcPr>
            <w:tcW w:type="dxa" w:w="2880"/>
            <w:tcMar>
              <w:top w:w="90" w:type="dxa"/>
              <w:start w:w="90" w:type="dxa"/>
              <w:bottom w:w="90" w:type="dxa"/>
              <w:end w:w="90" w:type="dxa"/>
            </w:tcMar>
            <w:vAlign w:val="top"/>
          </w:tcPr>
          <w:p>
            <w:pPr>
              <w:spacing w:after="0"/>
            </w:pPr>
            <w:r>
              <w:rPr>
                <w:rFonts w:ascii="Aptos" w:hAnsi="Aptos"/>
                <w:sz w:val="16"/>
              </w:rPr>
              <w:t>Protected refuge water</w:t>
            </w:r>
          </w:p>
        </w:tc>
        <w:tc>
          <w:tcPr>
            <w:tcW w:type="dxa" w:w="4320"/>
            <w:tcMar>
              <w:top w:w="90" w:type="dxa"/>
              <w:start w:w="90" w:type="dxa"/>
              <w:bottom w:w="90" w:type="dxa"/>
              <w:end w:w="90" w:type="dxa"/>
            </w:tcMar>
            <w:vAlign w:val="top"/>
          </w:tcPr>
          <w:p>
            <w:pPr>
              <w:spacing w:after="0"/>
            </w:pPr>
            <w:r>
              <w:rPr>
                <w:rFonts w:ascii="Aptos" w:hAnsi="Aptos"/>
                <w:sz w:val="16"/>
              </w:rPr>
              <w:t>Dedicated E3 bunker to R1 through R4</w:t>
            </w:r>
          </w:p>
        </w:tc>
        <w:tc>
          <w:tcPr>
            <w:tcW w:type="dxa" w:w="4320"/>
            <w:tcMar>
              <w:top w:w="90" w:type="dxa"/>
              <w:start w:w="90" w:type="dxa"/>
              <w:bottom w:w="90" w:type="dxa"/>
              <w:end w:w="90" w:type="dxa"/>
            </w:tcMar>
            <w:vAlign w:val="top"/>
          </w:tcPr>
          <w:p>
            <w:pPr>
              <w:spacing w:after="0"/>
            </w:pPr>
            <w:r>
              <w:rPr>
                <w:rFonts w:ascii="Aptos" w:hAnsi="Aptos"/>
                <w:sz w:val="16"/>
              </w:rPr>
              <w:t>Operates independent of normal site water.</w:t>
            </w:r>
          </w:p>
        </w:tc>
      </w:tr>
      <w:tr>
        <w:tc>
          <w:tcPr>
            <w:tcW w:type="dxa" w:w="2880"/>
            <w:tcMar>
              <w:top w:w="90" w:type="dxa"/>
              <w:start w:w="90" w:type="dxa"/>
              <w:bottom w:w="90" w:type="dxa"/>
              <w:end w:w="90" w:type="dxa"/>
            </w:tcMar>
            <w:vAlign w:val="top"/>
          </w:tcPr>
          <w:p>
            <w:pPr>
              <w:spacing w:after="0"/>
            </w:pPr>
            <w:r>
              <w:rPr>
                <w:rFonts w:ascii="Aptos" w:hAnsi="Aptos"/>
                <w:sz w:val="16"/>
              </w:rPr>
              <w:t>Breathable gas trunk</w:t>
            </w:r>
          </w:p>
        </w:tc>
        <w:tc>
          <w:tcPr>
            <w:tcW w:type="dxa" w:w="4320"/>
            <w:tcMar>
              <w:top w:w="90" w:type="dxa"/>
              <w:start w:w="90" w:type="dxa"/>
              <w:bottom w:w="90" w:type="dxa"/>
              <w:end w:w="90" w:type="dxa"/>
            </w:tcMar>
            <w:vAlign w:val="top"/>
          </w:tcPr>
          <w:p>
            <w:pPr>
              <w:spacing w:after="0"/>
            </w:pPr>
            <w:r>
              <w:rPr>
                <w:rFonts w:ascii="Aptos" w:hAnsi="Aptos"/>
                <w:sz w:val="16"/>
              </w:rPr>
              <w:t>Oxygen injection, pressure control, atmosphere balancing</w:t>
            </w:r>
          </w:p>
        </w:tc>
        <w:tc>
          <w:tcPr>
            <w:tcW w:type="dxa" w:w="4320"/>
            <w:tcMar>
              <w:top w:w="90" w:type="dxa"/>
              <w:start w:w="90" w:type="dxa"/>
              <w:bottom w:w="90" w:type="dxa"/>
              <w:end w:w="90" w:type="dxa"/>
            </w:tcMar>
            <w:vAlign w:val="top"/>
          </w:tcPr>
          <w:p>
            <w:pPr>
              <w:spacing w:after="0"/>
            </w:pPr>
            <w:r>
              <w:rPr>
                <w:rFonts w:ascii="Aptos" w:hAnsi="Aptos"/>
                <w:sz w:val="16"/>
              </w:rPr>
              <w:t>Cluster isolation manifolds in refuge mode.</w:t>
            </w:r>
          </w:p>
        </w:tc>
      </w:tr>
      <w:tr>
        <w:tc>
          <w:tcPr>
            <w:tcW w:type="dxa" w:w="2880"/>
            <w:tcMar>
              <w:top w:w="90" w:type="dxa"/>
              <w:start w:w="90" w:type="dxa"/>
              <w:bottom w:w="90" w:type="dxa"/>
              <w:end w:w="90" w:type="dxa"/>
            </w:tcMar>
            <w:vAlign w:val="top"/>
          </w:tcPr>
          <w:p>
            <w:pPr>
              <w:spacing w:after="0"/>
            </w:pPr>
            <w:r>
              <w:rPr>
                <w:rFonts w:ascii="Aptos" w:hAnsi="Aptos"/>
                <w:sz w:val="16"/>
              </w:rPr>
              <w:t>Carbon dioxide removal</w:t>
            </w:r>
          </w:p>
        </w:tc>
        <w:tc>
          <w:tcPr>
            <w:tcW w:type="dxa" w:w="4320"/>
            <w:tcMar>
              <w:top w:w="90" w:type="dxa"/>
              <w:start w:w="90" w:type="dxa"/>
              <w:bottom w:w="90" w:type="dxa"/>
              <w:end w:w="90" w:type="dxa"/>
            </w:tcMar>
            <w:vAlign w:val="top"/>
          </w:tcPr>
          <w:p>
            <w:pPr>
              <w:spacing w:after="0"/>
            </w:pPr>
            <w:r>
              <w:rPr>
                <w:rFonts w:ascii="Aptos" w:hAnsi="Aptos"/>
                <w:sz w:val="16"/>
              </w:rPr>
              <w:t>District and cluster removal of metabolic CO2</w:t>
            </w:r>
          </w:p>
        </w:tc>
        <w:tc>
          <w:tcPr>
            <w:tcW w:type="dxa" w:w="4320"/>
            <w:tcMar>
              <w:top w:w="90" w:type="dxa"/>
              <w:start w:w="90" w:type="dxa"/>
              <w:bottom w:w="90" w:type="dxa"/>
              <w:end w:w="90" w:type="dxa"/>
            </w:tcMar>
            <w:vAlign w:val="top"/>
          </w:tcPr>
          <w:p>
            <w:pPr>
              <w:spacing w:after="0"/>
            </w:pPr>
            <w:r>
              <w:rPr>
                <w:rFonts w:ascii="Aptos" w:hAnsi="Aptos"/>
                <w:sz w:val="16"/>
              </w:rPr>
              <w:t>Cluster level removal becomes primary in sealed mode.</w:t>
            </w:r>
          </w:p>
        </w:tc>
      </w:tr>
    </w:tbl>
    <w:p>
      <w:pPr>
        <w:spacing w:after="120"/>
      </w:pPr>
    </w:p>
    <w:p>
      <w:pPr>
        <w:pStyle w:val="Heading2"/>
        <w:spacing w:before="200" w:after="120"/>
      </w:pPr>
      <w:r>
        <w:rPr>
          <w:rFonts w:ascii="Aptos" w:hAnsi="Aptos"/>
          <w:b/>
          <w:sz w:val="24"/>
        </w:rPr>
        <w:t>7.3 Thermal and cryogenic plan</w:t>
      </w:r>
    </w:p>
    <w:p>
      <w:pPr>
        <w:spacing w:after="120"/>
      </w:pPr>
      <w:r>
        <w:rPr>
          <w:rFonts w:ascii="Aptos" w:hAnsi="Aptos"/>
          <w:sz w:val="21"/>
        </w:rPr>
        <w:t>Thermal control is treated as a primary infrastructure system. Heat moves from equipment loops to district loops, main thermal trunks, and radiator fields. Refuge clusters maintain reduced load thermal sustainment independent of the main trunk.</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024"/>
            <w:shd w:fill="D9EAF7"/>
            <w:tcMar>
              <w:top w:w="90" w:type="dxa"/>
              <w:start w:w="90" w:type="dxa"/>
              <w:bottom w:w="90" w:type="dxa"/>
              <w:end w:w="90" w:type="dxa"/>
            </w:tcMar>
            <w:vAlign w:val="top"/>
          </w:tcPr>
          <w:p>
            <w:pPr>
              <w:spacing w:after="0"/>
            </w:pPr>
            <w:r>
              <w:rPr>
                <w:rFonts w:ascii="Aptos" w:hAnsi="Aptos"/>
                <w:b/>
                <w:color w:val="FFFFFF"/>
                <w:sz w:val="16"/>
              </w:rPr>
              <w:t>System</w:t>
            </w:r>
          </w:p>
        </w:tc>
        <w:tc>
          <w:tcPr>
            <w:tcW w:type="dxa" w:w="7632"/>
            <w:shd w:fill="D9EAF7"/>
            <w:tcMar>
              <w:top w:w="90" w:type="dxa"/>
              <w:start w:w="90" w:type="dxa"/>
              <w:bottom w:w="90" w:type="dxa"/>
              <w:end w:w="90" w:type="dxa"/>
            </w:tcMar>
            <w:vAlign w:val="top"/>
          </w:tcPr>
          <w:p>
            <w:pPr>
              <w:spacing w:after="0"/>
            </w:pPr>
            <w:r>
              <w:rPr>
                <w:rFonts w:ascii="Aptos" w:hAnsi="Aptos"/>
                <w:b/>
                <w:color w:val="FFFFFF"/>
                <w:sz w:val="16"/>
              </w:rPr>
              <w:t>Baseline requirement</w:t>
            </w:r>
          </w:p>
        </w:tc>
      </w:tr>
      <w:tr>
        <w:tc>
          <w:tcPr>
            <w:tcW w:type="dxa" w:w="3024"/>
            <w:tcMar>
              <w:top w:w="90" w:type="dxa"/>
              <w:start w:w="90" w:type="dxa"/>
              <w:bottom w:w="90" w:type="dxa"/>
              <w:end w:w="90" w:type="dxa"/>
            </w:tcMar>
            <w:vAlign w:val="top"/>
          </w:tcPr>
          <w:p>
            <w:pPr>
              <w:spacing w:after="0"/>
            </w:pPr>
            <w:r>
              <w:rPr>
                <w:rFonts w:ascii="Aptos" w:hAnsi="Aptos"/>
                <w:sz w:val="16"/>
              </w:rPr>
              <w:t>Radiator sectors</w:t>
            </w:r>
          </w:p>
        </w:tc>
        <w:tc>
          <w:tcPr>
            <w:tcW w:type="dxa" w:w="7632"/>
            <w:tcMar>
              <w:top w:w="90" w:type="dxa"/>
              <w:start w:w="90" w:type="dxa"/>
              <w:bottom w:w="90" w:type="dxa"/>
              <w:end w:w="90" w:type="dxa"/>
            </w:tcMar>
            <w:vAlign w:val="top"/>
          </w:tcPr>
          <w:p>
            <w:pPr>
              <w:spacing w:after="0"/>
            </w:pPr>
            <w:r>
              <w:rPr>
                <w:rFonts w:ascii="Aptos" w:hAnsi="Aptos"/>
                <w:sz w:val="16"/>
              </w:rPr>
              <w:t>Multiple independently valved sectors to prevent one radiator loss from disabling the base.</w:t>
            </w:r>
          </w:p>
        </w:tc>
      </w:tr>
      <w:tr>
        <w:tc>
          <w:tcPr>
            <w:tcW w:type="dxa" w:w="3024"/>
            <w:tcMar>
              <w:top w:w="90" w:type="dxa"/>
              <w:start w:w="90" w:type="dxa"/>
              <w:bottom w:w="90" w:type="dxa"/>
              <w:end w:w="90" w:type="dxa"/>
            </w:tcMar>
            <w:vAlign w:val="top"/>
          </w:tcPr>
          <w:p>
            <w:pPr>
              <w:spacing w:after="0"/>
            </w:pPr>
            <w:r>
              <w:rPr>
                <w:rFonts w:ascii="Aptos" w:hAnsi="Aptos"/>
                <w:sz w:val="16"/>
              </w:rPr>
              <w:t>Habitat thermal loops</w:t>
            </w:r>
          </w:p>
        </w:tc>
        <w:tc>
          <w:tcPr>
            <w:tcW w:type="dxa" w:w="7632"/>
            <w:tcMar>
              <w:top w:w="90" w:type="dxa"/>
              <w:start w:w="90" w:type="dxa"/>
              <w:bottom w:w="90" w:type="dxa"/>
              <w:end w:w="90" w:type="dxa"/>
            </w:tcMar>
            <w:vAlign w:val="top"/>
          </w:tcPr>
          <w:p>
            <w:pPr>
              <w:spacing w:after="0"/>
            </w:pPr>
            <w:r>
              <w:rPr>
                <w:rFonts w:ascii="Aptos" w:hAnsi="Aptos"/>
                <w:sz w:val="16"/>
              </w:rPr>
              <w:t>North loop, south loop, medical and command protected loop, refuge reduced load loops.</w:t>
            </w:r>
          </w:p>
        </w:tc>
      </w:tr>
      <w:tr>
        <w:tc>
          <w:tcPr>
            <w:tcW w:type="dxa" w:w="3024"/>
            <w:tcMar>
              <w:top w:w="90" w:type="dxa"/>
              <w:start w:w="90" w:type="dxa"/>
              <w:bottom w:w="90" w:type="dxa"/>
              <w:end w:w="90" w:type="dxa"/>
            </w:tcMar>
            <w:vAlign w:val="top"/>
          </w:tcPr>
          <w:p>
            <w:pPr>
              <w:spacing w:after="0"/>
            </w:pPr>
            <w:r>
              <w:rPr>
                <w:rFonts w:ascii="Aptos" w:hAnsi="Aptos"/>
                <w:sz w:val="16"/>
              </w:rPr>
              <w:t>Industrial thermal loops</w:t>
            </w:r>
          </w:p>
        </w:tc>
        <w:tc>
          <w:tcPr>
            <w:tcW w:type="dxa" w:w="7632"/>
            <w:tcMar>
              <w:top w:w="90" w:type="dxa"/>
              <w:start w:w="90" w:type="dxa"/>
              <w:bottom w:w="90" w:type="dxa"/>
              <w:end w:w="90" w:type="dxa"/>
            </w:tcMar>
            <w:vAlign w:val="top"/>
          </w:tcPr>
          <w:p>
            <w:pPr>
              <w:spacing w:after="0"/>
            </w:pPr>
            <w:r>
              <w:rPr>
                <w:rFonts w:ascii="Aptos" w:hAnsi="Aptos"/>
                <w:sz w:val="16"/>
              </w:rPr>
              <w:t>Local loops for extraction, electrolysis, compressors, and liquefaction with emergency bypass.</w:t>
            </w:r>
          </w:p>
        </w:tc>
      </w:tr>
      <w:tr>
        <w:tc>
          <w:tcPr>
            <w:tcW w:type="dxa" w:w="3024"/>
            <w:tcMar>
              <w:top w:w="90" w:type="dxa"/>
              <w:start w:w="90" w:type="dxa"/>
              <w:bottom w:w="90" w:type="dxa"/>
              <w:end w:w="90" w:type="dxa"/>
            </w:tcMar>
            <w:vAlign w:val="top"/>
          </w:tcPr>
          <w:p>
            <w:pPr>
              <w:spacing w:after="0"/>
            </w:pPr>
            <w:r>
              <w:rPr>
                <w:rFonts w:ascii="Aptos" w:hAnsi="Aptos"/>
                <w:sz w:val="16"/>
              </w:rPr>
              <w:t>LOX storage</w:t>
            </w:r>
          </w:p>
        </w:tc>
        <w:tc>
          <w:tcPr>
            <w:tcW w:type="dxa" w:w="7632"/>
            <w:tcMar>
              <w:top w:w="90" w:type="dxa"/>
              <w:start w:w="90" w:type="dxa"/>
              <w:bottom w:w="90" w:type="dxa"/>
              <w:end w:w="90" w:type="dxa"/>
            </w:tcMar>
            <w:vAlign w:val="top"/>
          </w:tcPr>
          <w:p>
            <w:pPr>
              <w:spacing w:after="0"/>
            </w:pPr>
            <w:r>
              <w:rPr>
                <w:rFonts w:ascii="Aptos" w:hAnsi="Aptos"/>
                <w:sz w:val="16"/>
              </w:rPr>
              <w:t>450 to 650 metric tons installed Phase 1 capacity.</w:t>
            </w:r>
          </w:p>
        </w:tc>
      </w:tr>
      <w:tr>
        <w:tc>
          <w:tcPr>
            <w:tcW w:type="dxa" w:w="3024"/>
            <w:tcMar>
              <w:top w:w="90" w:type="dxa"/>
              <w:start w:w="90" w:type="dxa"/>
              <w:bottom w:w="90" w:type="dxa"/>
              <w:end w:w="90" w:type="dxa"/>
            </w:tcMar>
            <w:vAlign w:val="top"/>
          </w:tcPr>
          <w:p>
            <w:pPr>
              <w:spacing w:after="0"/>
            </w:pPr>
            <w:r>
              <w:rPr>
                <w:rFonts w:ascii="Aptos" w:hAnsi="Aptos"/>
                <w:sz w:val="16"/>
              </w:rPr>
              <w:t>LH2 storage</w:t>
            </w:r>
          </w:p>
        </w:tc>
        <w:tc>
          <w:tcPr>
            <w:tcW w:type="dxa" w:w="7632"/>
            <w:tcMar>
              <w:top w:w="90" w:type="dxa"/>
              <w:start w:w="90" w:type="dxa"/>
              <w:bottom w:w="90" w:type="dxa"/>
              <w:end w:w="90" w:type="dxa"/>
            </w:tcMar>
            <w:vAlign w:val="top"/>
          </w:tcPr>
          <w:p>
            <w:pPr>
              <w:spacing w:after="0"/>
            </w:pPr>
            <w:r>
              <w:rPr>
                <w:rFonts w:ascii="Aptos" w:hAnsi="Aptos"/>
                <w:sz w:val="16"/>
              </w:rPr>
              <w:t>190 to 310 metric tons installed Phase 1 capacity.</w:t>
            </w:r>
          </w:p>
        </w:tc>
      </w:tr>
      <w:tr>
        <w:tc>
          <w:tcPr>
            <w:tcW w:type="dxa" w:w="3024"/>
            <w:tcMar>
              <w:top w:w="90" w:type="dxa"/>
              <w:start w:w="90" w:type="dxa"/>
              <w:bottom w:w="90" w:type="dxa"/>
              <w:end w:w="90" w:type="dxa"/>
            </w:tcMar>
            <w:vAlign w:val="top"/>
          </w:tcPr>
          <w:p>
            <w:pPr>
              <w:spacing w:after="0"/>
            </w:pPr>
            <w:r>
              <w:rPr>
                <w:rFonts w:ascii="Aptos" w:hAnsi="Aptos"/>
                <w:sz w:val="16"/>
              </w:rPr>
              <w:t>Cryogenic routing</w:t>
            </w:r>
          </w:p>
        </w:tc>
        <w:tc>
          <w:tcPr>
            <w:tcW w:type="dxa" w:w="7632"/>
            <w:tcMar>
              <w:top w:w="90" w:type="dxa"/>
              <w:start w:w="90" w:type="dxa"/>
              <w:bottom w:w="90" w:type="dxa"/>
              <w:end w:w="90" w:type="dxa"/>
            </w:tcMar>
            <w:vAlign w:val="top"/>
          </w:tcPr>
          <w:p>
            <w:pPr>
              <w:spacing w:after="0"/>
            </w:pPr>
            <w:r>
              <w:rPr>
                <w:rFonts w:ascii="Aptos" w:hAnsi="Aptos"/>
                <w:sz w:val="16"/>
              </w:rPr>
              <w:t>Surface biased, protected from evacuation routes, and never routed directly next to refuge spaces.</w:t>
            </w:r>
          </w:p>
        </w:tc>
      </w:tr>
    </w:tbl>
    <w:p>
      <w:pPr>
        <w:spacing w:after="120"/>
      </w:pPr>
    </w:p>
    <w:p>
      <w:pPr>
        <w:spacing w:after="120"/>
      </w:pPr>
      <w:r>
        <w:rPr>
          <w:rFonts w:ascii="Aptos" w:hAnsi="Aptos"/>
        </w:rPr>
        <w:br w:type="page"/>
      </w:r>
    </w:p>
    <w:p>
      <w:pPr>
        <w:pStyle w:val="Heading1"/>
        <w:spacing w:before="200" w:after="120"/>
      </w:pPr>
      <w:r>
        <w:rPr>
          <w:rFonts w:ascii="Aptos" w:hAnsi="Aptos"/>
          <w:b/>
          <w:sz w:val="28"/>
        </w:rPr>
        <w:t>8. Emergency Refuge and 72 Hour Evacuation System</w:t>
      </w:r>
    </w:p>
    <w:p>
      <w:pPr>
        <w:pStyle w:val="Heading2"/>
        <w:spacing w:before="200" w:after="120"/>
      </w:pPr>
      <w:r>
        <w:rPr>
          <w:rFonts w:ascii="Aptos" w:hAnsi="Aptos"/>
          <w:b/>
          <w:sz w:val="24"/>
        </w:rPr>
        <w:t>8.1 Refuge requirement</w:t>
      </w:r>
    </w:p>
    <w:p>
      <w:pPr>
        <w:spacing w:after="120"/>
      </w:pPr>
      <w:r>
        <w:rPr>
          <w:rFonts w:ascii="Aptos" w:hAnsi="Aptos"/>
          <w:sz w:val="21"/>
        </w:rPr>
        <w:t>The refuge system supports the full resident and surge population, 1200 persons, for one lunar night. The minimum design duration is 14 Earth days. The preferred margin is 16 days.</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Cluster</w:t>
            </w:r>
          </w:p>
        </w:tc>
        <w:tc>
          <w:tcPr>
            <w:tcW w:type="dxa" w:w="3744"/>
            <w:shd w:fill="D9EAF7"/>
            <w:tcMar>
              <w:top w:w="90" w:type="dxa"/>
              <w:start w:w="90" w:type="dxa"/>
              <w:bottom w:w="90" w:type="dxa"/>
              <w:end w:w="90" w:type="dxa"/>
            </w:tcMar>
            <w:vAlign w:val="top"/>
          </w:tcPr>
          <w:p>
            <w:pPr>
              <w:spacing w:after="0"/>
            </w:pPr>
            <w:r>
              <w:rPr>
                <w:rFonts w:ascii="Aptos" w:hAnsi="Aptos"/>
                <w:b/>
                <w:color w:val="FFFFFF"/>
                <w:sz w:val="16"/>
              </w:rPr>
              <w:t>Nominal role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Occupancy basis</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Gross area range</w:t>
            </w:r>
          </w:p>
        </w:tc>
      </w:tr>
      <w:tr>
        <w:tc>
          <w:tcPr>
            <w:tcW w:type="dxa" w:w="1152"/>
            <w:tcMar>
              <w:top w:w="90" w:type="dxa"/>
              <w:start w:w="90" w:type="dxa"/>
              <w:bottom w:w="90" w:type="dxa"/>
              <w:end w:w="90" w:type="dxa"/>
            </w:tcMar>
            <w:vAlign w:val="top"/>
          </w:tcPr>
          <w:p>
            <w:pPr>
              <w:spacing w:after="0"/>
            </w:pPr>
            <w:r>
              <w:rPr>
                <w:rFonts w:ascii="Aptos" w:hAnsi="Aptos"/>
                <w:sz w:val="16"/>
              </w:rPr>
              <w:t>R1</w:t>
            </w:r>
          </w:p>
        </w:tc>
        <w:tc>
          <w:tcPr>
            <w:tcW w:type="dxa" w:w="3744"/>
            <w:tcMar>
              <w:top w:w="90" w:type="dxa"/>
              <w:start w:w="90" w:type="dxa"/>
              <w:bottom w:w="90" w:type="dxa"/>
              <w:end w:w="90" w:type="dxa"/>
            </w:tcMar>
            <w:vAlign w:val="top"/>
          </w:tcPr>
          <w:p>
            <w:pPr>
              <w:spacing w:after="0"/>
            </w:pPr>
            <w:r>
              <w:rPr>
                <w:rFonts w:ascii="Aptos" w:hAnsi="Aptos"/>
                <w:sz w:val="16"/>
              </w:rPr>
              <w:t>North habitat refuge</w:t>
            </w:r>
          </w:p>
        </w:tc>
        <w:tc>
          <w:tcPr>
            <w:tcW w:type="dxa" w:w="2880"/>
            <w:tcMar>
              <w:top w:w="90" w:type="dxa"/>
              <w:start w:w="90" w:type="dxa"/>
              <w:bottom w:w="90" w:type="dxa"/>
              <w:end w:w="90" w:type="dxa"/>
            </w:tcMar>
            <w:vAlign w:val="top"/>
          </w:tcPr>
          <w:p>
            <w:pPr>
              <w:spacing w:after="0"/>
            </w:pPr>
            <w:r>
              <w:rPr>
                <w:rFonts w:ascii="Aptos" w:hAnsi="Aptos"/>
                <w:sz w:val="16"/>
              </w:rPr>
              <w:t>350 to 400 persons</w:t>
            </w:r>
          </w:p>
        </w:tc>
        <w:tc>
          <w:tcPr>
            <w:tcW w:type="dxa" w:w="3168"/>
            <w:tcMar>
              <w:top w:w="90" w:type="dxa"/>
              <w:start w:w="90" w:type="dxa"/>
              <w:bottom w:w="90" w:type="dxa"/>
              <w:end w:w="90" w:type="dxa"/>
            </w:tcMar>
            <w:vAlign w:val="top"/>
          </w:tcPr>
          <w:p>
            <w:pPr>
              <w:spacing w:after="0"/>
            </w:pPr>
            <w:r>
              <w:rPr>
                <w:rFonts w:ascii="Aptos" w:hAnsi="Aptos"/>
                <w:sz w:val="16"/>
              </w:rPr>
              <w:t>2,600 to 3,600 square meters</w:t>
            </w:r>
          </w:p>
        </w:tc>
      </w:tr>
      <w:tr>
        <w:tc>
          <w:tcPr>
            <w:tcW w:type="dxa" w:w="1152"/>
            <w:tcMar>
              <w:top w:w="90" w:type="dxa"/>
              <w:start w:w="90" w:type="dxa"/>
              <w:bottom w:w="90" w:type="dxa"/>
              <w:end w:w="90" w:type="dxa"/>
            </w:tcMar>
            <w:vAlign w:val="top"/>
          </w:tcPr>
          <w:p>
            <w:pPr>
              <w:spacing w:after="0"/>
            </w:pPr>
            <w:r>
              <w:rPr>
                <w:rFonts w:ascii="Aptos" w:hAnsi="Aptos"/>
                <w:sz w:val="16"/>
              </w:rPr>
              <w:t>R2</w:t>
            </w:r>
          </w:p>
        </w:tc>
        <w:tc>
          <w:tcPr>
            <w:tcW w:type="dxa" w:w="3744"/>
            <w:tcMar>
              <w:top w:w="90" w:type="dxa"/>
              <w:start w:w="90" w:type="dxa"/>
              <w:bottom w:w="90" w:type="dxa"/>
              <w:end w:w="90" w:type="dxa"/>
            </w:tcMar>
            <w:vAlign w:val="top"/>
          </w:tcPr>
          <w:p>
            <w:pPr>
              <w:spacing w:after="0"/>
            </w:pPr>
            <w:r>
              <w:rPr>
                <w:rFonts w:ascii="Aptos" w:hAnsi="Aptos"/>
                <w:sz w:val="16"/>
              </w:rPr>
              <w:t>South habitat and engineering refuge</w:t>
            </w:r>
          </w:p>
        </w:tc>
        <w:tc>
          <w:tcPr>
            <w:tcW w:type="dxa" w:w="2880"/>
            <w:tcMar>
              <w:top w:w="90" w:type="dxa"/>
              <w:start w:w="90" w:type="dxa"/>
              <w:bottom w:w="90" w:type="dxa"/>
              <w:end w:w="90" w:type="dxa"/>
            </w:tcMar>
            <w:vAlign w:val="top"/>
          </w:tcPr>
          <w:p>
            <w:pPr>
              <w:spacing w:after="0"/>
            </w:pPr>
            <w:r>
              <w:rPr>
                <w:rFonts w:ascii="Aptos" w:hAnsi="Aptos"/>
                <w:sz w:val="16"/>
              </w:rPr>
              <w:t>350 to 400 persons</w:t>
            </w:r>
          </w:p>
        </w:tc>
        <w:tc>
          <w:tcPr>
            <w:tcW w:type="dxa" w:w="3168"/>
            <w:tcMar>
              <w:top w:w="90" w:type="dxa"/>
              <w:start w:w="90" w:type="dxa"/>
              <w:bottom w:w="90" w:type="dxa"/>
              <w:end w:w="90" w:type="dxa"/>
            </w:tcMar>
            <w:vAlign w:val="top"/>
          </w:tcPr>
          <w:p>
            <w:pPr>
              <w:spacing w:after="0"/>
            </w:pPr>
            <w:r>
              <w:rPr>
                <w:rFonts w:ascii="Aptos" w:hAnsi="Aptos"/>
                <w:sz w:val="16"/>
              </w:rPr>
              <w:t>2,600 to 3,600 square meters</w:t>
            </w:r>
          </w:p>
        </w:tc>
      </w:tr>
      <w:tr>
        <w:tc>
          <w:tcPr>
            <w:tcW w:type="dxa" w:w="1152"/>
            <w:tcMar>
              <w:top w:w="90" w:type="dxa"/>
              <w:start w:w="90" w:type="dxa"/>
              <w:bottom w:w="90" w:type="dxa"/>
              <w:end w:w="90" w:type="dxa"/>
            </w:tcMar>
            <w:vAlign w:val="top"/>
          </w:tcPr>
          <w:p>
            <w:pPr>
              <w:spacing w:after="0"/>
            </w:pPr>
            <w:r>
              <w:rPr>
                <w:rFonts w:ascii="Aptos" w:hAnsi="Aptos"/>
                <w:sz w:val="16"/>
              </w:rPr>
              <w:t>R3</w:t>
            </w:r>
          </w:p>
        </w:tc>
        <w:tc>
          <w:tcPr>
            <w:tcW w:type="dxa" w:w="3744"/>
            <w:tcMar>
              <w:top w:w="90" w:type="dxa"/>
              <w:start w:w="90" w:type="dxa"/>
              <w:bottom w:w="90" w:type="dxa"/>
              <w:end w:w="90" w:type="dxa"/>
            </w:tcMar>
            <w:vAlign w:val="top"/>
          </w:tcPr>
          <w:p>
            <w:pPr>
              <w:spacing w:after="0"/>
            </w:pPr>
            <w:r>
              <w:rPr>
                <w:rFonts w:ascii="Aptos" w:hAnsi="Aptos"/>
                <w:sz w:val="16"/>
              </w:rPr>
              <w:t>Medical and command refuge</w:t>
            </w:r>
          </w:p>
        </w:tc>
        <w:tc>
          <w:tcPr>
            <w:tcW w:type="dxa" w:w="2880"/>
            <w:tcMar>
              <w:top w:w="90" w:type="dxa"/>
              <w:start w:w="90" w:type="dxa"/>
              <w:bottom w:w="90" w:type="dxa"/>
              <w:end w:w="90" w:type="dxa"/>
            </w:tcMar>
            <w:vAlign w:val="top"/>
          </w:tcPr>
          <w:p>
            <w:pPr>
              <w:spacing w:after="0"/>
            </w:pPr>
            <w:r>
              <w:rPr>
                <w:rFonts w:ascii="Aptos" w:hAnsi="Aptos"/>
                <w:sz w:val="16"/>
              </w:rPr>
              <w:t>300 to 400 persons</w:t>
            </w:r>
          </w:p>
        </w:tc>
        <w:tc>
          <w:tcPr>
            <w:tcW w:type="dxa" w:w="3168"/>
            <w:tcMar>
              <w:top w:w="90" w:type="dxa"/>
              <w:start w:w="90" w:type="dxa"/>
              <w:bottom w:w="90" w:type="dxa"/>
              <w:end w:w="90" w:type="dxa"/>
            </w:tcMar>
            <w:vAlign w:val="top"/>
          </w:tcPr>
          <w:p>
            <w:pPr>
              <w:spacing w:after="0"/>
            </w:pPr>
            <w:r>
              <w:rPr>
                <w:rFonts w:ascii="Aptos" w:hAnsi="Aptos"/>
                <w:sz w:val="16"/>
              </w:rPr>
              <w:t>3,000 to 4,200 square meters</w:t>
            </w:r>
          </w:p>
        </w:tc>
      </w:tr>
      <w:tr>
        <w:tc>
          <w:tcPr>
            <w:tcW w:type="dxa" w:w="1152"/>
            <w:tcMar>
              <w:top w:w="90" w:type="dxa"/>
              <w:start w:w="90" w:type="dxa"/>
              <w:bottom w:w="90" w:type="dxa"/>
              <w:end w:w="90" w:type="dxa"/>
            </w:tcMar>
            <w:vAlign w:val="top"/>
          </w:tcPr>
          <w:p>
            <w:pPr>
              <w:spacing w:after="0"/>
            </w:pPr>
            <w:r>
              <w:rPr>
                <w:rFonts w:ascii="Aptos" w:hAnsi="Aptos"/>
                <w:sz w:val="16"/>
              </w:rPr>
              <w:t>R4</w:t>
            </w:r>
          </w:p>
        </w:tc>
        <w:tc>
          <w:tcPr>
            <w:tcW w:type="dxa" w:w="3744"/>
            <w:tcMar>
              <w:top w:w="90" w:type="dxa"/>
              <w:start w:w="90" w:type="dxa"/>
              <w:bottom w:w="90" w:type="dxa"/>
              <w:end w:w="90" w:type="dxa"/>
            </w:tcMar>
            <w:vAlign w:val="top"/>
          </w:tcPr>
          <w:p>
            <w:pPr>
              <w:spacing w:after="0"/>
            </w:pPr>
            <w:r>
              <w:rPr>
                <w:rFonts w:ascii="Aptos" w:hAnsi="Aptos"/>
                <w:sz w:val="16"/>
              </w:rPr>
              <w:t>Strategic reserve and overflow refuge</w:t>
            </w:r>
          </w:p>
        </w:tc>
        <w:tc>
          <w:tcPr>
            <w:tcW w:type="dxa" w:w="2880"/>
            <w:tcMar>
              <w:top w:w="90" w:type="dxa"/>
              <w:start w:w="90" w:type="dxa"/>
              <w:bottom w:w="90" w:type="dxa"/>
              <w:end w:w="90" w:type="dxa"/>
            </w:tcMar>
            <w:vAlign w:val="top"/>
          </w:tcPr>
          <w:p>
            <w:pPr>
              <w:spacing w:after="0"/>
            </w:pPr>
            <w:r>
              <w:rPr>
                <w:rFonts w:ascii="Aptos" w:hAnsi="Aptos"/>
                <w:sz w:val="16"/>
              </w:rPr>
              <w:t>200 to 300 reserve capacity</w:t>
            </w:r>
          </w:p>
        </w:tc>
        <w:tc>
          <w:tcPr>
            <w:tcW w:type="dxa" w:w="3168"/>
            <w:tcMar>
              <w:top w:w="90" w:type="dxa"/>
              <w:start w:w="90" w:type="dxa"/>
              <w:bottom w:w="90" w:type="dxa"/>
              <w:end w:w="90" w:type="dxa"/>
            </w:tcMar>
            <w:vAlign w:val="top"/>
          </w:tcPr>
          <w:p>
            <w:pPr>
              <w:spacing w:after="0"/>
            </w:pPr>
            <w:r>
              <w:rPr>
                <w:rFonts w:ascii="Aptos" w:hAnsi="Aptos"/>
                <w:sz w:val="16"/>
              </w:rPr>
              <w:t>1,800 to 2,800 square meters</w:t>
            </w:r>
          </w:p>
        </w:tc>
      </w:tr>
    </w:tbl>
    <w:p>
      <w:pPr>
        <w:spacing w:after="120"/>
      </w:pPr>
    </w:p>
    <w:p>
      <w:pPr>
        <w:pStyle w:val="Heading2"/>
        <w:spacing w:before="200" w:after="120"/>
      </w:pPr>
      <w:r>
        <w:rPr>
          <w:rFonts w:ascii="Aptos" w:hAnsi="Aptos"/>
          <w:b/>
          <w:sz w:val="24"/>
        </w:rPr>
        <w:t>8.2 Refuge reserve mass balance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Reserve category</w:t>
            </w:r>
          </w:p>
        </w:tc>
        <w:tc>
          <w:tcPr>
            <w:tcW w:type="dxa" w:w="3024"/>
            <w:shd w:fill="D9EAF7"/>
            <w:tcMar>
              <w:top w:w="90" w:type="dxa"/>
              <w:start w:w="90" w:type="dxa"/>
              <w:bottom w:w="90" w:type="dxa"/>
              <w:end w:w="90" w:type="dxa"/>
            </w:tcMar>
            <w:vAlign w:val="top"/>
          </w:tcPr>
          <w:p>
            <w:pPr>
              <w:spacing w:after="0"/>
            </w:pPr>
            <w:r>
              <w:rPr>
                <w:rFonts w:ascii="Aptos" w:hAnsi="Aptos"/>
                <w:b/>
                <w:color w:val="FFFFFF"/>
                <w:sz w:val="16"/>
              </w:rPr>
              <w:t>14 day basis for 1200</w:t>
            </w:r>
          </w:p>
        </w:tc>
        <w:tc>
          <w:tcPr>
            <w:tcW w:type="dxa" w:w="5328"/>
            <w:shd w:fill="D9EAF7"/>
            <w:tcMar>
              <w:top w:w="90" w:type="dxa"/>
              <w:start w:w="90" w:type="dxa"/>
              <w:bottom w:w="90" w:type="dxa"/>
              <w:end w:w="90" w:type="dxa"/>
            </w:tcMar>
            <w:vAlign w:val="top"/>
          </w:tcPr>
          <w:p>
            <w:pPr>
              <w:spacing w:after="0"/>
            </w:pPr>
            <w:r>
              <w:rPr>
                <w:rFonts w:ascii="Aptos" w:hAnsi="Aptos"/>
                <w:b/>
                <w:color w:val="FFFFFF"/>
                <w:sz w:val="16"/>
              </w:rPr>
              <w:t>Planning note</w:t>
            </w:r>
          </w:p>
        </w:tc>
      </w:tr>
      <w:tr>
        <w:tc>
          <w:tcPr>
            <w:tcW w:type="dxa" w:w="2880"/>
            <w:tcMar>
              <w:top w:w="90" w:type="dxa"/>
              <w:start w:w="90" w:type="dxa"/>
              <w:bottom w:w="90" w:type="dxa"/>
              <w:end w:w="90" w:type="dxa"/>
            </w:tcMar>
            <w:vAlign w:val="top"/>
          </w:tcPr>
          <w:p>
            <w:pPr>
              <w:spacing w:after="0"/>
            </w:pPr>
            <w:r>
              <w:rPr>
                <w:rFonts w:ascii="Aptos" w:hAnsi="Aptos"/>
                <w:sz w:val="16"/>
              </w:rPr>
              <w:t>Water</w:t>
            </w:r>
          </w:p>
        </w:tc>
        <w:tc>
          <w:tcPr>
            <w:tcW w:type="dxa" w:w="3024"/>
            <w:tcMar>
              <w:top w:w="90" w:type="dxa"/>
              <w:start w:w="90" w:type="dxa"/>
              <w:bottom w:w="90" w:type="dxa"/>
              <w:end w:w="90" w:type="dxa"/>
            </w:tcMar>
            <w:vAlign w:val="top"/>
          </w:tcPr>
          <w:p>
            <w:pPr>
              <w:spacing w:after="0"/>
            </w:pPr>
            <w:r>
              <w:rPr>
                <w:rFonts w:ascii="Aptos" w:hAnsi="Aptos"/>
                <w:sz w:val="16"/>
              </w:rPr>
              <w:t>262.1 metric tons with 20 percent margin</w:t>
            </w:r>
          </w:p>
        </w:tc>
        <w:tc>
          <w:tcPr>
            <w:tcW w:type="dxa" w:w="5328"/>
            <w:tcMar>
              <w:top w:w="90" w:type="dxa"/>
              <w:start w:w="90" w:type="dxa"/>
              <w:bottom w:w="90" w:type="dxa"/>
              <w:end w:w="90" w:type="dxa"/>
            </w:tcMar>
            <w:vAlign w:val="top"/>
          </w:tcPr>
          <w:p>
            <w:pPr>
              <w:spacing w:after="0"/>
            </w:pPr>
            <w:r>
              <w:rPr>
                <w:rFonts w:ascii="Aptos" w:hAnsi="Aptos"/>
                <w:sz w:val="16"/>
              </w:rPr>
              <w:t>Distributed between R1 through R4 and protected bunkers.</w:t>
            </w:r>
          </w:p>
        </w:tc>
      </w:tr>
      <w:tr>
        <w:tc>
          <w:tcPr>
            <w:tcW w:type="dxa" w:w="2880"/>
            <w:tcMar>
              <w:top w:w="90" w:type="dxa"/>
              <w:start w:w="90" w:type="dxa"/>
              <w:bottom w:w="90" w:type="dxa"/>
              <w:end w:w="90" w:type="dxa"/>
            </w:tcMar>
            <w:vAlign w:val="top"/>
          </w:tcPr>
          <w:p>
            <w:pPr>
              <w:spacing w:after="0"/>
            </w:pPr>
            <w:r>
              <w:rPr>
                <w:rFonts w:ascii="Aptos" w:hAnsi="Aptos"/>
                <w:sz w:val="16"/>
              </w:rPr>
              <w:t>Food</w:t>
            </w:r>
          </w:p>
        </w:tc>
        <w:tc>
          <w:tcPr>
            <w:tcW w:type="dxa" w:w="3024"/>
            <w:tcMar>
              <w:top w:w="90" w:type="dxa"/>
              <w:start w:w="90" w:type="dxa"/>
              <w:bottom w:w="90" w:type="dxa"/>
              <w:end w:w="90" w:type="dxa"/>
            </w:tcMar>
            <w:vAlign w:val="top"/>
          </w:tcPr>
          <w:p>
            <w:pPr>
              <w:spacing w:after="0"/>
            </w:pPr>
            <w:r>
              <w:rPr>
                <w:rFonts w:ascii="Aptos" w:hAnsi="Aptos"/>
                <w:sz w:val="16"/>
              </w:rPr>
              <w:t>34.8 metric tons packaged equivalent</w:t>
            </w:r>
          </w:p>
        </w:tc>
        <w:tc>
          <w:tcPr>
            <w:tcW w:type="dxa" w:w="5328"/>
            <w:tcMar>
              <w:top w:w="90" w:type="dxa"/>
              <w:start w:w="90" w:type="dxa"/>
              <w:bottom w:w="90" w:type="dxa"/>
              <w:end w:w="90" w:type="dxa"/>
            </w:tcMar>
            <w:vAlign w:val="top"/>
          </w:tcPr>
          <w:p>
            <w:pPr>
              <w:spacing w:after="0"/>
            </w:pPr>
            <w:r>
              <w:rPr>
                <w:rFonts w:ascii="Aptos" w:hAnsi="Aptos"/>
                <w:sz w:val="16"/>
              </w:rPr>
              <w:t>Emergency rationing basis, distributed storage.</w:t>
            </w:r>
          </w:p>
        </w:tc>
      </w:tr>
      <w:tr>
        <w:tc>
          <w:tcPr>
            <w:tcW w:type="dxa" w:w="2880"/>
            <w:tcMar>
              <w:top w:w="90" w:type="dxa"/>
              <w:start w:w="90" w:type="dxa"/>
              <w:bottom w:w="90" w:type="dxa"/>
              <w:end w:w="90" w:type="dxa"/>
            </w:tcMar>
            <w:vAlign w:val="top"/>
          </w:tcPr>
          <w:p>
            <w:pPr>
              <w:spacing w:after="0"/>
            </w:pPr>
            <w:r>
              <w:rPr>
                <w:rFonts w:ascii="Aptos" w:hAnsi="Aptos"/>
                <w:sz w:val="16"/>
              </w:rPr>
              <w:t>Oxygen</w:t>
            </w:r>
          </w:p>
        </w:tc>
        <w:tc>
          <w:tcPr>
            <w:tcW w:type="dxa" w:w="3024"/>
            <w:tcMar>
              <w:top w:w="90" w:type="dxa"/>
              <w:start w:w="90" w:type="dxa"/>
              <w:bottom w:w="90" w:type="dxa"/>
              <w:end w:w="90" w:type="dxa"/>
            </w:tcMar>
            <w:vAlign w:val="top"/>
          </w:tcPr>
          <w:p>
            <w:pPr>
              <w:spacing w:after="0"/>
            </w:pPr>
            <w:r>
              <w:rPr>
                <w:rFonts w:ascii="Aptos" w:hAnsi="Aptos"/>
                <w:sz w:val="16"/>
              </w:rPr>
              <w:t>18.4 metric tons net equivalent</w:t>
            </w:r>
          </w:p>
        </w:tc>
        <w:tc>
          <w:tcPr>
            <w:tcW w:type="dxa" w:w="5328"/>
            <w:tcMar>
              <w:top w:w="90" w:type="dxa"/>
              <w:start w:w="90" w:type="dxa"/>
              <w:bottom w:w="90" w:type="dxa"/>
              <w:end w:w="90" w:type="dxa"/>
            </w:tcMar>
            <w:vAlign w:val="top"/>
          </w:tcPr>
          <w:p>
            <w:pPr>
              <w:spacing w:after="0"/>
            </w:pPr>
            <w:r>
              <w:rPr>
                <w:rFonts w:ascii="Aptos" w:hAnsi="Aptos"/>
                <w:sz w:val="16"/>
              </w:rPr>
              <w:t>Stored gas, bunker supply, recycling, and distribution basis.</w:t>
            </w:r>
          </w:p>
        </w:tc>
      </w:tr>
      <w:tr>
        <w:tc>
          <w:tcPr>
            <w:tcW w:type="dxa" w:w="2880"/>
            <w:tcMar>
              <w:top w:w="90" w:type="dxa"/>
              <w:start w:w="90" w:type="dxa"/>
              <w:bottom w:w="90" w:type="dxa"/>
              <w:end w:w="90" w:type="dxa"/>
            </w:tcMar>
            <w:vAlign w:val="top"/>
          </w:tcPr>
          <w:p>
            <w:pPr>
              <w:spacing w:after="0"/>
            </w:pPr>
            <w:r>
              <w:rPr>
                <w:rFonts w:ascii="Aptos" w:hAnsi="Aptos"/>
                <w:sz w:val="16"/>
              </w:rPr>
              <w:t>Carbon dioxide removal</w:t>
            </w:r>
          </w:p>
        </w:tc>
        <w:tc>
          <w:tcPr>
            <w:tcW w:type="dxa" w:w="3024"/>
            <w:tcMar>
              <w:top w:w="90" w:type="dxa"/>
              <w:start w:w="90" w:type="dxa"/>
              <w:bottom w:w="90" w:type="dxa"/>
              <w:end w:w="90" w:type="dxa"/>
            </w:tcMar>
            <w:vAlign w:val="top"/>
          </w:tcPr>
          <w:p>
            <w:pPr>
              <w:spacing w:after="0"/>
            </w:pPr>
            <w:r>
              <w:rPr>
                <w:rFonts w:ascii="Aptos" w:hAnsi="Aptos"/>
                <w:sz w:val="16"/>
              </w:rPr>
              <w:t>16.8 metric tons CO2 equivalent</w:t>
            </w:r>
          </w:p>
        </w:tc>
        <w:tc>
          <w:tcPr>
            <w:tcW w:type="dxa" w:w="5328"/>
            <w:tcMar>
              <w:top w:w="90" w:type="dxa"/>
              <w:start w:w="90" w:type="dxa"/>
              <w:bottom w:w="90" w:type="dxa"/>
              <w:end w:w="90" w:type="dxa"/>
            </w:tcMar>
            <w:vAlign w:val="top"/>
          </w:tcPr>
          <w:p>
            <w:pPr>
              <w:spacing w:after="0"/>
            </w:pPr>
            <w:r>
              <w:rPr>
                <w:rFonts w:ascii="Aptos" w:hAnsi="Aptos"/>
                <w:sz w:val="16"/>
              </w:rPr>
              <w:t>Sorbent regeneration or binding capacity required.</w:t>
            </w:r>
          </w:p>
        </w:tc>
      </w:tr>
      <w:tr>
        <w:tc>
          <w:tcPr>
            <w:tcW w:type="dxa" w:w="2880"/>
            <w:tcMar>
              <w:top w:w="90" w:type="dxa"/>
              <w:start w:w="90" w:type="dxa"/>
              <w:bottom w:w="90" w:type="dxa"/>
              <w:end w:w="90" w:type="dxa"/>
            </w:tcMar>
            <w:vAlign w:val="top"/>
          </w:tcPr>
          <w:p>
            <w:pPr>
              <w:spacing w:after="0"/>
            </w:pPr>
            <w:r>
              <w:rPr>
                <w:rFonts w:ascii="Aptos" w:hAnsi="Aptos"/>
                <w:sz w:val="16"/>
              </w:rPr>
              <w:t>Medical consumables</w:t>
            </w:r>
          </w:p>
        </w:tc>
        <w:tc>
          <w:tcPr>
            <w:tcW w:type="dxa" w:w="3024"/>
            <w:tcMar>
              <w:top w:w="90" w:type="dxa"/>
              <w:start w:w="90" w:type="dxa"/>
              <w:bottom w:w="90" w:type="dxa"/>
              <w:end w:w="90" w:type="dxa"/>
            </w:tcMar>
            <w:vAlign w:val="top"/>
          </w:tcPr>
          <w:p>
            <w:pPr>
              <w:spacing w:after="0"/>
            </w:pPr>
            <w:r>
              <w:rPr>
                <w:rFonts w:ascii="Aptos" w:hAnsi="Aptos"/>
                <w:sz w:val="16"/>
              </w:rPr>
              <w:t>6 to 10 metric tons</w:t>
            </w:r>
          </w:p>
        </w:tc>
        <w:tc>
          <w:tcPr>
            <w:tcW w:type="dxa" w:w="5328"/>
            <w:tcMar>
              <w:top w:w="90" w:type="dxa"/>
              <w:start w:w="90" w:type="dxa"/>
              <w:bottom w:w="90" w:type="dxa"/>
              <w:end w:w="90" w:type="dxa"/>
            </w:tcMar>
            <w:vAlign w:val="top"/>
          </w:tcPr>
          <w:p>
            <w:pPr>
              <w:spacing w:after="0"/>
            </w:pPr>
            <w:r>
              <w:rPr>
                <w:rFonts w:ascii="Aptos" w:hAnsi="Aptos"/>
                <w:sz w:val="16"/>
              </w:rPr>
              <w:t>R3 carries higher share.</w:t>
            </w:r>
          </w:p>
        </w:tc>
      </w:tr>
      <w:tr>
        <w:tc>
          <w:tcPr>
            <w:tcW w:type="dxa" w:w="2880"/>
            <w:tcMar>
              <w:top w:w="90" w:type="dxa"/>
              <w:start w:w="90" w:type="dxa"/>
              <w:bottom w:w="90" w:type="dxa"/>
              <w:end w:w="90" w:type="dxa"/>
            </w:tcMar>
            <w:vAlign w:val="top"/>
          </w:tcPr>
          <w:p>
            <w:pPr>
              <w:spacing w:after="0"/>
            </w:pPr>
            <w:r>
              <w:rPr>
                <w:rFonts w:ascii="Aptos" w:hAnsi="Aptos"/>
                <w:sz w:val="16"/>
              </w:rPr>
              <w:t>Sanitation and hygiene</w:t>
            </w:r>
          </w:p>
        </w:tc>
        <w:tc>
          <w:tcPr>
            <w:tcW w:type="dxa" w:w="3024"/>
            <w:tcMar>
              <w:top w:w="90" w:type="dxa"/>
              <w:start w:w="90" w:type="dxa"/>
              <w:bottom w:w="90" w:type="dxa"/>
              <w:end w:w="90" w:type="dxa"/>
            </w:tcMar>
            <w:vAlign w:val="top"/>
          </w:tcPr>
          <w:p>
            <w:pPr>
              <w:spacing w:after="0"/>
            </w:pPr>
            <w:r>
              <w:rPr>
                <w:rFonts w:ascii="Aptos" w:hAnsi="Aptos"/>
                <w:sz w:val="16"/>
              </w:rPr>
              <w:t>10 to 16 metric tons</w:t>
            </w:r>
          </w:p>
        </w:tc>
        <w:tc>
          <w:tcPr>
            <w:tcW w:type="dxa" w:w="5328"/>
            <w:tcMar>
              <w:top w:w="90" w:type="dxa"/>
              <w:start w:w="90" w:type="dxa"/>
              <w:bottom w:w="90" w:type="dxa"/>
              <w:end w:w="90" w:type="dxa"/>
            </w:tcMar>
            <w:vAlign w:val="top"/>
          </w:tcPr>
          <w:p>
            <w:pPr>
              <w:spacing w:after="0"/>
            </w:pPr>
            <w:r>
              <w:rPr>
                <w:rFonts w:ascii="Aptos" w:hAnsi="Aptos"/>
                <w:sz w:val="16"/>
              </w:rPr>
              <w:t>Dense occupancy refuge mode.</w:t>
            </w:r>
          </w:p>
        </w:tc>
      </w:tr>
      <w:tr>
        <w:tc>
          <w:tcPr>
            <w:tcW w:type="dxa" w:w="2880"/>
            <w:tcMar>
              <w:top w:w="90" w:type="dxa"/>
              <w:start w:w="90" w:type="dxa"/>
              <w:bottom w:w="90" w:type="dxa"/>
              <w:end w:w="90" w:type="dxa"/>
            </w:tcMar>
            <w:vAlign w:val="top"/>
          </w:tcPr>
          <w:p>
            <w:pPr>
              <w:spacing w:after="0"/>
            </w:pPr>
            <w:r>
              <w:rPr>
                <w:rFonts w:ascii="Aptos" w:hAnsi="Aptos"/>
                <w:sz w:val="16"/>
              </w:rPr>
              <w:t>Waste and contamination materials</w:t>
            </w:r>
          </w:p>
        </w:tc>
        <w:tc>
          <w:tcPr>
            <w:tcW w:type="dxa" w:w="3024"/>
            <w:tcMar>
              <w:top w:w="90" w:type="dxa"/>
              <w:start w:w="90" w:type="dxa"/>
              <w:bottom w:w="90" w:type="dxa"/>
              <w:end w:w="90" w:type="dxa"/>
            </w:tcMar>
            <w:vAlign w:val="top"/>
          </w:tcPr>
          <w:p>
            <w:pPr>
              <w:spacing w:after="0"/>
            </w:pPr>
            <w:r>
              <w:rPr>
                <w:rFonts w:ascii="Aptos" w:hAnsi="Aptos"/>
                <w:sz w:val="16"/>
              </w:rPr>
              <w:t>6 to 10 metric tons</w:t>
            </w:r>
          </w:p>
        </w:tc>
        <w:tc>
          <w:tcPr>
            <w:tcW w:type="dxa" w:w="5328"/>
            <w:tcMar>
              <w:top w:w="90" w:type="dxa"/>
              <w:start w:w="90" w:type="dxa"/>
              <w:bottom w:w="90" w:type="dxa"/>
              <w:end w:w="90" w:type="dxa"/>
            </w:tcMar>
            <w:vAlign w:val="top"/>
          </w:tcPr>
          <w:p>
            <w:pPr>
              <w:spacing w:after="0"/>
            </w:pPr>
            <w:r>
              <w:rPr>
                <w:rFonts w:ascii="Aptos" w:hAnsi="Aptos"/>
                <w:sz w:val="16"/>
              </w:rPr>
              <w:t>Packaging, isolation, and contamination control.</w:t>
            </w:r>
          </w:p>
        </w:tc>
      </w:tr>
      <w:tr>
        <w:tc>
          <w:tcPr>
            <w:tcW w:type="dxa" w:w="2880"/>
            <w:tcMar>
              <w:top w:w="90" w:type="dxa"/>
              <w:start w:w="90" w:type="dxa"/>
              <w:bottom w:w="90" w:type="dxa"/>
              <w:end w:w="90" w:type="dxa"/>
            </w:tcMar>
            <w:vAlign w:val="top"/>
          </w:tcPr>
          <w:p>
            <w:pPr>
              <w:spacing w:after="0"/>
            </w:pPr>
            <w:r>
              <w:rPr>
                <w:rFonts w:ascii="Aptos" w:hAnsi="Aptos"/>
                <w:sz w:val="16"/>
              </w:rPr>
              <w:t>Hydrogen emergency power</w:t>
            </w:r>
          </w:p>
        </w:tc>
        <w:tc>
          <w:tcPr>
            <w:tcW w:type="dxa" w:w="3024"/>
            <w:tcMar>
              <w:top w:w="90" w:type="dxa"/>
              <w:start w:w="90" w:type="dxa"/>
              <w:bottom w:w="90" w:type="dxa"/>
              <w:end w:w="90" w:type="dxa"/>
            </w:tcMar>
            <w:vAlign w:val="top"/>
          </w:tcPr>
          <w:p>
            <w:pPr>
              <w:spacing w:after="0"/>
            </w:pPr>
            <w:r>
              <w:rPr>
                <w:rFonts w:ascii="Aptos" w:hAnsi="Aptos"/>
                <w:sz w:val="16"/>
              </w:rPr>
              <w:t>90 to 120 metric tons</w:t>
            </w:r>
          </w:p>
        </w:tc>
        <w:tc>
          <w:tcPr>
            <w:tcW w:type="dxa" w:w="5328"/>
            <w:tcMar>
              <w:top w:w="90" w:type="dxa"/>
              <w:start w:w="90" w:type="dxa"/>
              <w:bottom w:w="90" w:type="dxa"/>
              <w:end w:w="90" w:type="dxa"/>
            </w:tcMar>
            <w:vAlign w:val="top"/>
          </w:tcPr>
          <w:p>
            <w:pPr>
              <w:spacing w:after="0"/>
            </w:pPr>
            <w:r>
              <w:rPr>
                <w:rFonts w:ascii="Aptos" w:hAnsi="Aptos"/>
                <w:sz w:val="16"/>
              </w:rPr>
              <w:t>Fuel cell sustainment if hydrogen is dominant energy carrier.</w:t>
            </w:r>
          </w:p>
        </w:tc>
      </w:tr>
    </w:tbl>
    <w:p>
      <w:pPr>
        <w:spacing w:after="120"/>
      </w:pPr>
    </w:p>
    <w:p>
      <w:pPr>
        <w:pStyle w:val="Heading2"/>
        <w:spacing w:before="200" w:after="120"/>
      </w:pPr>
      <w:r>
        <w:rPr>
          <w:rFonts w:ascii="Aptos" w:hAnsi="Aptos"/>
          <w:b/>
          <w:sz w:val="24"/>
        </w:rPr>
        <w:t>8.3 Evacuation architecture</w:t>
      </w:r>
    </w:p>
    <w:p>
      <w:pPr>
        <w:spacing w:after="120"/>
      </w:pPr>
      <w:r>
        <w:rPr>
          <w:rFonts w:ascii="Aptos" w:hAnsi="Aptos"/>
          <w:sz w:val="21"/>
        </w:rPr>
        <w:t>The installation must evacuate all 1200 persons within 72 hours. The evacuation system includes two protected evacuation spines, four major ascent shafts, two separated embarkation zones, protected assembly halls, emergency suit issue stations, manifest control, and dedicated transport capacity.</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4032"/>
            <w:shd w:fill="D9EAF7"/>
            <w:tcMar>
              <w:top w:w="90" w:type="dxa"/>
              <w:start w:w="90" w:type="dxa"/>
              <w:bottom w:w="90" w:type="dxa"/>
              <w:end w:w="90" w:type="dxa"/>
            </w:tcMar>
            <w:vAlign w:val="top"/>
          </w:tcPr>
          <w:p>
            <w:pPr>
              <w:spacing w:after="0"/>
            </w:pPr>
            <w:r>
              <w:rPr>
                <w:rFonts w:ascii="Aptos" w:hAnsi="Aptos"/>
                <w:b/>
                <w:color w:val="FFFFFF"/>
                <w:sz w:val="16"/>
              </w:rPr>
              <w:t>Vehicle class</w:t>
            </w:r>
          </w:p>
        </w:tc>
        <w:tc>
          <w:tcPr>
            <w:tcW w:type="dxa" w:w="1440"/>
            <w:shd w:fill="D9EAF7"/>
            <w:tcMar>
              <w:top w:w="90" w:type="dxa"/>
              <w:start w:w="90" w:type="dxa"/>
              <w:bottom w:w="90" w:type="dxa"/>
              <w:end w:w="90" w:type="dxa"/>
            </w:tcMar>
            <w:vAlign w:val="top"/>
          </w:tcPr>
          <w:p>
            <w:pPr>
              <w:spacing w:after="0"/>
            </w:pPr>
            <w:r>
              <w:rPr>
                <w:rFonts w:ascii="Aptos" w:hAnsi="Aptos"/>
                <w:b/>
                <w:color w:val="FFFFFF"/>
                <w:sz w:val="16"/>
              </w:rPr>
              <w:t>Quantity</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Seat basis</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Contribution</w:t>
            </w:r>
          </w:p>
        </w:tc>
      </w:tr>
      <w:tr>
        <w:tc>
          <w:tcPr>
            <w:tcW w:type="dxa" w:w="4032"/>
            <w:tcMar>
              <w:top w:w="90" w:type="dxa"/>
              <w:start w:w="90" w:type="dxa"/>
              <w:bottom w:w="90" w:type="dxa"/>
              <w:end w:w="90" w:type="dxa"/>
            </w:tcMar>
            <w:vAlign w:val="top"/>
          </w:tcPr>
          <w:p>
            <w:pPr>
              <w:spacing w:after="0"/>
            </w:pPr>
            <w:r>
              <w:rPr>
                <w:rFonts w:ascii="Aptos" w:hAnsi="Aptos"/>
                <w:sz w:val="16"/>
              </w:rPr>
              <w:t>Ascent capable evacuation vehicles</w:t>
            </w:r>
          </w:p>
        </w:tc>
        <w:tc>
          <w:tcPr>
            <w:tcW w:type="dxa" w:w="1440"/>
            <w:tcMar>
              <w:top w:w="90" w:type="dxa"/>
              <w:start w:w="90" w:type="dxa"/>
              <w:bottom w:w="90" w:type="dxa"/>
              <w:end w:w="90" w:type="dxa"/>
            </w:tcMar>
            <w:vAlign w:val="top"/>
          </w:tcPr>
          <w:p>
            <w:pPr>
              <w:spacing w:after="0"/>
            </w:pPr>
            <w:r>
              <w:rPr>
                <w:rFonts w:ascii="Aptos" w:hAnsi="Aptos"/>
                <w:sz w:val="16"/>
              </w:rPr>
              <w:t>12</w:t>
            </w:r>
          </w:p>
        </w:tc>
        <w:tc>
          <w:tcPr>
            <w:tcW w:type="dxa" w:w="3168"/>
            <w:tcMar>
              <w:top w:w="90" w:type="dxa"/>
              <w:start w:w="90" w:type="dxa"/>
              <w:bottom w:w="90" w:type="dxa"/>
              <w:end w:w="90" w:type="dxa"/>
            </w:tcMar>
            <w:vAlign w:val="top"/>
          </w:tcPr>
          <w:p>
            <w:pPr>
              <w:spacing w:after="0"/>
            </w:pPr>
            <w:r>
              <w:rPr>
                <w:rFonts w:ascii="Aptos" w:hAnsi="Aptos"/>
                <w:sz w:val="16"/>
              </w:rPr>
              <w:t>60 seats each</w:t>
            </w:r>
          </w:p>
        </w:tc>
        <w:tc>
          <w:tcPr>
            <w:tcW w:type="dxa" w:w="2880"/>
            <w:tcMar>
              <w:top w:w="90" w:type="dxa"/>
              <w:start w:w="90" w:type="dxa"/>
              <w:bottom w:w="90" w:type="dxa"/>
              <w:end w:w="90" w:type="dxa"/>
            </w:tcMar>
            <w:vAlign w:val="top"/>
          </w:tcPr>
          <w:p>
            <w:pPr>
              <w:spacing w:after="0"/>
            </w:pPr>
            <w:r>
              <w:rPr>
                <w:rFonts w:ascii="Aptos" w:hAnsi="Aptos"/>
                <w:sz w:val="16"/>
              </w:rPr>
              <w:t>720 seats</w:t>
            </w:r>
          </w:p>
        </w:tc>
      </w:tr>
      <w:tr>
        <w:tc>
          <w:tcPr>
            <w:tcW w:type="dxa" w:w="4032"/>
            <w:tcMar>
              <w:top w:w="90" w:type="dxa"/>
              <w:start w:w="90" w:type="dxa"/>
              <w:bottom w:w="90" w:type="dxa"/>
              <w:end w:w="90" w:type="dxa"/>
            </w:tcMar>
            <w:vAlign w:val="top"/>
          </w:tcPr>
          <w:p>
            <w:pPr>
              <w:spacing w:after="0"/>
            </w:pPr>
            <w:r>
              <w:rPr>
                <w:rFonts w:ascii="Aptos" w:hAnsi="Aptos"/>
                <w:sz w:val="16"/>
              </w:rPr>
              <w:t>Medium shuttle vehicles</w:t>
            </w:r>
          </w:p>
        </w:tc>
        <w:tc>
          <w:tcPr>
            <w:tcW w:type="dxa" w:w="1440"/>
            <w:tcMar>
              <w:top w:w="90" w:type="dxa"/>
              <w:start w:w="90" w:type="dxa"/>
              <w:bottom w:w="90" w:type="dxa"/>
              <w:end w:w="90" w:type="dxa"/>
            </w:tcMar>
            <w:vAlign w:val="top"/>
          </w:tcPr>
          <w:p>
            <w:pPr>
              <w:spacing w:after="0"/>
            </w:pPr>
            <w:r>
              <w:rPr>
                <w:rFonts w:ascii="Aptos" w:hAnsi="Aptos"/>
                <w:sz w:val="16"/>
              </w:rPr>
              <w:t>12</w:t>
            </w:r>
          </w:p>
        </w:tc>
        <w:tc>
          <w:tcPr>
            <w:tcW w:type="dxa" w:w="3168"/>
            <w:tcMar>
              <w:top w:w="90" w:type="dxa"/>
              <w:start w:w="90" w:type="dxa"/>
              <w:bottom w:w="90" w:type="dxa"/>
              <w:end w:w="90" w:type="dxa"/>
            </w:tcMar>
            <w:vAlign w:val="top"/>
          </w:tcPr>
          <w:p>
            <w:pPr>
              <w:spacing w:after="0"/>
            </w:pPr>
            <w:r>
              <w:rPr>
                <w:rFonts w:ascii="Aptos" w:hAnsi="Aptos"/>
                <w:sz w:val="16"/>
              </w:rPr>
              <w:t>30 seats each, two cycles</w:t>
            </w:r>
          </w:p>
        </w:tc>
        <w:tc>
          <w:tcPr>
            <w:tcW w:type="dxa" w:w="2880"/>
            <w:tcMar>
              <w:top w:w="90" w:type="dxa"/>
              <w:start w:w="90" w:type="dxa"/>
              <w:bottom w:w="90" w:type="dxa"/>
              <w:end w:w="90" w:type="dxa"/>
            </w:tcMar>
            <w:vAlign w:val="top"/>
          </w:tcPr>
          <w:p>
            <w:pPr>
              <w:spacing w:after="0"/>
            </w:pPr>
            <w:r>
              <w:rPr>
                <w:rFonts w:ascii="Aptos" w:hAnsi="Aptos"/>
                <w:sz w:val="16"/>
              </w:rPr>
              <w:t>720 seats</w:t>
            </w:r>
          </w:p>
        </w:tc>
      </w:tr>
      <w:tr>
        <w:tc>
          <w:tcPr>
            <w:tcW w:type="dxa" w:w="4032"/>
            <w:tcMar>
              <w:top w:w="90" w:type="dxa"/>
              <w:start w:w="90" w:type="dxa"/>
              <w:bottom w:w="90" w:type="dxa"/>
              <w:end w:w="90" w:type="dxa"/>
            </w:tcMar>
            <w:vAlign w:val="top"/>
          </w:tcPr>
          <w:p>
            <w:pPr>
              <w:spacing w:after="0"/>
            </w:pPr>
            <w:r>
              <w:rPr>
                <w:rFonts w:ascii="Aptos" w:hAnsi="Aptos"/>
                <w:sz w:val="16"/>
              </w:rPr>
              <w:t>Reserve contingency vehicles</w:t>
            </w:r>
          </w:p>
        </w:tc>
        <w:tc>
          <w:tcPr>
            <w:tcW w:type="dxa" w:w="1440"/>
            <w:tcMar>
              <w:top w:w="90" w:type="dxa"/>
              <w:start w:w="90" w:type="dxa"/>
              <w:bottom w:w="90" w:type="dxa"/>
              <w:end w:w="90" w:type="dxa"/>
            </w:tcMar>
            <w:vAlign w:val="top"/>
          </w:tcPr>
          <w:p>
            <w:pPr>
              <w:spacing w:after="0"/>
            </w:pPr>
            <w:r>
              <w:rPr>
                <w:rFonts w:ascii="Aptos" w:hAnsi="Aptos"/>
                <w:sz w:val="16"/>
              </w:rPr>
              <w:t>4</w:t>
            </w:r>
          </w:p>
        </w:tc>
        <w:tc>
          <w:tcPr>
            <w:tcW w:type="dxa" w:w="3168"/>
            <w:tcMar>
              <w:top w:w="90" w:type="dxa"/>
              <w:start w:w="90" w:type="dxa"/>
              <w:bottom w:w="90" w:type="dxa"/>
              <w:end w:w="90" w:type="dxa"/>
            </w:tcMar>
            <w:vAlign w:val="top"/>
          </w:tcPr>
          <w:p>
            <w:pPr>
              <w:spacing w:after="0"/>
            </w:pPr>
            <w:r>
              <w:rPr>
                <w:rFonts w:ascii="Aptos" w:hAnsi="Aptos"/>
                <w:sz w:val="16"/>
              </w:rPr>
              <w:t>20 seats each</w:t>
            </w:r>
          </w:p>
        </w:tc>
        <w:tc>
          <w:tcPr>
            <w:tcW w:type="dxa" w:w="2880"/>
            <w:tcMar>
              <w:top w:w="90" w:type="dxa"/>
              <w:start w:w="90" w:type="dxa"/>
              <w:bottom w:w="90" w:type="dxa"/>
              <w:end w:w="90" w:type="dxa"/>
            </w:tcMar>
            <w:vAlign w:val="top"/>
          </w:tcPr>
          <w:p>
            <w:pPr>
              <w:spacing w:after="0"/>
            </w:pPr>
            <w:r>
              <w:rPr>
                <w:rFonts w:ascii="Aptos" w:hAnsi="Aptos"/>
                <w:sz w:val="16"/>
              </w:rPr>
              <w:t>80 seats</w:t>
            </w:r>
          </w:p>
        </w:tc>
      </w:tr>
      <w:tr>
        <w:tc>
          <w:tcPr>
            <w:tcW w:type="dxa" w:w="4032"/>
            <w:tcMar>
              <w:top w:w="90" w:type="dxa"/>
              <w:start w:w="90" w:type="dxa"/>
              <w:bottom w:w="90" w:type="dxa"/>
              <w:end w:w="90" w:type="dxa"/>
            </w:tcMar>
            <w:vAlign w:val="top"/>
          </w:tcPr>
          <w:p>
            <w:pPr>
              <w:spacing w:after="0"/>
            </w:pPr>
            <w:r>
              <w:rPr>
                <w:rFonts w:ascii="Aptos" w:hAnsi="Aptos"/>
                <w:sz w:val="16"/>
              </w:rPr>
              <w:t>Total nominal evacuation capacity</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1,520 seats</w:t>
            </w:r>
          </w:p>
        </w:tc>
      </w:tr>
      <w:tr>
        <w:tc>
          <w:tcPr>
            <w:tcW w:type="dxa" w:w="4032"/>
            <w:tcMar>
              <w:top w:w="90" w:type="dxa"/>
              <w:start w:w="90" w:type="dxa"/>
              <w:bottom w:w="90" w:type="dxa"/>
              <w:end w:w="90" w:type="dxa"/>
            </w:tcMar>
            <w:vAlign w:val="top"/>
          </w:tcPr>
          <w:p>
            <w:pPr>
              <w:spacing w:after="0"/>
            </w:pPr>
            <w:r>
              <w:rPr>
                <w:rFonts w:ascii="Aptos" w:hAnsi="Aptos"/>
                <w:sz w:val="16"/>
              </w:rPr>
              <w:t>Required population</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1,200 seats</w:t>
            </w:r>
          </w:p>
        </w:tc>
      </w:tr>
      <w:tr>
        <w:tc>
          <w:tcPr>
            <w:tcW w:type="dxa" w:w="4032"/>
            <w:tcMar>
              <w:top w:w="90" w:type="dxa"/>
              <w:start w:w="90" w:type="dxa"/>
              <w:bottom w:w="90" w:type="dxa"/>
              <w:end w:w="90" w:type="dxa"/>
            </w:tcMar>
            <w:vAlign w:val="top"/>
          </w:tcPr>
          <w:p>
            <w:pPr>
              <w:spacing w:after="0"/>
            </w:pPr>
            <w:r>
              <w:rPr>
                <w:rFonts w:ascii="Aptos" w:hAnsi="Aptos"/>
                <w:sz w:val="16"/>
              </w:rPr>
              <w:t>Margin</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320 seats, about 26.7 percent</w:t>
            </w:r>
          </w:p>
        </w:tc>
      </w:tr>
    </w:tbl>
    <w:p>
      <w:pPr>
        <w:spacing w:after="120"/>
      </w:pPr>
    </w:p>
    <w:p>
      <w:pPr>
        <w:pStyle w:val="Heading2"/>
        <w:spacing w:before="200" w:after="120"/>
      </w:pPr>
      <w:r>
        <w:rPr>
          <w:rFonts w:ascii="Aptos" w:hAnsi="Aptos"/>
          <w:b/>
          <w:sz w:val="24"/>
        </w:rPr>
        <w:t>8.4 Evacuation wave model</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Wave</w:t>
            </w:r>
          </w:p>
        </w:tc>
        <w:tc>
          <w:tcPr>
            <w:tcW w:type="dxa" w:w="6048"/>
            <w:shd w:fill="D9EAF7"/>
            <w:tcMar>
              <w:top w:w="90" w:type="dxa"/>
              <w:start w:w="90" w:type="dxa"/>
              <w:bottom w:w="90" w:type="dxa"/>
              <w:end w:w="90" w:type="dxa"/>
            </w:tcMar>
            <w:vAlign w:val="top"/>
          </w:tcPr>
          <w:p>
            <w:pPr>
              <w:spacing w:after="0"/>
            </w:pPr>
            <w:r>
              <w:rPr>
                <w:rFonts w:ascii="Aptos" w:hAnsi="Aptos"/>
                <w:b/>
                <w:color w:val="FFFFFF"/>
                <w:sz w:val="16"/>
              </w:rPr>
              <w:t>Population group</w:t>
            </w:r>
          </w:p>
        </w:tc>
        <w:tc>
          <w:tcPr>
            <w:tcW w:type="dxa" w:w="1728"/>
            <w:shd w:fill="D9EAF7"/>
            <w:tcMar>
              <w:top w:w="90" w:type="dxa"/>
              <w:start w:w="90" w:type="dxa"/>
              <w:bottom w:w="90" w:type="dxa"/>
              <w:end w:w="90" w:type="dxa"/>
            </w:tcMar>
            <w:vAlign w:val="top"/>
          </w:tcPr>
          <w:p>
            <w:pPr>
              <w:spacing w:after="0"/>
            </w:pPr>
            <w:r>
              <w:rPr>
                <w:rFonts w:ascii="Aptos" w:hAnsi="Aptos"/>
                <w:b/>
                <w:color w:val="FFFFFF"/>
                <w:sz w:val="16"/>
              </w:rPr>
              <w:t>Target count</w:t>
            </w:r>
          </w:p>
        </w:tc>
        <w:tc>
          <w:tcPr>
            <w:tcW w:type="dxa" w:w="2304"/>
            <w:shd w:fill="D9EAF7"/>
            <w:tcMar>
              <w:top w:w="90" w:type="dxa"/>
              <w:start w:w="90" w:type="dxa"/>
              <w:bottom w:w="90" w:type="dxa"/>
              <w:end w:w="90" w:type="dxa"/>
            </w:tcMar>
            <w:vAlign w:val="top"/>
          </w:tcPr>
          <w:p>
            <w:pPr>
              <w:spacing w:after="0"/>
            </w:pPr>
            <w:r>
              <w:rPr>
                <w:rFonts w:ascii="Aptos" w:hAnsi="Aptos"/>
                <w:b/>
                <w:color w:val="FFFFFF"/>
                <w:sz w:val="16"/>
              </w:rPr>
              <w:t>Window</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6048"/>
            <w:tcMar>
              <w:top w:w="90" w:type="dxa"/>
              <w:start w:w="90" w:type="dxa"/>
              <w:bottom w:w="90" w:type="dxa"/>
              <w:end w:w="90" w:type="dxa"/>
            </w:tcMar>
            <w:vAlign w:val="top"/>
          </w:tcPr>
          <w:p>
            <w:pPr>
              <w:spacing w:after="0"/>
            </w:pPr>
            <w:r>
              <w:rPr>
                <w:rFonts w:ascii="Aptos" w:hAnsi="Aptos"/>
                <w:sz w:val="16"/>
              </w:rPr>
              <w:t>Priority medical, high risk casualties, nonessential visitors, selected science staff</w:t>
            </w:r>
          </w:p>
        </w:tc>
        <w:tc>
          <w:tcPr>
            <w:tcW w:type="dxa" w:w="1728"/>
            <w:tcMar>
              <w:top w:w="90" w:type="dxa"/>
              <w:start w:w="90" w:type="dxa"/>
              <w:bottom w:w="90" w:type="dxa"/>
              <w:end w:w="90" w:type="dxa"/>
            </w:tcMar>
            <w:vAlign w:val="top"/>
          </w:tcPr>
          <w:p>
            <w:pPr>
              <w:spacing w:after="0"/>
            </w:pPr>
            <w:r>
              <w:rPr>
                <w:rFonts w:ascii="Aptos" w:hAnsi="Aptos"/>
                <w:sz w:val="16"/>
              </w:rPr>
              <w:t>180</w:t>
            </w:r>
          </w:p>
        </w:tc>
        <w:tc>
          <w:tcPr>
            <w:tcW w:type="dxa" w:w="2304"/>
            <w:tcMar>
              <w:top w:w="90" w:type="dxa"/>
              <w:start w:w="90" w:type="dxa"/>
              <w:bottom w:w="90" w:type="dxa"/>
              <w:end w:w="90" w:type="dxa"/>
            </w:tcMar>
            <w:vAlign w:val="top"/>
          </w:tcPr>
          <w:p>
            <w:pPr>
              <w:spacing w:after="0"/>
            </w:pPr>
            <w:r>
              <w:rPr>
                <w:rFonts w:ascii="Aptos" w:hAnsi="Aptos"/>
                <w:sz w:val="16"/>
              </w:rPr>
              <w:t>0 to 18 hours</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6048"/>
            <w:tcMar>
              <w:top w:w="90" w:type="dxa"/>
              <w:start w:w="90" w:type="dxa"/>
              <w:bottom w:w="90" w:type="dxa"/>
              <w:end w:w="90" w:type="dxa"/>
            </w:tcMar>
            <w:vAlign w:val="top"/>
          </w:tcPr>
          <w:p>
            <w:pPr>
              <w:spacing w:after="0"/>
            </w:pPr>
            <w:r>
              <w:rPr>
                <w:rFonts w:ascii="Aptos" w:hAnsi="Aptos"/>
                <w:sz w:val="16"/>
              </w:rPr>
              <w:t>Support population from noncritical sectors</w:t>
            </w:r>
          </w:p>
        </w:tc>
        <w:tc>
          <w:tcPr>
            <w:tcW w:type="dxa" w:w="1728"/>
            <w:tcMar>
              <w:top w:w="90" w:type="dxa"/>
              <w:start w:w="90" w:type="dxa"/>
              <w:bottom w:w="90" w:type="dxa"/>
              <w:end w:w="90" w:type="dxa"/>
            </w:tcMar>
            <w:vAlign w:val="top"/>
          </w:tcPr>
          <w:p>
            <w:pPr>
              <w:spacing w:after="0"/>
            </w:pPr>
            <w:r>
              <w:rPr>
                <w:rFonts w:ascii="Aptos" w:hAnsi="Aptos"/>
                <w:sz w:val="16"/>
              </w:rPr>
              <w:t>220</w:t>
            </w:r>
          </w:p>
        </w:tc>
        <w:tc>
          <w:tcPr>
            <w:tcW w:type="dxa" w:w="2304"/>
            <w:tcMar>
              <w:top w:w="90" w:type="dxa"/>
              <w:start w:w="90" w:type="dxa"/>
              <w:bottom w:w="90" w:type="dxa"/>
              <w:end w:w="90" w:type="dxa"/>
            </w:tcMar>
            <w:vAlign w:val="top"/>
          </w:tcPr>
          <w:p>
            <w:pPr>
              <w:spacing w:after="0"/>
            </w:pPr>
            <w:r>
              <w:rPr>
                <w:rFonts w:ascii="Aptos" w:hAnsi="Aptos"/>
                <w:sz w:val="16"/>
              </w:rPr>
              <w:t>12 to 24 hours</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6048"/>
            <w:tcMar>
              <w:top w:w="90" w:type="dxa"/>
              <w:start w:w="90" w:type="dxa"/>
              <w:bottom w:w="90" w:type="dxa"/>
              <w:end w:w="90" w:type="dxa"/>
            </w:tcMar>
            <w:vAlign w:val="top"/>
          </w:tcPr>
          <w:p>
            <w:pPr>
              <w:spacing w:after="0"/>
            </w:pPr>
            <w:r>
              <w:rPr>
                <w:rFonts w:ascii="Aptos" w:hAnsi="Aptos"/>
                <w:sz w:val="16"/>
              </w:rPr>
              <w:t>Main residential population north</w:t>
            </w:r>
          </w:p>
        </w:tc>
        <w:tc>
          <w:tcPr>
            <w:tcW w:type="dxa" w:w="1728"/>
            <w:tcMar>
              <w:top w:w="90" w:type="dxa"/>
              <w:start w:w="90" w:type="dxa"/>
              <w:bottom w:w="90" w:type="dxa"/>
              <w:end w:w="90" w:type="dxa"/>
            </w:tcMar>
            <w:vAlign w:val="top"/>
          </w:tcPr>
          <w:p>
            <w:pPr>
              <w:spacing w:after="0"/>
            </w:pPr>
            <w:r>
              <w:rPr>
                <w:rFonts w:ascii="Aptos" w:hAnsi="Aptos"/>
                <w:sz w:val="16"/>
              </w:rPr>
              <w:t>260</w:t>
            </w:r>
          </w:p>
        </w:tc>
        <w:tc>
          <w:tcPr>
            <w:tcW w:type="dxa" w:w="2304"/>
            <w:tcMar>
              <w:top w:w="90" w:type="dxa"/>
              <w:start w:w="90" w:type="dxa"/>
              <w:bottom w:w="90" w:type="dxa"/>
              <w:end w:w="90" w:type="dxa"/>
            </w:tcMar>
            <w:vAlign w:val="top"/>
          </w:tcPr>
          <w:p>
            <w:pPr>
              <w:spacing w:after="0"/>
            </w:pPr>
            <w:r>
              <w:rPr>
                <w:rFonts w:ascii="Aptos" w:hAnsi="Aptos"/>
                <w:sz w:val="16"/>
              </w:rPr>
              <w:t>18 to 36 hours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6048"/>
            <w:tcMar>
              <w:top w:w="90" w:type="dxa"/>
              <w:start w:w="90" w:type="dxa"/>
              <w:bottom w:w="90" w:type="dxa"/>
              <w:end w:w="90" w:type="dxa"/>
            </w:tcMar>
            <w:vAlign w:val="top"/>
          </w:tcPr>
          <w:p>
            <w:pPr>
              <w:spacing w:after="0"/>
            </w:pPr>
            <w:r>
              <w:rPr>
                <w:rFonts w:ascii="Aptos" w:hAnsi="Aptos"/>
                <w:sz w:val="16"/>
              </w:rPr>
              <w:t>Main residential population south</w:t>
            </w:r>
          </w:p>
        </w:tc>
        <w:tc>
          <w:tcPr>
            <w:tcW w:type="dxa" w:w="1728"/>
            <w:tcMar>
              <w:top w:w="90" w:type="dxa"/>
              <w:start w:w="90" w:type="dxa"/>
              <w:bottom w:w="90" w:type="dxa"/>
              <w:end w:w="90" w:type="dxa"/>
            </w:tcMar>
            <w:vAlign w:val="top"/>
          </w:tcPr>
          <w:p>
            <w:pPr>
              <w:spacing w:after="0"/>
            </w:pPr>
            <w:r>
              <w:rPr>
                <w:rFonts w:ascii="Aptos" w:hAnsi="Aptos"/>
                <w:sz w:val="16"/>
              </w:rPr>
              <w:t>260</w:t>
            </w:r>
          </w:p>
        </w:tc>
        <w:tc>
          <w:tcPr>
            <w:tcW w:type="dxa" w:w="2304"/>
            <w:tcMar>
              <w:top w:w="90" w:type="dxa"/>
              <w:start w:w="90" w:type="dxa"/>
              <w:bottom w:w="90" w:type="dxa"/>
              <w:end w:w="90" w:type="dxa"/>
            </w:tcMar>
            <w:vAlign w:val="top"/>
          </w:tcPr>
          <w:p>
            <w:pPr>
              <w:spacing w:after="0"/>
            </w:pPr>
            <w:r>
              <w:rPr>
                <w:rFonts w:ascii="Aptos" w:hAnsi="Aptos"/>
                <w:sz w:val="16"/>
              </w:rPr>
              <w:t>24 to 48 hours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6048"/>
            <w:tcMar>
              <w:top w:w="90" w:type="dxa"/>
              <w:start w:w="90" w:type="dxa"/>
              <w:bottom w:w="90" w:type="dxa"/>
              <w:end w:w="90" w:type="dxa"/>
            </w:tcMar>
            <w:vAlign w:val="top"/>
          </w:tcPr>
          <w:p>
            <w:pPr>
              <w:spacing w:after="0"/>
            </w:pPr>
            <w:r>
              <w:rPr>
                <w:rFonts w:ascii="Aptos" w:hAnsi="Aptos"/>
                <w:sz w:val="16"/>
              </w:rPr>
              <w:t>Industrial support and logistics population</w:t>
            </w:r>
          </w:p>
        </w:tc>
        <w:tc>
          <w:tcPr>
            <w:tcW w:type="dxa" w:w="1728"/>
            <w:tcMar>
              <w:top w:w="90" w:type="dxa"/>
              <w:start w:w="90" w:type="dxa"/>
              <w:bottom w:w="90" w:type="dxa"/>
              <w:end w:w="90" w:type="dxa"/>
            </w:tcMar>
            <w:vAlign w:val="top"/>
          </w:tcPr>
          <w:p>
            <w:pPr>
              <w:spacing w:after="0"/>
            </w:pPr>
            <w:r>
              <w:rPr>
                <w:rFonts w:ascii="Aptos" w:hAnsi="Aptos"/>
                <w:sz w:val="16"/>
              </w:rPr>
              <w:t>180</w:t>
            </w:r>
          </w:p>
        </w:tc>
        <w:tc>
          <w:tcPr>
            <w:tcW w:type="dxa" w:w="2304"/>
            <w:tcMar>
              <w:top w:w="90" w:type="dxa"/>
              <w:start w:w="90" w:type="dxa"/>
              <w:bottom w:w="90" w:type="dxa"/>
              <w:end w:w="90" w:type="dxa"/>
            </w:tcMar>
            <w:vAlign w:val="top"/>
          </w:tcPr>
          <w:p>
            <w:pPr>
              <w:spacing w:after="0"/>
            </w:pPr>
            <w:r>
              <w:rPr>
                <w:rFonts w:ascii="Aptos" w:hAnsi="Aptos"/>
                <w:sz w:val="16"/>
              </w:rPr>
              <w:t>36 to 54 hours</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6048"/>
            <w:tcMar>
              <w:top w:w="90" w:type="dxa"/>
              <w:start w:w="90" w:type="dxa"/>
              <w:bottom w:w="90" w:type="dxa"/>
              <w:end w:w="90" w:type="dxa"/>
            </w:tcMar>
            <w:vAlign w:val="top"/>
          </w:tcPr>
          <w:p>
            <w:pPr>
              <w:spacing w:after="0"/>
            </w:pPr>
            <w:r>
              <w:rPr>
                <w:rFonts w:ascii="Aptos" w:hAnsi="Aptos"/>
                <w:sz w:val="16"/>
              </w:rPr>
              <w:t>Shutdown crews, emergency response, command closeout</w:t>
            </w:r>
          </w:p>
        </w:tc>
        <w:tc>
          <w:tcPr>
            <w:tcW w:type="dxa" w:w="1728"/>
            <w:tcMar>
              <w:top w:w="90" w:type="dxa"/>
              <w:start w:w="90" w:type="dxa"/>
              <w:bottom w:w="90" w:type="dxa"/>
              <w:end w:w="90" w:type="dxa"/>
            </w:tcMar>
            <w:vAlign w:val="top"/>
          </w:tcPr>
          <w:p>
            <w:pPr>
              <w:spacing w:after="0"/>
            </w:pPr>
            <w:r>
              <w:rPr>
                <w:rFonts w:ascii="Aptos" w:hAnsi="Aptos"/>
                <w:sz w:val="16"/>
              </w:rPr>
              <w:t>100</w:t>
            </w:r>
          </w:p>
        </w:tc>
        <w:tc>
          <w:tcPr>
            <w:tcW w:type="dxa" w:w="2304"/>
            <w:tcMar>
              <w:top w:w="90" w:type="dxa"/>
              <w:start w:w="90" w:type="dxa"/>
              <w:bottom w:w="90" w:type="dxa"/>
              <w:end w:w="90" w:type="dxa"/>
            </w:tcMar>
            <w:vAlign w:val="top"/>
          </w:tcPr>
          <w:p>
            <w:pPr>
              <w:spacing w:after="0"/>
            </w:pPr>
            <w:r>
              <w:rPr>
                <w:rFonts w:ascii="Aptos" w:hAnsi="Aptos"/>
                <w:sz w:val="16"/>
              </w:rPr>
              <w:t>54 to 72 hours</w:t>
            </w:r>
          </w:p>
        </w:tc>
      </w:tr>
    </w:tbl>
    <w:p>
      <w:pPr>
        <w:spacing w:after="120"/>
      </w:pPr>
    </w:p>
    <w:p>
      <w:pPr>
        <w:pStyle w:val="Heading1"/>
        <w:spacing w:before="200" w:after="120"/>
      </w:pPr>
      <w:r>
        <w:rPr>
          <w:rFonts w:ascii="Aptos" w:hAnsi="Aptos"/>
          <w:b/>
          <w:sz w:val="28"/>
        </w:rPr>
        <w:t>9. Staffing, Operations, Commissioning, and Maintenance</w:t>
      </w:r>
    </w:p>
    <w:p>
      <w:pPr>
        <w:pStyle w:val="Heading2"/>
        <w:spacing w:before="200" w:after="120"/>
      </w:pPr>
      <w:r>
        <w:rPr>
          <w:rFonts w:ascii="Aptos" w:hAnsi="Aptos"/>
          <w:b/>
          <w:sz w:val="24"/>
        </w:rPr>
        <w:t>9.1 Staffing model</w:t>
      </w:r>
    </w:p>
    <w:p>
      <w:pPr>
        <w:spacing w:after="120"/>
      </w:pPr>
      <w:r>
        <w:rPr>
          <w:rFonts w:ascii="Aptos" w:hAnsi="Aptos"/>
          <w:sz w:val="21"/>
        </w:rPr>
        <w:t>The base uses a 24 hour continuous operations model with three shifts. Average concurrent active staffing is about 376 personnel, with the remainder in rest, training, reserve, or off shift status.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District</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Daily shift assignments</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Operational emphasis</w:t>
            </w:r>
          </w:p>
        </w:tc>
      </w:tr>
      <w:tr>
        <w:tc>
          <w:tcPr>
            <w:tcW w:type="dxa" w:w="2880"/>
            <w:tcMar>
              <w:top w:w="90" w:type="dxa"/>
              <w:start w:w="90" w:type="dxa"/>
              <w:bottom w:w="90" w:type="dxa"/>
              <w:end w:w="90" w:type="dxa"/>
            </w:tcMar>
            <w:vAlign w:val="top"/>
          </w:tcPr>
          <w:p>
            <w:pPr>
              <w:spacing w:after="0"/>
            </w:pPr>
            <w:r>
              <w:rPr>
                <w:rFonts w:ascii="Aptos" w:hAnsi="Aptos"/>
                <w:sz w:val="16"/>
              </w:rPr>
              <w:t>A Surface industrial</w:t>
            </w:r>
          </w:p>
        </w:tc>
        <w:tc>
          <w:tcPr>
            <w:tcW w:type="dxa" w:w="3168"/>
            <w:tcMar>
              <w:top w:w="90" w:type="dxa"/>
              <w:start w:w="90" w:type="dxa"/>
              <w:bottom w:w="90" w:type="dxa"/>
              <w:end w:w="90" w:type="dxa"/>
            </w:tcMar>
            <w:vAlign w:val="top"/>
          </w:tcPr>
          <w:p>
            <w:pPr>
              <w:spacing w:after="0"/>
            </w:pPr>
            <w:r>
              <w:rPr>
                <w:rFonts w:ascii="Aptos" w:hAnsi="Aptos"/>
                <w:sz w:val="16"/>
              </w:rPr>
              <w:t>292</w:t>
            </w:r>
          </w:p>
        </w:tc>
        <w:tc>
          <w:tcPr>
            <w:tcW w:type="dxa" w:w="5760"/>
            <w:tcMar>
              <w:top w:w="90" w:type="dxa"/>
              <w:start w:w="90" w:type="dxa"/>
              <w:bottom w:w="90" w:type="dxa"/>
              <w:end w:w="90" w:type="dxa"/>
            </w:tcMar>
            <w:vAlign w:val="top"/>
          </w:tcPr>
          <w:p>
            <w:pPr>
              <w:spacing w:after="0"/>
            </w:pPr>
            <w:r>
              <w:rPr>
                <w:rFonts w:ascii="Aptos" w:hAnsi="Aptos"/>
                <w:sz w:val="16"/>
              </w:rPr>
              <w:t>Production, process control, maintenance, mobility support.</w:t>
            </w:r>
          </w:p>
        </w:tc>
      </w:tr>
      <w:tr>
        <w:tc>
          <w:tcPr>
            <w:tcW w:type="dxa" w:w="2880"/>
            <w:tcMar>
              <w:top w:w="90" w:type="dxa"/>
              <w:start w:w="90" w:type="dxa"/>
              <w:bottom w:w="90" w:type="dxa"/>
              <w:end w:w="90" w:type="dxa"/>
            </w:tcMar>
            <w:vAlign w:val="top"/>
          </w:tcPr>
          <w:p>
            <w:pPr>
              <w:spacing w:after="0"/>
            </w:pPr>
            <w:r>
              <w:rPr>
                <w:rFonts w:ascii="Aptos" w:hAnsi="Aptos"/>
                <w:sz w:val="16"/>
              </w:rPr>
              <w:t>B Habitat and command</w:t>
            </w:r>
          </w:p>
        </w:tc>
        <w:tc>
          <w:tcPr>
            <w:tcW w:type="dxa" w:w="3168"/>
            <w:tcMar>
              <w:top w:w="90" w:type="dxa"/>
              <w:start w:w="90" w:type="dxa"/>
              <w:bottom w:w="90" w:type="dxa"/>
              <w:end w:w="90" w:type="dxa"/>
            </w:tcMar>
            <w:vAlign w:val="top"/>
          </w:tcPr>
          <w:p>
            <w:pPr>
              <w:spacing w:after="0"/>
            </w:pPr>
            <w:r>
              <w:rPr>
                <w:rFonts w:ascii="Aptos" w:hAnsi="Aptos"/>
                <w:sz w:val="16"/>
              </w:rPr>
              <w:t>434</w:t>
            </w:r>
          </w:p>
        </w:tc>
        <w:tc>
          <w:tcPr>
            <w:tcW w:type="dxa" w:w="5760"/>
            <w:tcMar>
              <w:top w:w="90" w:type="dxa"/>
              <w:start w:w="90" w:type="dxa"/>
              <w:bottom w:w="90" w:type="dxa"/>
              <w:end w:w="90" w:type="dxa"/>
            </w:tcMar>
            <w:vAlign w:val="top"/>
          </w:tcPr>
          <w:p>
            <w:pPr>
              <w:spacing w:after="0"/>
            </w:pPr>
            <w:r>
              <w:rPr>
                <w:rFonts w:ascii="Aptos" w:hAnsi="Aptos"/>
                <w:sz w:val="16"/>
              </w:rPr>
              <w:t>Mission control, life support, medical, residential services, food, labs.</w:t>
            </w:r>
          </w:p>
        </w:tc>
      </w:tr>
      <w:tr>
        <w:tc>
          <w:tcPr>
            <w:tcW w:type="dxa" w:w="2880"/>
            <w:tcMar>
              <w:top w:w="90" w:type="dxa"/>
              <w:start w:w="90" w:type="dxa"/>
              <w:bottom w:w="90" w:type="dxa"/>
              <w:end w:w="90" w:type="dxa"/>
            </w:tcMar>
            <w:vAlign w:val="top"/>
          </w:tcPr>
          <w:p>
            <w:pPr>
              <w:spacing w:after="0"/>
            </w:pPr>
            <w:r>
              <w:rPr>
                <w:rFonts w:ascii="Aptos" w:hAnsi="Aptos"/>
                <w:sz w:val="16"/>
              </w:rPr>
              <w:t>C Power and thermal</w:t>
            </w:r>
          </w:p>
        </w:tc>
        <w:tc>
          <w:tcPr>
            <w:tcW w:type="dxa" w:w="3168"/>
            <w:tcMar>
              <w:top w:w="90" w:type="dxa"/>
              <w:start w:w="90" w:type="dxa"/>
              <w:bottom w:w="90" w:type="dxa"/>
              <w:end w:w="90" w:type="dxa"/>
            </w:tcMar>
            <w:vAlign w:val="top"/>
          </w:tcPr>
          <w:p>
            <w:pPr>
              <w:spacing w:after="0"/>
            </w:pPr>
            <w:r>
              <w:rPr>
                <w:rFonts w:ascii="Aptos" w:hAnsi="Aptos"/>
                <w:sz w:val="16"/>
              </w:rPr>
              <w:t>154</w:t>
            </w:r>
          </w:p>
        </w:tc>
        <w:tc>
          <w:tcPr>
            <w:tcW w:type="dxa" w:w="5760"/>
            <w:tcMar>
              <w:top w:w="90" w:type="dxa"/>
              <w:start w:w="90" w:type="dxa"/>
              <w:bottom w:w="90" w:type="dxa"/>
              <w:end w:w="90" w:type="dxa"/>
            </w:tcMar>
            <w:vAlign w:val="top"/>
          </w:tcPr>
          <w:p>
            <w:pPr>
              <w:spacing w:after="0"/>
            </w:pPr>
            <w:r>
              <w:rPr>
                <w:rFonts w:ascii="Aptos" w:hAnsi="Aptos"/>
                <w:sz w:val="16"/>
              </w:rPr>
              <w:t>Reactor operations, grid, emergency power, thermal rejection.</w:t>
            </w:r>
          </w:p>
        </w:tc>
      </w:tr>
      <w:tr>
        <w:tc>
          <w:tcPr>
            <w:tcW w:type="dxa" w:w="2880"/>
            <w:tcMar>
              <w:top w:w="90" w:type="dxa"/>
              <w:start w:w="90" w:type="dxa"/>
              <w:bottom w:w="90" w:type="dxa"/>
              <w:end w:w="90" w:type="dxa"/>
            </w:tcMar>
            <w:vAlign w:val="top"/>
          </w:tcPr>
          <w:p>
            <w:pPr>
              <w:spacing w:after="0"/>
            </w:pPr>
            <w:r>
              <w:rPr>
                <w:rFonts w:ascii="Aptos" w:hAnsi="Aptos"/>
                <w:sz w:val="16"/>
              </w:rPr>
              <w:t>D Landing and export</w:t>
            </w:r>
          </w:p>
        </w:tc>
        <w:tc>
          <w:tcPr>
            <w:tcW w:type="dxa" w:w="3168"/>
            <w:tcMar>
              <w:top w:w="90" w:type="dxa"/>
              <w:start w:w="90" w:type="dxa"/>
              <w:bottom w:w="90" w:type="dxa"/>
              <w:end w:w="90" w:type="dxa"/>
            </w:tcMar>
            <w:vAlign w:val="top"/>
          </w:tcPr>
          <w:p>
            <w:pPr>
              <w:spacing w:after="0"/>
            </w:pPr>
            <w:r>
              <w:rPr>
                <w:rFonts w:ascii="Aptos" w:hAnsi="Aptos"/>
                <w:sz w:val="16"/>
              </w:rPr>
              <w:t>156</w:t>
            </w:r>
          </w:p>
        </w:tc>
        <w:tc>
          <w:tcPr>
            <w:tcW w:type="dxa" w:w="5760"/>
            <w:tcMar>
              <w:top w:w="90" w:type="dxa"/>
              <w:start w:w="90" w:type="dxa"/>
              <w:bottom w:w="90" w:type="dxa"/>
              <w:end w:w="90" w:type="dxa"/>
            </w:tcMar>
            <w:vAlign w:val="top"/>
          </w:tcPr>
          <w:p>
            <w:pPr>
              <w:spacing w:after="0"/>
            </w:pPr>
            <w:r>
              <w:rPr>
                <w:rFonts w:ascii="Aptos" w:hAnsi="Aptos"/>
                <w:sz w:val="16"/>
              </w:rPr>
              <w:t>Pads, cargo, warehousing, export, embarkation readiness.</w:t>
            </w:r>
          </w:p>
        </w:tc>
      </w:tr>
      <w:tr>
        <w:tc>
          <w:tcPr>
            <w:tcW w:type="dxa" w:w="2880"/>
            <w:tcMar>
              <w:top w:w="90" w:type="dxa"/>
              <w:start w:w="90" w:type="dxa"/>
              <w:bottom w:w="90" w:type="dxa"/>
              <w:end w:w="90" w:type="dxa"/>
            </w:tcMar>
            <w:vAlign w:val="top"/>
          </w:tcPr>
          <w:p>
            <w:pPr>
              <w:spacing w:after="0"/>
            </w:pPr>
            <w:r>
              <w:rPr>
                <w:rFonts w:ascii="Aptos" w:hAnsi="Aptos"/>
                <w:sz w:val="16"/>
              </w:rPr>
              <w:t>E Emergency support</w:t>
            </w:r>
          </w:p>
        </w:tc>
        <w:tc>
          <w:tcPr>
            <w:tcW w:type="dxa" w:w="3168"/>
            <w:tcMar>
              <w:top w:w="90" w:type="dxa"/>
              <w:start w:w="90" w:type="dxa"/>
              <w:bottom w:w="90" w:type="dxa"/>
              <w:end w:w="90" w:type="dxa"/>
            </w:tcMar>
            <w:vAlign w:val="top"/>
          </w:tcPr>
          <w:p>
            <w:pPr>
              <w:spacing w:after="0"/>
            </w:pPr>
            <w:r>
              <w:rPr>
                <w:rFonts w:ascii="Aptos" w:hAnsi="Aptos"/>
                <w:sz w:val="16"/>
              </w:rPr>
              <w:t>92</w:t>
            </w:r>
          </w:p>
        </w:tc>
        <w:tc>
          <w:tcPr>
            <w:tcW w:type="dxa" w:w="5760"/>
            <w:tcMar>
              <w:top w:w="90" w:type="dxa"/>
              <w:start w:w="90" w:type="dxa"/>
              <w:bottom w:w="90" w:type="dxa"/>
              <w:end w:w="90" w:type="dxa"/>
            </w:tcMar>
            <w:vAlign w:val="top"/>
          </w:tcPr>
          <w:p>
            <w:pPr>
              <w:spacing w:after="0"/>
            </w:pPr>
            <w:r>
              <w:rPr>
                <w:rFonts w:ascii="Aptos" w:hAnsi="Aptos"/>
                <w:sz w:val="16"/>
              </w:rPr>
              <w:t>Refuge readiness, manifest, suit issue, mobility depot, alternate command.</w:t>
            </w:r>
          </w:p>
        </w:tc>
      </w:tr>
      <w:tr>
        <w:tc>
          <w:tcPr>
            <w:tcW w:type="dxa" w:w="2880"/>
            <w:tcMar>
              <w:top w:w="90" w:type="dxa"/>
              <w:start w:w="90" w:type="dxa"/>
              <w:bottom w:w="90" w:type="dxa"/>
              <w:end w:w="90" w:type="dxa"/>
            </w:tcMar>
            <w:vAlign w:val="top"/>
          </w:tcPr>
          <w:p>
            <w:pPr>
              <w:spacing w:after="0"/>
            </w:pPr>
            <w:r>
              <w:rPr>
                <w:rFonts w:ascii="Aptos" w:hAnsi="Aptos"/>
                <w:sz w:val="16"/>
              </w:rPr>
              <w:t>Total</w:t>
            </w:r>
          </w:p>
        </w:tc>
        <w:tc>
          <w:tcPr>
            <w:tcW w:type="dxa" w:w="3168"/>
            <w:tcMar>
              <w:top w:w="90" w:type="dxa"/>
              <w:start w:w="90" w:type="dxa"/>
              <w:bottom w:w="90" w:type="dxa"/>
              <w:end w:w="90" w:type="dxa"/>
            </w:tcMar>
            <w:vAlign w:val="top"/>
          </w:tcPr>
          <w:p>
            <w:pPr>
              <w:spacing w:after="0"/>
            </w:pPr>
            <w:r>
              <w:rPr>
                <w:rFonts w:ascii="Aptos" w:hAnsi="Aptos"/>
                <w:sz w:val="16"/>
              </w:rPr>
              <w:t>1,128 daily shift assignments</w:t>
            </w:r>
          </w:p>
        </w:tc>
        <w:tc>
          <w:tcPr>
            <w:tcW w:type="dxa" w:w="5760"/>
            <w:tcMar>
              <w:top w:w="90" w:type="dxa"/>
              <w:start w:w="90" w:type="dxa"/>
              <w:bottom w:w="90" w:type="dxa"/>
              <w:end w:w="90" w:type="dxa"/>
            </w:tcMar>
            <w:vAlign w:val="top"/>
          </w:tcPr>
          <w:p>
            <w:pPr>
              <w:spacing w:after="0"/>
            </w:pPr>
            <w:r>
              <w:rPr>
                <w:rFonts w:ascii="Aptos" w:hAnsi="Aptos"/>
                <w:sz w:val="16"/>
              </w:rPr>
              <w:t>About 376 concurrent active positions.</w:t>
            </w:r>
          </w:p>
        </w:tc>
      </w:tr>
    </w:tbl>
    <w:p>
      <w:pPr>
        <w:spacing w:after="120"/>
      </w:pPr>
    </w:p>
    <w:p>
      <w:pPr>
        <w:pStyle w:val="Heading2"/>
        <w:spacing w:before="200" w:after="120"/>
      </w:pPr>
      <w:r>
        <w:rPr>
          <w:rFonts w:ascii="Aptos" w:hAnsi="Aptos"/>
          <w:b/>
          <w:sz w:val="24"/>
        </w:rPr>
        <w:t>9.2 Readiness states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State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Operational meaning</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2880"/>
            <w:tcMar>
              <w:top w:w="90" w:type="dxa"/>
              <w:start w:w="90" w:type="dxa"/>
              <w:bottom w:w="90" w:type="dxa"/>
              <w:end w:w="90" w:type="dxa"/>
            </w:tcMar>
            <w:vAlign w:val="top"/>
          </w:tcPr>
          <w:p>
            <w:pPr>
              <w:spacing w:after="0"/>
            </w:pPr>
            <w:r>
              <w:rPr>
                <w:rFonts w:ascii="Aptos" w:hAnsi="Aptos"/>
                <w:sz w:val="16"/>
              </w:rPr>
              <w:t>Full production</w:t>
            </w:r>
          </w:p>
        </w:tc>
        <w:tc>
          <w:tcPr>
            <w:tcW w:type="dxa" w:w="7200"/>
            <w:tcMar>
              <w:top w:w="90" w:type="dxa"/>
              <w:start w:w="90" w:type="dxa"/>
              <w:bottom w:w="90" w:type="dxa"/>
              <w:end w:w="90" w:type="dxa"/>
            </w:tcMar>
            <w:vAlign w:val="top"/>
          </w:tcPr>
          <w:p>
            <w:pPr>
              <w:spacing w:after="0"/>
            </w:pPr>
            <w:r>
              <w:rPr>
                <w:rFonts w:ascii="Aptos" w:hAnsi="Aptos"/>
                <w:sz w:val="16"/>
              </w:rPr>
              <w:t>Utilities stable, industrial output at target, normal traffic and export.</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2880"/>
            <w:tcMar>
              <w:top w:w="90" w:type="dxa"/>
              <w:start w:w="90" w:type="dxa"/>
              <w:bottom w:w="90" w:type="dxa"/>
              <w:end w:w="90" w:type="dxa"/>
            </w:tcMar>
            <w:vAlign w:val="top"/>
          </w:tcPr>
          <w:p>
            <w:pPr>
              <w:spacing w:after="0"/>
            </w:pPr>
            <w:r>
              <w:rPr>
                <w:rFonts w:ascii="Aptos" w:hAnsi="Aptos"/>
                <w:sz w:val="16"/>
              </w:rPr>
              <w:t>Constrained production</w:t>
            </w:r>
          </w:p>
        </w:tc>
        <w:tc>
          <w:tcPr>
            <w:tcW w:type="dxa" w:w="7200"/>
            <w:tcMar>
              <w:top w:w="90" w:type="dxa"/>
              <w:start w:w="90" w:type="dxa"/>
              <w:bottom w:w="90" w:type="dxa"/>
              <w:end w:w="90" w:type="dxa"/>
            </w:tcMar>
            <w:vAlign w:val="top"/>
          </w:tcPr>
          <w:p>
            <w:pPr>
              <w:spacing w:after="0"/>
            </w:pPr>
            <w:r>
              <w:rPr>
                <w:rFonts w:ascii="Aptos" w:hAnsi="Aptos"/>
                <w:sz w:val="16"/>
              </w:rPr>
              <w:t>Maintenance or reduced load, life safety unaffected.</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2880"/>
            <w:tcMar>
              <w:top w:w="90" w:type="dxa"/>
              <w:start w:w="90" w:type="dxa"/>
              <w:bottom w:w="90" w:type="dxa"/>
              <w:end w:w="90" w:type="dxa"/>
            </w:tcMar>
            <w:vAlign w:val="top"/>
          </w:tcPr>
          <w:p>
            <w:pPr>
              <w:spacing w:after="0"/>
            </w:pPr>
            <w:r>
              <w:rPr>
                <w:rFonts w:ascii="Aptos" w:hAnsi="Aptos"/>
                <w:sz w:val="16"/>
              </w:rPr>
              <w:t>Utility protective mode</w:t>
            </w:r>
          </w:p>
        </w:tc>
        <w:tc>
          <w:tcPr>
            <w:tcW w:type="dxa" w:w="7200"/>
            <w:tcMar>
              <w:top w:w="90" w:type="dxa"/>
              <w:start w:w="90" w:type="dxa"/>
              <w:bottom w:w="90" w:type="dxa"/>
              <w:end w:w="90" w:type="dxa"/>
            </w:tcMar>
            <w:vAlign w:val="top"/>
          </w:tcPr>
          <w:p>
            <w:pPr>
              <w:spacing w:after="0"/>
            </w:pPr>
            <w:r>
              <w:rPr>
                <w:rFonts w:ascii="Aptos" w:hAnsi="Aptos"/>
                <w:sz w:val="16"/>
              </w:rPr>
              <w:t>Production reduced to protect power, water, atmosphere, or thermal reserves.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2880"/>
            <w:tcMar>
              <w:top w:w="90" w:type="dxa"/>
              <w:start w:w="90" w:type="dxa"/>
              <w:bottom w:w="90" w:type="dxa"/>
              <w:end w:w="90" w:type="dxa"/>
            </w:tcMar>
            <w:vAlign w:val="top"/>
          </w:tcPr>
          <w:p>
            <w:pPr>
              <w:spacing w:after="0"/>
            </w:pPr>
            <w:r>
              <w:rPr>
                <w:rFonts w:ascii="Aptos" w:hAnsi="Aptos"/>
                <w:sz w:val="16"/>
              </w:rPr>
              <w:t>Refuge watch</w:t>
            </w:r>
          </w:p>
        </w:tc>
        <w:tc>
          <w:tcPr>
            <w:tcW w:type="dxa" w:w="7200"/>
            <w:tcMar>
              <w:top w:w="90" w:type="dxa"/>
              <w:start w:w="90" w:type="dxa"/>
              <w:bottom w:w="90" w:type="dxa"/>
              <w:end w:w="90" w:type="dxa"/>
            </w:tcMar>
            <w:vAlign w:val="top"/>
          </w:tcPr>
          <w:p>
            <w:pPr>
              <w:spacing w:after="0"/>
            </w:pPr>
            <w:r>
              <w:rPr>
                <w:rFonts w:ascii="Aptos" w:hAnsi="Aptos"/>
                <w:sz w:val="16"/>
              </w:rPr>
              <w:t>Warning condition, movement restrictions, refuge precharge, assembly readiness.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2880"/>
            <w:tcMar>
              <w:top w:w="90" w:type="dxa"/>
              <w:start w:w="90" w:type="dxa"/>
              <w:bottom w:w="90" w:type="dxa"/>
              <w:end w:w="90" w:type="dxa"/>
            </w:tcMar>
            <w:vAlign w:val="top"/>
          </w:tcPr>
          <w:p>
            <w:pPr>
              <w:spacing w:after="0"/>
            </w:pPr>
            <w:r>
              <w:rPr>
                <w:rFonts w:ascii="Aptos" w:hAnsi="Aptos"/>
                <w:sz w:val="16"/>
              </w:rPr>
              <w:t>Refuge occupancy</w:t>
            </w:r>
          </w:p>
        </w:tc>
        <w:tc>
          <w:tcPr>
            <w:tcW w:type="dxa" w:w="7200"/>
            <w:tcMar>
              <w:top w:w="90" w:type="dxa"/>
              <w:start w:w="90" w:type="dxa"/>
              <w:bottom w:w="90" w:type="dxa"/>
              <w:end w:w="90" w:type="dxa"/>
            </w:tcMar>
            <w:vAlign w:val="top"/>
          </w:tcPr>
          <w:p>
            <w:pPr>
              <w:spacing w:after="0"/>
            </w:pPr>
            <w:r>
              <w:rPr>
                <w:rFonts w:ascii="Aptos" w:hAnsi="Aptos"/>
                <w:sz w:val="16"/>
              </w:rPr>
              <w:t>Population consolidates into R1 through R4, industrial production safed.</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2880"/>
            <w:tcMar>
              <w:top w:w="90" w:type="dxa"/>
              <w:start w:w="90" w:type="dxa"/>
              <w:bottom w:w="90" w:type="dxa"/>
              <w:end w:w="90" w:type="dxa"/>
            </w:tcMar>
            <w:vAlign w:val="top"/>
          </w:tcPr>
          <w:p>
            <w:pPr>
              <w:spacing w:after="0"/>
            </w:pPr>
            <w:r>
              <w:rPr>
                <w:rFonts w:ascii="Aptos" w:hAnsi="Aptos"/>
                <w:sz w:val="16"/>
              </w:rPr>
              <w:t>Evacuation mode</w:t>
            </w:r>
          </w:p>
        </w:tc>
        <w:tc>
          <w:tcPr>
            <w:tcW w:type="dxa" w:w="7200"/>
            <w:tcMar>
              <w:top w:w="90" w:type="dxa"/>
              <w:start w:w="90" w:type="dxa"/>
              <w:bottom w:w="90" w:type="dxa"/>
              <w:end w:w="90" w:type="dxa"/>
            </w:tcMar>
            <w:vAlign w:val="top"/>
          </w:tcPr>
          <w:p>
            <w:pPr>
              <w:spacing w:after="0"/>
            </w:pPr>
            <w:r>
              <w:rPr>
                <w:rFonts w:ascii="Aptos" w:hAnsi="Aptos"/>
                <w:sz w:val="16"/>
              </w:rPr>
              <w:t>Wave movement to embarkation zones begins, final shutdown crews remain last.</w:t>
            </w:r>
          </w:p>
        </w:tc>
      </w:tr>
    </w:tbl>
    <w:p>
      <w:pPr>
        <w:spacing w:after="120"/>
      </w:pPr>
    </w:p>
    <w:p>
      <w:pPr>
        <w:pStyle w:val="Heading2"/>
        <w:spacing w:before="200" w:after="120"/>
      </w:pPr>
      <w:r>
        <w:rPr>
          <w:rFonts w:ascii="Aptos" w:hAnsi="Aptos"/>
          <w:b/>
          <w:sz w:val="24"/>
        </w:rPr>
        <w:t>9.3 Commissioning gates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Gate</w:t>
            </w:r>
          </w:p>
        </w:tc>
        <w:tc>
          <w:tcPr>
            <w:tcW w:type="dxa" w:w="360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912"/>
            <w:shd w:fill="D9EAF7"/>
            <w:tcMar>
              <w:top w:w="90" w:type="dxa"/>
              <w:start w:w="90" w:type="dxa"/>
              <w:bottom w:w="90" w:type="dxa"/>
              <w:end w:w="90" w:type="dxa"/>
            </w:tcMar>
            <w:vAlign w:val="top"/>
          </w:tcPr>
          <w:p>
            <w:pPr>
              <w:spacing w:after="0"/>
            </w:pPr>
            <w:r>
              <w:rPr>
                <w:rFonts w:ascii="Aptos" w:hAnsi="Aptos"/>
                <w:b/>
                <w:color w:val="FFFFFF"/>
                <w:sz w:val="16"/>
              </w:rPr>
              <w:t>Exit condition</w:t>
            </w:r>
          </w:p>
        </w:tc>
      </w:tr>
      <w:tr>
        <w:tc>
          <w:tcPr>
            <w:tcW w:type="dxa" w:w="1152"/>
            <w:tcMar>
              <w:top w:w="90" w:type="dxa"/>
              <w:start w:w="90" w:type="dxa"/>
              <w:bottom w:w="90" w:type="dxa"/>
              <w:end w:w="90" w:type="dxa"/>
            </w:tcMar>
            <w:vAlign w:val="top"/>
          </w:tcPr>
          <w:p>
            <w:pPr>
              <w:spacing w:after="0"/>
            </w:pPr>
            <w:r>
              <w:rPr>
                <w:rFonts w:ascii="Aptos" w:hAnsi="Aptos"/>
                <w:sz w:val="16"/>
              </w:rPr>
              <w:t>G1</w:t>
            </w:r>
          </w:p>
        </w:tc>
        <w:tc>
          <w:tcPr>
            <w:tcW w:type="dxa" w:w="3600"/>
            <w:tcMar>
              <w:top w:w="90" w:type="dxa"/>
              <w:start w:w="90" w:type="dxa"/>
              <w:bottom w:w="90" w:type="dxa"/>
              <w:end w:w="90" w:type="dxa"/>
            </w:tcMar>
            <w:vAlign w:val="top"/>
          </w:tcPr>
          <w:p>
            <w:pPr>
              <w:spacing w:after="0"/>
            </w:pPr>
            <w:r>
              <w:rPr>
                <w:rFonts w:ascii="Aptos" w:hAnsi="Aptos"/>
                <w:sz w:val="16"/>
              </w:rPr>
              <w:t>Civil and construction power</w:t>
            </w:r>
          </w:p>
        </w:tc>
        <w:tc>
          <w:tcPr>
            <w:tcW w:type="dxa" w:w="6912"/>
            <w:tcMar>
              <w:top w:w="90" w:type="dxa"/>
              <w:start w:w="90" w:type="dxa"/>
              <w:bottom w:w="90" w:type="dxa"/>
              <w:end w:w="90" w:type="dxa"/>
            </w:tcMar>
            <w:vAlign w:val="top"/>
          </w:tcPr>
          <w:p>
            <w:pPr>
              <w:spacing w:after="0"/>
            </w:pPr>
            <w:r>
              <w:rPr>
                <w:rFonts w:ascii="Aptos" w:hAnsi="Aptos"/>
                <w:sz w:val="16"/>
              </w:rPr>
              <w:t>Pads, roads, site communications, and construction microgrid ready.</w:t>
            </w:r>
          </w:p>
        </w:tc>
      </w:tr>
      <w:tr>
        <w:tc>
          <w:tcPr>
            <w:tcW w:type="dxa" w:w="1152"/>
            <w:tcMar>
              <w:top w:w="90" w:type="dxa"/>
              <w:start w:w="90" w:type="dxa"/>
              <w:bottom w:w="90" w:type="dxa"/>
              <w:end w:w="90" w:type="dxa"/>
            </w:tcMar>
            <w:vAlign w:val="top"/>
          </w:tcPr>
          <w:p>
            <w:pPr>
              <w:spacing w:after="0"/>
            </w:pPr>
            <w:r>
              <w:rPr>
                <w:rFonts w:ascii="Aptos" w:hAnsi="Aptos"/>
                <w:sz w:val="16"/>
              </w:rPr>
              <w:t>G2</w:t>
            </w:r>
          </w:p>
        </w:tc>
        <w:tc>
          <w:tcPr>
            <w:tcW w:type="dxa" w:w="3600"/>
            <w:tcMar>
              <w:top w:w="90" w:type="dxa"/>
              <w:start w:w="90" w:type="dxa"/>
              <w:bottom w:w="90" w:type="dxa"/>
              <w:end w:w="90" w:type="dxa"/>
            </w:tcMar>
            <w:vAlign w:val="top"/>
          </w:tcPr>
          <w:p>
            <w:pPr>
              <w:spacing w:after="0"/>
            </w:pPr>
            <w:r>
              <w:rPr>
                <w:rFonts w:ascii="Aptos" w:hAnsi="Aptos"/>
                <w:sz w:val="16"/>
              </w:rPr>
              <w:t>Dependable power</w:t>
            </w:r>
          </w:p>
        </w:tc>
        <w:tc>
          <w:tcPr>
            <w:tcW w:type="dxa" w:w="6912"/>
            <w:tcMar>
              <w:top w:w="90" w:type="dxa"/>
              <w:start w:w="90" w:type="dxa"/>
              <w:bottom w:w="90" w:type="dxa"/>
              <w:end w:w="90" w:type="dxa"/>
            </w:tcMar>
            <w:vAlign w:val="top"/>
          </w:tcPr>
          <w:p>
            <w:pPr>
              <w:spacing w:after="0"/>
            </w:pPr>
            <w:r>
              <w:rPr>
                <w:rFonts w:ascii="Aptos" w:hAnsi="Aptos"/>
                <w:sz w:val="16"/>
              </w:rPr>
              <w:t>Initial dependable generation, emergency reserves, and black start demonstrated.</w:t>
            </w:r>
          </w:p>
        </w:tc>
      </w:tr>
      <w:tr>
        <w:tc>
          <w:tcPr>
            <w:tcW w:type="dxa" w:w="1152"/>
            <w:tcMar>
              <w:top w:w="90" w:type="dxa"/>
              <w:start w:w="90" w:type="dxa"/>
              <w:bottom w:w="90" w:type="dxa"/>
              <w:end w:w="90" w:type="dxa"/>
            </w:tcMar>
            <w:vAlign w:val="top"/>
          </w:tcPr>
          <w:p>
            <w:pPr>
              <w:spacing w:after="0"/>
            </w:pPr>
            <w:r>
              <w:rPr>
                <w:rFonts w:ascii="Aptos" w:hAnsi="Aptos"/>
                <w:sz w:val="16"/>
              </w:rPr>
              <w:t>G3</w:t>
            </w:r>
          </w:p>
        </w:tc>
        <w:tc>
          <w:tcPr>
            <w:tcW w:type="dxa" w:w="3600"/>
            <w:tcMar>
              <w:top w:w="90" w:type="dxa"/>
              <w:start w:w="90" w:type="dxa"/>
              <w:bottom w:w="90" w:type="dxa"/>
              <w:end w:w="90" w:type="dxa"/>
            </w:tcMar>
            <w:vAlign w:val="top"/>
          </w:tcPr>
          <w:p>
            <w:pPr>
              <w:spacing w:after="0"/>
            </w:pPr>
            <w:r>
              <w:rPr>
                <w:rFonts w:ascii="Aptos" w:hAnsi="Aptos"/>
                <w:sz w:val="16"/>
              </w:rPr>
              <w:t>Protected underground shell</w:t>
            </w:r>
          </w:p>
        </w:tc>
        <w:tc>
          <w:tcPr>
            <w:tcW w:type="dxa" w:w="6912"/>
            <w:tcMar>
              <w:top w:w="90" w:type="dxa"/>
              <w:start w:w="90" w:type="dxa"/>
              <w:bottom w:w="90" w:type="dxa"/>
              <w:end w:w="90" w:type="dxa"/>
            </w:tcMar>
            <w:vAlign w:val="top"/>
          </w:tcPr>
          <w:p>
            <w:pPr>
              <w:spacing w:after="0"/>
            </w:pPr>
            <w:r>
              <w:rPr>
                <w:rFonts w:ascii="Aptos" w:hAnsi="Aptos"/>
                <w:sz w:val="16"/>
              </w:rPr>
              <w:t>Shafts, galleries, and first refuge cluster pressure ready.</w:t>
            </w:r>
          </w:p>
        </w:tc>
      </w:tr>
      <w:tr>
        <w:tc>
          <w:tcPr>
            <w:tcW w:type="dxa" w:w="1152"/>
            <w:tcMar>
              <w:top w:w="90" w:type="dxa"/>
              <w:start w:w="90" w:type="dxa"/>
              <w:bottom w:w="90" w:type="dxa"/>
              <w:end w:w="90" w:type="dxa"/>
            </w:tcMar>
            <w:vAlign w:val="top"/>
          </w:tcPr>
          <w:p>
            <w:pPr>
              <w:spacing w:after="0"/>
            </w:pPr>
            <w:r>
              <w:rPr>
                <w:rFonts w:ascii="Aptos" w:hAnsi="Aptos"/>
                <w:sz w:val="16"/>
              </w:rPr>
              <w:t>G4</w:t>
            </w:r>
          </w:p>
        </w:tc>
        <w:tc>
          <w:tcPr>
            <w:tcW w:type="dxa" w:w="3600"/>
            <w:tcMar>
              <w:top w:w="90" w:type="dxa"/>
              <w:start w:w="90" w:type="dxa"/>
              <w:bottom w:w="90" w:type="dxa"/>
              <w:end w:w="90" w:type="dxa"/>
            </w:tcMar>
            <w:vAlign w:val="top"/>
          </w:tcPr>
          <w:p>
            <w:pPr>
              <w:spacing w:after="0"/>
            </w:pPr>
            <w:r>
              <w:rPr>
                <w:rFonts w:ascii="Aptos" w:hAnsi="Aptos"/>
                <w:sz w:val="16"/>
              </w:rPr>
              <w:t>Life support</w:t>
            </w:r>
          </w:p>
        </w:tc>
        <w:tc>
          <w:tcPr>
            <w:tcW w:type="dxa" w:w="6912"/>
            <w:tcMar>
              <w:top w:w="90" w:type="dxa"/>
              <w:start w:w="90" w:type="dxa"/>
              <w:bottom w:w="90" w:type="dxa"/>
              <w:end w:w="90" w:type="dxa"/>
            </w:tcMar>
            <w:vAlign w:val="top"/>
          </w:tcPr>
          <w:p>
            <w:pPr>
              <w:spacing w:after="0"/>
            </w:pPr>
            <w:r>
              <w:rPr>
                <w:rFonts w:ascii="Aptos" w:hAnsi="Aptos"/>
                <w:sz w:val="16"/>
              </w:rPr>
              <w:t>Atmosphere, water, sanitation, and habitability validated.</w:t>
            </w:r>
          </w:p>
        </w:tc>
      </w:tr>
      <w:tr>
        <w:tc>
          <w:tcPr>
            <w:tcW w:type="dxa" w:w="1152"/>
            <w:tcMar>
              <w:top w:w="90" w:type="dxa"/>
              <w:start w:w="90" w:type="dxa"/>
              <w:bottom w:w="90" w:type="dxa"/>
              <w:end w:w="90" w:type="dxa"/>
            </w:tcMar>
            <w:vAlign w:val="top"/>
          </w:tcPr>
          <w:p>
            <w:pPr>
              <w:spacing w:after="0"/>
            </w:pPr>
            <w:r>
              <w:rPr>
                <w:rFonts w:ascii="Aptos" w:hAnsi="Aptos"/>
                <w:sz w:val="16"/>
              </w:rPr>
              <w:t>G5</w:t>
            </w:r>
          </w:p>
        </w:tc>
        <w:tc>
          <w:tcPr>
            <w:tcW w:type="dxa" w:w="3600"/>
            <w:tcMar>
              <w:top w:w="90" w:type="dxa"/>
              <w:start w:w="90" w:type="dxa"/>
              <w:bottom w:w="90" w:type="dxa"/>
              <w:end w:w="90" w:type="dxa"/>
            </w:tcMar>
            <w:vAlign w:val="top"/>
          </w:tcPr>
          <w:p>
            <w:pPr>
              <w:spacing w:after="0"/>
            </w:pPr>
            <w:r>
              <w:rPr>
                <w:rFonts w:ascii="Aptos" w:hAnsi="Aptos"/>
                <w:sz w:val="16"/>
              </w:rPr>
              <w:t>Command and medical</w:t>
            </w:r>
          </w:p>
        </w:tc>
        <w:tc>
          <w:tcPr>
            <w:tcW w:type="dxa" w:w="6912"/>
            <w:tcMar>
              <w:top w:w="90" w:type="dxa"/>
              <w:start w:w="90" w:type="dxa"/>
              <w:bottom w:w="90" w:type="dxa"/>
              <w:end w:w="90" w:type="dxa"/>
            </w:tcMar>
            <w:vAlign w:val="top"/>
          </w:tcPr>
          <w:p>
            <w:pPr>
              <w:spacing w:after="0"/>
            </w:pPr>
            <w:r>
              <w:rPr>
                <w:rFonts w:ascii="Aptos" w:hAnsi="Aptos"/>
                <w:sz w:val="16"/>
              </w:rPr>
              <w:t>Mission control, medical core, data, and alternate command active.</w:t>
            </w:r>
          </w:p>
        </w:tc>
      </w:tr>
      <w:tr>
        <w:tc>
          <w:tcPr>
            <w:tcW w:type="dxa" w:w="1152"/>
            <w:tcMar>
              <w:top w:w="90" w:type="dxa"/>
              <w:start w:w="90" w:type="dxa"/>
              <w:bottom w:w="90" w:type="dxa"/>
              <w:end w:w="90" w:type="dxa"/>
            </w:tcMar>
            <w:vAlign w:val="top"/>
          </w:tcPr>
          <w:p>
            <w:pPr>
              <w:spacing w:after="0"/>
            </w:pPr>
            <w:r>
              <w:rPr>
                <w:rFonts w:ascii="Aptos" w:hAnsi="Aptos"/>
                <w:sz w:val="16"/>
              </w:rPr>
              <w:t>G6</w:t>
            </w:r>
          </w:p>
        </w:tc>
        <w:tc>
          <w:tcPr>
            <w:tcW w:type="dxa" w:w="3600"/>
            <w:tcMar>
              <w:top w:w="90" w:type="dxa"/>
              <w:start w:w="90" w:type="dxa"/>
              <w:bottom w:w="90" w:type="dxa"/>
              <w:end w:w="90" w:type="dxa"/>
            </w:tcMar>
            <w:vAlign w:val="top"/>
          </w:tcPr>
          <w:p>
            <w:pPr>
              <w:spacing w:after="0"/>
            </w:pPr>
            <w:r>
              <w:rPr>
                <w:rFonts w:ascii="Aptos" w:hAnsi="Aptos"/>
                <w:sz w:val="16"/>
              </w:rPr>
              <w:t>Water and oxygen industrial</w:t>
            </w:r>
          </w:p>
        </w:tc>
        <w:tc>
          <w:tcPr>
            <w:tcW w:type="dxa" w:w="6912"/>
            <w:tcMar>
              <w:top w:w="90" w:type="dxa"/>
              <w:start w:w="90" w:type="dxa"/>
              <w:bottom w:w="90" w:type="dxa"/>
              <w:end w:w="90" w:type="dxa"/>
            </w:tcMar>
            <w:vAlign w:val="top"/>
          </w:tcPr>
          <w:p>
            <w:pPr>
              <w:spacing w:after="0"/>
            </w:pPr>
            <w:r>
              <w:rPr>
                <w:rFonts w:ascii="Aptos" w:hAnsi="Aptos"/>
                <w:sz w:val="16"/>
              </w:rPr>
              <w:t>Stable water, purification, electrolysis, and oxygen production.</w:t>
            </w:r>
          </w:p>
        </w:tc>
      </w:tr>
      <w:tr>
        <w:tc>
          <w:tcPr>
            <w:tcW w:type="dxa" w:w="1152"/>
            <w:tcMar>
              <w:top w:w="90" w:type="dxa"/>
              <w:start w:w="90" w:type="dxa"/>
              <w:bottom w:w="90" w:type="dxa"/>
              <w:end w:w="90" w:type="dxa"/>
            </w:tcMar>
            <w:vAlign w:val="top"/>
          </w:tcPr>
          <w:p>
            <w:pPr>
              <w:spacing w:after="0"/>
            </w:pPr>
            <w:r>
              <w:rPr>
                <w:rFonts w:ascii="Aptos" w:hAnsi="Aptos"/>
                <w:sz w:val="16"/>
              </w:rPr>
              <w:t>G7</w:t>
            </w:r>
          </w:p>
        </w:tc>
        <w:tc>
          <w:tcPr>
            <w:tcW w:type="dxa" w:w="3600"/>
            <w:tcMar>
              <w:top w:w="90" w:type="dxa"/>
              <w:start w:w="90" w:type="dxa"/>
              <w:bottom w:w="90" w:type="dxa"/>
              <w:end w:w="90" w:type="dxa"/>
            </w:tcMar>
            <w:vAlign w:val="top"/>
          </w:tcPr>
          <w:p>
            <w:pPr>
              <w:spacing w:after="0"/>
            </w:pPr>
            <w:r>
              <w:rPr>
                <w:rFonts w:ascii="Aptos" w:hAnsi="Aptos"/>
                <w:sz w:val="16"/>
              </w:rPr>
              <w:t>Full protection</w:t>
            </w:r>
          </w:p>
        </w:tc>
        <w:tc>
          <w:tcPr>
            <w:tcW w:type="dxa" w:w="6912"/>
            <w:tcMar>
              <w:top w:w="90" w:type="dxa"/>
              <w:start w:w="90" w:type="dxa"/>
              <w:bottom w:w="90" w:type="dxa"/>
              <w:end w:w="90" w:type="dxa"/>
            </w:tcMar>
            <w:vAlign w:val="top"/>
          </w:tcPr>
          <w:p>
            <w:pPr>
              <w:spacing w:after="0"/>
            </w:pPr>
            <w:r>
              <w:rPr>
                <w:rFonts w:ascii="Aptos" w:hAnsi="Aptos"/>
                <w:sz w:val="16"/>
              </w:rPr>
              <w:t>All four refuges, both spines, and both embarkation zones operational.</w:t>
            </w:r>
          </w:p>
        </w:tc>
      </w:tr>
      <w:tr>
        <w:tc>
          <w:tcPr>
            <w:tcW w:type="dxa" w:w="1152"/>
            <w:tcMar>
              <w:top w:w="90" w:type="dxa"/>
              <w:start w:w="90" w:type="dxa"/>
              <w:bottom w:w="90" w:type="dxa"/>
              <w:end w:w="90" w:type="dxa"/>
            </w:tcMar>
            <w:vAlign w:val="top"/>
          </w:tcPr>
          <w:p>
            <w:pPr>
              <w:spacing w:after="0"/>
            </w:pPr>
            <w:r>
              <w:rPr>
                <w:rFonts w:ascii="Aptos" w:hAnsi="Aptos"/>
                <w:sz w:val="16"/>
              </w:rPr>
              <w:t>G8</w:t>
            </w:r>
          </w:p>
        </w:tc>
        <w:tc>
          <w:tcPr>
            <w:tcW w:type="dxa" w:w="3600"/>
            <w:tcMar>
              <w:top w:w="90" w:type="dxa"/>
              <w:start w:w="90" w:type="dxa"/>
              <w:bottom w:w="90" w:type="dxa"/>
              <w:end w:w="90" w:type="dxa"/>
            </w:tcMar>
            <w:vAlign w:val="top"/>
          </w:tcPr>
          <w:p>
            <w:pPr>
              <w:spacing w:after="0"/>
            </w:pPr>
            <w:r>
              <w:rPr>
                <w:rFonts w:ascii="Aptos" w:hAnsi="Aptos"/>
                <w:sz w:val="16"/>
              </w:rPr>
              <w:t>Logistics and export</w:t>
            </w:r>
          </w:p>
        </w:tc>
        <w:tc>
          <w:tcPr>
            <w:tcW w:type="dxa" w:w="6912"/>
            <w:tcMar>
              <w:top w:w="90" w:type="dxa"/>
              <w:start w:w="90" w:type="dxa"/>
              <w:bottom w:w="90" w:type="dxa"/>
              <w:end w:w="90" w:type="dxa"/>
            </w:tcMar>
            <w:vAlign w:val="top"/>
          </w:tcPr>
          <w:p>
            <w:pPr>
              <w:spacing w:after="0"/>
            </w:pPr>
            <w:r>
              <w:rPr>
                <w:rFonts w:ascii="Aptos" w:hAnsi="Aptos"/>
                <w:sz w:val="16"/>
              </w:rPr>
              <w:t>Cryogenic storage, export loading, and landing district mature.</w:t>
            </w:r>
          </w:p>
        </w:tc>
      </w:tr>
      <w:tr>
        <w:tc>
          <w:tcPr>
            <w:tcW w:type="dxa" w:w="1152"/>
            <w:tcMar>
              <w:top w:w="90" w:type="dxa"/>
              <w:start w:w="90" w:type="dxa"/>
              <w:bottom w:w="90" w:type="dxa"/>
              <w:end w:w="90" w:type="dxa"/>
            </w:tcMar>
            <w:vAlign w:val="top"/>
          </w:tcPr>
          <w:p>
            <w:pPr>
              <w:spacing w:after="0"/>
            </w:pPr>
            <w:r>
              <w:rPr>
                <w:rFonts w:ascii="Aptos" w:hAnsi="Aptos"/>
                <w:sz w:val="16"/>
              </w:rPr>
              <w:t>G9</w:t>
            </w:r>
          </w:p>
        </w:tc>
        <w:tc>
          <w:tcPr>
            <w:tcW w:type="dxa" w:w="3600"/>
            <w:tcMar>
              <w:top w:w="90" w:type="dxa"/>
              <w:start w:w="90" w:type="dxa"/>
              <w:bottom w:w="90" w:type="dxa"/>
              <w:end w:w="90" w:type="dxa"/>
            </w:tcMar>
            <w:vAlign w:val="top"/>
          </w:tcPr>
          <w:p>
            <w:pPr>
              <w:spacing w:after="0"/>
            </w:pPr>
            <w:r>
              <w:rPr>
                <w:rFonts w:ascii="Aptos" w:hAnsi="Aptos"/>
                <w:sz w:val="16"/>
              </w:rPr>
              <w:t>Evacuation certification</w:t>
            </w:r>
          </w:p>
        </w:tc>
        <w:tc>
          <w:tcPr>
            <w:tcW w:type="dxa" w:w="6912"/>
            <w:tcMar>
              <w:top w:w="90" w:type="dxa"/>
              <w:start w:w="90" w:type="dxa"/>
              <w:bottom w:w="90" w:type="dxa"/>
              <w:end w:w="90" w:type="dxa"/>
            </w:tcMar>
            <w:vAlign w:val="top"/>
          </w:tcPr>
          <w:p>
            <w:pPr>
              <w:spacing w:after="0"/>
            </w:pPr>
            <w:r>
              <w:rPr>
                <w:rFonts w:ascii="Aptos" w:hAnsi="Aptos"/>
                <w:sz w:val="16"/>
              </w:rPr>
              <w:t>72 hour clearance model and live partial execution validated.</w:t>
            </w:r>
          </w:p>
        </w:tc>
      </w:tr>
    </w:tbl>
    <w:p>
      <w:pPr>
        <w:spacing w:after="120"/>
      </w:pPr>
    </w:p>
    <w:p>
      <w:pPr>
        <w:pStyle w:val="Heading2"/>
        <w:spacing w:before="200" w:after="120"/>
      </w:pPr>
      <w:r>
        <w:rPr>
          <w:rFonts w:ascii="Aptos" w:hAnsi="Aptos"/>
          <w:b/>
          <w:sz w:val="24"/>
        </w:rPr>
        <w:t>9.4 Maintenance philosophy</w:t>
      </w:r>
    </w:p>
    <w:p>
      <w:pPr>
        <w:spacing w:after="120"/>
      </w:pPr>
      <w:r>
        <w:rPr>
          <w:rFonts w:ascii="Aptos" w:hAnsi="Aptos"/>
          <w:sz w:val="21"/>
        </w:rPr>
        <w:t>Maintenance is organized into operator care, scheduled preventive maintenance, predictive maintenance, corrective maintenance, and major overhaul. Life support, refuge readiness, command continuity, and emergency embarkation systems receive the highest availability targets.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040"/>
            <w:shd w:fill="D9EAF7"/>
            <w:tcMar>
              <w:top w:w="90" w:type="dxa"/>
              <w:start w:w="90" w:type="dxa"/>
              <w:bottom w:w="90" w:type="dxa"/>
              <w:end w:w="90" w:type="dxa"/>
            </w:tcMar>
            <w:vAlign w:val="top"/>
          </w:tcPr>
          <w:p>
            <w:pPr>
              <w:spacing w:after="0"/>
            </w:pPr>
            <w:r>
              <w:rPr>
                <w:rFonts w:ascii="Aptos" w:hAnsi="Aptos"/>
                <w:b/>
                <w:color w:val="FFFFFF"/>
                <w:sz w:val="16"/>
              </w:rPr>
              <w:t>System</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Availability target</w:t>
            </w:r>
          </w:p>
        </w:tc>
      </w:tr>
      <w:tr>
        <w:tc>
          <w:tcPr>
            <w:tcW w:type="dxa" w:w="5040"/>
            <w:tcMar>
              <w:top w:w="90" w:type="dxa"/>
              <w:start w:w="90" w:type="dxa"/>
              <w:bottom w:w="90" w:type="dxa"/>
              <w:end w:w="90" w:type="dxa"/>
            </w:tcMar>
            <w:vAlign w:val="top"/>
          </w:tcPr>
          <w:p>
            <w:pPr>
              <w:spacing w:after="0"/>
            </w:pPr>
            <w:r>
              <w:rPr>
                <w:rFonts w:ascii="Aptos" w:hAnsi="Aptos"/>
                <w:sz w:val="16"/>
              </w:rPr>
              <w:t>Life support</w:t>
            </w:r>
          </w:p>
        </w:tc>
        <w:tc>
          <w:tcPr>
            <w:tcW w:type="dxa" w:w="4320"/>
            <w:tcMar>
              <w:top w:w="90" w:type="dxa"/>
              <w:start w:w="90" w:type="dxa"/>
              <w:bottom w:w="90" w:type="dxa"/>
              <w:end w:w="90" w:type="dxa"/>
            </w:tcMar>
            <w:vAlign w:val="top"/>
          </w:tcPr>
          <w:p>
            <w:pPr>
              <w:spacing w:after="0"/>
            </w:pPr>
            <w:r>
              <w:rPr>
                <w:rFonts w:ascii="Aptos" w:hAnsi="Aptos"/>
                <w:sz w:val="16"/>
              </w:rPr>
              <w:t>99.99 percent or better</w:t>
            </w:r>
          </w:p>
        </w:tc>
      </w:tr>
      <w:tr>
        <w:tc>
          <w:tcPr>
            <w:tcW w:type="dxa" w:w="5040"/>
            <w:tcMar>
              <w:top w:w="90" w:type="dxa"/>
              <w:start w:w="90" w:type="dxa"/>
              <w:bottom w:w="90" w:type="dxa"/>
              <w:end w:w="90" w:type="dxa"/>
            </w:tcMar>
            <w:vAlign w:val="top"/>
          </w:tcPr>
          <w:p>
            <w:pPr>
              <w:spacing w:after="0"/>
            </w:pPr>
            <w:r>
              <w:rPr>
                <w:rFonts w:ascii="Aptos" w:hAnsi="Aptos"/>
                <w:sz w:val="16"/>
              </w:rPr>
              <w:t>Command continuity</w:t>
            </w:r>
          </w:p>
        </w:tc>
        <w:tc>
          <w:tcPr>
            <w:tcW w:type="dxa" w:w="4320"/>
            <w:tcMar>
              <w:top w:w="90" w:type="dxa"/>
              <w:start w:w="90" w:type="dxa"/>
              <w:bottom w:w="90" w:type="dxa"/>
              <w:end w:w="90" w:type="dxa"/>
            </w:tcMar>
            <w:vAlign w:val="top"/>
          </w:tcPr>
          <w:p>
            <w:pPr>
              <w:spacing w:after="0"/>
            </w:pPr>
            <w:r>
              <w:rPr>
                <w:rFonts w:ascii="Aptos" w:hAnsi="Aptos"/>
                <w:sz w:val="16"/>
              </w:rPr>
              <w:t>99.99 percent or better</w:t>
            </w:r>
          </w:p>
        </w:tc>
      </w:tr>
      <w:tr>
        <w:tc>
          <w:tcPr>
            <w:tcW w:type="dxa" w:w="5040"/>
            <w:tcMar>
              <w:top w:w="90" w:type="dxa"/>
              <w:start w:w="90" w:type="dxa"/>
              <w:bottom w:w="90" w:type="dxa"/>
              <w:end w:w="90" w:type="dxa"/>
            </w:tcMar>
            <w:vAlign w:val="top"/>
          </w:tcPr>
          <w:p>
            <w:pPr>
              <w:spacing w:after="0"/>
            </w:pPr>
            <w:r>
              <w:rPr>
                <w:rFonts w:ascii="Aptos" w:hAnsi="Aptos"/>
                <w:sz w:val="16"/>
              </w:rPr>
              <w:t>Medical critical systems</w:t>
            </w:r>
          </w:p>
        </w:tc>
        <w:tc>
          <w:tcPr>
            <w:tcW w:type="dxa" w:w="4320"/>
            <w:tcMar>
              <w:top w:w="90" w:type="dxa"/>
              <w:start w:w="90" w:type="dxa"/>
              <w:bottom w:w="90" w:type="dxa"/>
              <w:end w:w="90" w:type="dxa"/>
            </w:tcMar>
            <w:vAlign w:val="top"/>
          </w:tcPr>
          <w:p>
            <w:pPr>
              <w:spacing w:after="0"/>
            </w:pPr>
            <w:r>
              <w:rPr>
                <w:rFonts w:ascii="Aptos" w:hAnsi="Aptos"/>
                <w:sz w:val="16"/>
              </w:rPr>
              <w:t>99.95 percent or better</w:t>
            </w:r>
          </w:p>
        </w:tc>
      </w:tr>
      <w:tr>
        <w:tc>
          <w:tcPr>
            <w:tcW w:type="dxa" w:w="5040"/>
            <w:tcMar>
              <w:top w:w="90" w:type="dxa"/>
              <w:start w:w="90" w:type="dxa"/>
              <w:bottom w:w="90" w:type="dxa"/>
              <w:end w:w="90" w:type="dxa"/>
            </w:tcMar>
            <w:vAlign w:val="top"/>
          </w:tcPr>
          <w:p>
            <w:pPr>
              <w:spacing w:after="0"/>
            </w:pPr>
            <w:r>
              <w:rPr>
                <w:rFonts w:ascii="Aptos" w:hAnsi="Aptos"/>
                <w:sz w:val="16"/>
              </w:rPr>
              <w:t>Refuge readiness</w:t>
            </w:r>
          </w:p>
        </w:tc>
        <w:tc>
          <w:tcPr>
            <w:tcW w:type="dxa" w:w="4320"/>
            <w:tcMar>
              <w:top w:w="90" w:type="dxa"/>
              <w:start w:w="90" w:type="dxa"/>
              <w:bottom w:w="90" w:type="dxa"/>
              <w:end w:w="90" w:type="dxa"/>
            </w:tcMar>
            <w:vAlign w:val="top"/>
          </w:tcPr>
          <w:p>
            <w:pPr>
              <w:spacing w:after="0"/>
            </w:pPr>
            <w:r>
              <w:rPr>
                <w:rFonts w:ascii="Aptos" w:hAnsi="Aptos"/>
                <w:sz w:val="16"/>
              </w:rPr>
              <w:t>99.9 percent or better</w:t>
            </w:r>
          </w:p>
        </w:tc>
      </w:tr>
      <w:tr>
        <w:tc>
          <w:tcPr>
            <w:tcW w:type="dxa" w:w="5040"/>
            <w:tcMar>
              <w:top w:w="90" w:type="dxa"/>
              <w:start w:w="90" w:type="dxa"/>
              <w:bottom w:w="90" w:type="dxa"/>
              <w:end w:w="90" w:type="dxa"/>
            </w:tcMar>
            <w:vAlign w:val="top"/>
          </w:tcPr>
          <w:p>
            <w:pPr>
              <w:spacing w:after="0"/>
            </w:pPr>
            <w:r>
              <w:rPr>
                <w:rFonts w:ascii="Aptos" w:hAnsi="Aptos"/>
                <w:sz w:val="16"/>
              </w:rPr>
              <w:t>Emergency embarkation readiness</w:t>
            </w:r>
          </w:p>
        </w:tc>
        <w:tc>
          <w:tcPr>
            <w:tcW w:type="dxa" w:w="4320"/>
            <w:tcMar>
              <w:top w:w="90" w:type="dxa"/>
              <w:start w:w="90" w:type="dxa"/>
              <w:bottom w:w="90" w:type="dxa"/>
              <w:end w:w="90" w:type="dxa"/>
            </w:tcMar>
            <w:vAlign w:val="top"/>
          </w:tcPr>
          <w:p>
            <w:pPr>
              <w:spacing w:after="0"/>
            </w:pPr>
            <w:r>
              <w:rPr>
                <w:rFonts w:ascii="Aptos" w:hAnsi="Aptos"/>
                <w:sz w:val="16"/>
              </w:rPr>
              <w:t>99.9 percent or better</w:t>
            </w:r>
          </w:p>
        </w:tc>
      </w:tr>
      <w:tr>
        <w:tc>
          <w:tcPr>
            <w:tcW w:type="dxa" w:w="5040"/>
            <w:tcMar>
              <w:top w:w="90" w:type="dxa"/>
              <w:start w:w="90" w:type="dxa"/>
              <w:bottom w:w="90" w:type="dxa"/>
              <w:end w:w="90" w:type="dxa"/>
            </w:tcMar>
            <w:vAlign w:val="top"/>
          </w:tcPr>
          <w:p>
            <w:pPr>
              <w:spacing w:after="0"/>
            </w:pPr>
            <w:r>
              <w:rPr>
                <w:rFonts w:ascii="Aptos" w:hAnsi="Aptos"/>
                <w:sz w:val="16"/>
              </w:rPr>
              <w:t>Industrial water production</w:t>
            </w:r>
          </w:p>
        </w:tc>
        <w:tc>
          <w:tcPr>
            <w:tcW w:type="dxa" w:w="4320"/>
            <w:tcMar>
              <w:top w:w="90" w:type="dxa"/>
              <w:start w:w="90" w:type="dxa"/>
              <w:bottom w:w="90" w:type="dxa"/>
              <w:end w:w="90" w:type="dxa"/>
            </w:tcMar>
            <w:vAlign w:val="top"/>
          </w:tcPr>
          <w:p>
            <w:pPr>
              <w:spacing w:after="0"/>
            </w:pPr>
            <w:r>
              <w:rPr>
                <w:rFonts w:ascii="Aptos" w:hAnsi="Aptos"/>
                <w:sz w:val="16"/>
              </w:rPr>
              <w:t>98.5 to 99.0 percent</w:t>
            </w:r>
          </w:p>
        </w:tc>
      </w:tr>
      <w:tr>
        <w:tc>
          <w:tcPr>
            <w:tcW w:type="dxa" w:w="5040"/>
            <w:tcMar>
              <w:top w:w="90" w:type="dxa"/>
              <w:start w:w="90" w:type="dxa"/>
              <w:bottom w:w="90" w:type="dxa"/>
              <w:end w:w="90" w:type="dxa"/>
            </w:tcMar>
            <w:vAlign w:val="top"/>
          </w:tcPr>
          <w:p>
            <w:pPr>
              <w:spacing w:after="0"/>
            </w:pPr>
            <w:r>
              <w:rPr>
                <w:rFonts w:ascii="Aptos" w:hAnsi="Aptos"/>
                <w:sz w:val="16"/>
              </w:rPr>
              <w:t>Cryogenic export</w:t>
            </w:r>
          </w:p>
        </w:tc>
        <w:tc>
          <w:tcPr>
            <w:tcW w:type="dxa" w:w="4320"/>
            <w:tcMar>
              <w:top w:w="90" w:type="dxa"/>
              <w:start w:w="90" w:type="dxa"/>
              <w:bottom w:w="90" w:type="dxa"/>
              <w:end w:w="90" w:type="dxa"/>
            </w:tcMar>
            <w:vAlign w:val="top"/>
          </w:tcPr>
          <w:p>
            <w:pPr>
              <w:spacing w:after="0"/>
            </w:pPr>
            <w:r>
              <w:rPr>
                <w:rFonts w:ascii="Aptos" w:hAnsi="Aptos"/>
                <w:sz w:val="16"/>
              </w:rPr>
              <w:t>97.0 to 98.0 percent</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10. Production, Storage, Landing, Export, and Outage Recovery Model</w:t>
      </w:r>
    </w:p>
    <w:p>
      <w:pPr>
        <w:pStyle w:val="Heading2"/>
        <w:spacing w:before="200" w:after="120"/>
      </w:pPr>
      <w:r>
        <w:rPr>
          <w:rFonts w:ascii="Aptos" w:hAnsi="Aptos"/>
          <w:b/>
          <w:sz w:val="24"/>
        </w:rPr>
        <w:t>10.1 Production states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State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Production band</w:t>
            </w:r>
          </w:p>
        </w:tc>
      </w:tr>
      <w:tr>
        <w:tc>
          <w:tcPr>
            <w:tcW w:type="dxa" w:w="1152"/>
            <w:tcMar>
              <w:top w:w="90" w:type="dxa"/>
              <w:start w:w="90" w:type="dxa"/>
              <w:bottom w:w="90" w:type="dxa"/>
              <w:end w:w="90" w:type="dxa"/>
            </w:tcMar>
            <w:vAlign w:val="top"/>
          </w:tcPr>
          <w:p>
            <w:pPr>
              <w:spacing w:after="0"/>
            </w:pPr>
            <w:r>
              <w:rPr>
                <w:rFonts w:ascii="Aptos" w:hAnsi="Aptos"/>
                <w:sz w:val="16"/>
              </w:rPr>
              <w:t>P1</w:t>
            </w:r>
          </w:p>
        </w:tc>
        <w:tc>
          <w:tcPr>
            <w:tcW w:type="dxa" w:w="2880"/>
            <w:tcMar>
              <w:top w:w="90" w:type="dxa"/>
              <w:start w:w="90" w:type="dxa"/>
              <w:bottom w:w="90" w:type="dxa"/>
              <w:end w:w="90" w:type="dxa"/>
            </w:tcMar>
            <w:vAlign w:val="top"/>
          </w:tcPr>
          <w:p>
            <w:pPr>
              <w:spacing w:after="0"/>
            </w:pPr>
            <w:r>
              <w:rPr>
                <w:rFonts w:ascii="Aptos" w:hAnsi="Aptos"/>
                <w:sz w:val="16"/>
              </w:rPr>
              <w:t>Startup</w:t>
            </w:r>
          </w:p>
        </w:tc>
        <w:tc>
          <w:tcPr>
            <w:tcW w:type="dxa" w:w="6480"/>
            <w:tcMar>
              <w:top w:w="90" w:type="dxa"/>
              <w:start w:w="90" w:type="dxa"/>
              <w:bottom w:w="90" w:type="dxa"/>
              <w:end w:w="90" w:type="dxa"/>
            </w:tcMar>
            <w:vAlign w:val="top"/>
          </w:tcPr>
          <w:p>
            <w:pPr>
              <w:spacing w:after="0"/>
            </w:pPr>
            <w:r>
              <w:rPr>
                <w:rFonts w:ascii="Aptos" w:hAnsi="Aptos"/>
                <w:sz w:val="16"/>
              </w:rPr>
              <w:t>10 to 20 percent of design.</w:t>
            </w:r>
          </w:p>
        </w:tc>
      </w:tr>
      <w:tr>
        <w:tc>
          <w:tcPr>
            <w:tcW w:type="dxa" w:w="1152"/>
            <w:tcMar>
              <w:top w:w="90" w:type="dxa"/>
              <w:start w:w="90" w:type="dxa"/>
              <w:bottom w:w="90" w:type="dxa"/>
              <w:end w:w="90" w:type="dxa"/>
            </w:tcMar>
            <w:vAlign w:val="top"/>
          </w:tcPr>
          <w:p>
            <w:pPr>
              <w:spacing w:after="0"/>
            </w:pPr>
            <w:r>
              <w:rPr>
                <w:rFonts w:ascii="Aptos" w:hAnsi="Aptos"/>
                <w:sz w:val="16"/>
              </w:rPr>
              <w:t>P2</w:t>
            </w:r>
          </w:p>
        </w:tc>
        <w:tc>
          <w:tcPr>
            <w:tcW w:type="dxa" w:w="2880"/>
            <w:tcMar>
              <w:top w:w="90" w:type="dxa"/>
              <w:start w:w="90" w:type="dxa"/>
              <w:bottom w:w="90" w:type="dxa"/>
              <w:end w:w="90" w:type="dxa"/>
            </w:tcMar>
            <w:vAlign w:val="top"/>
          </w:tcPr>
          <w:p>
            <w:pPr>
              <w:spacing w:after="0"/>
            </w:pPr>
            <w:r>
              <w:rPr>
                <w:rFonts w:ascii="Aptos" w:hAnsi="Aptos"/>
                <w:sz w:val="16"/>
              </w:rPr>
              <w:t>Stable partial</w:t>
            </w:r>
          </w:p>
        </w:tc>
        <w:tc>
          <w:tcPr>
            <w:tcW w:type="dxa" w:w="6480"/>
            <w:tcMar>
              <w:top w:w="90" w:type="dxa"/>
              <w:start w:w="90" w:type="dxa"/>
              <w:bottom w:w="90" w:type="dxa"/>
              <w:end w:w="90" w:type="dxa"/>
            </w:tcMar>
            <w:vAlign w:val="top"/>
          </w:tcPr>
          <w:p>
            <w:pPr>
              <w:spacing w:after="0"/>
            </w:pPr>
            <w:r>
              <w:rPr>
                <w:rFonts w:ascii="Aptos" w:hAnsi="Aptos"/>
                <w:sz w:val="16"/>
              </w:rPr>
              <w:t>40 to 60 percent of design.</w:t>
            </w:r>
          </w:p>
        </w:tc>
      </w:tr>
      <w:tr>
        <w:tc>
          <w:tcPr>
            <w:tcW w:type="dxa" w:w="1152"/>
            <w:tcMar>
              <w:top w:w="90" w:type="dxa"/>
              <w:start w:w="90" w:type="dxa"/>
              <w:bottom w:w="90" w:type="dxa"/>
              <w:end w:w="90" w:type="dxa"/>
            </w:tcMar>
            <w:vAlign w:val="top"/>
          </w:tcPr>
          <w:p>
            <w:pPr>
              <w:spacing w:after="0"/>
            </w:pPr>
            <w:r>
              <w:rPr>
                <w:rFonts w:ascii="Aptos" w:hAnsi="Aptos"/>
                <w:sz w:val="16"/>
              </w:rPr>
              <w:t>P3</w:t>
            </w:r>
          </w:p>
        </w:tc>
        <w:tc>
          <w:tcPr>
            <w:tcW w:type="dxa" w:w="2880"/>
            <w:tcMar>
              <w:top w:w="90" w:type="dxa"/>
              <w:start w:w="90" w:type="dxa"/>
              <w:bottom w:w="90" w:type="dxa"/>
              <w:end w:w="90" w:type="dxa"/>
            </w:tcMar>
            <w:vAlign w:val="top"/>
          </w:tcPr>
          <w:p>
            <w:pPr>
              <w:spacing w:after="0"/>
            </w:pPr>
            <w:r>
              <w:rPr>
                <w:rFonts w:ascii="Aptos" w:hAnsi="Aptos"/>
                <w:sz w:val="16"/>
              </w:rPr>
              <w:t>Nominal</w:t>
            </w:r>
          </w:p>
        </w:tc>
        <w:tc>
          <w:tcPr>
            <w:tcW w:type="dxa" w:w="6480"/>
            <w:tcMar>
              <w:top w:w="90" w:type="dxa"/>
              <w:start w:w="90" w:type="dxa"/>
              <w:bottom w:w="90" w:type="dxa"/>
              <w:end w:w="90" w:type="dxa"/>
            </w:tcMar>
            <w:vAlign w:val="top"/>
          </w:tcPr>
          <w:p>
            <w:pPr>
              <w:spacing w:after="0"/>
            </w:pPr>
            <w:r>
              <w:rPr>
                <w:rFonts w:ascii="Aptos" w:hAnsi="Aptos"/>
                <w:sz w:val="16"/>
              </w:rPr>
              <w:t>70 to 85 percent of design.</w:t>
            </w:r>
          </w:p>
        </w:tc>
      </w:tr>
      <w:tr>
        <w:tc>
          <w:tcPr>
            <w:tcW w:type="dxa" w:w="1152"/>
            <w:tcMar>
              <w:top w:w="90" w:type="dxa"/>
              <w:start w:w="90" w:type="dxa"/>
              <w:bottom w:w="90" w:type="dxa"/>
              <w:end w:w="90" w:type="dxa"/>
            </w:tcMar>
            <w:vAlign w:val="top"/>
          </w:tcPr>
          <w:p>
            <w:pPr>
              <w:spacing w:after="0"/>
            </w:pPr>
            <w:r>
              <w:rPr>
                <w:rFonts w:ascii="Aptos" w:hAnsi="Aptos"/>
                <w:sz w:val="16"/>
              </w:rPr>
              <w:t>P4</w:t>
            </w:r>
          </w:p>
        </w:tc>
        <w:tc>
          <w:tcPr>
            <w:tcW w:type="dxa" w:w="2880"/>
            <w:tcMar>
              <w:top w:w="90" w:type="dxa"/>
              <w:start w:w="90" w:type="dxa"/>
              <w:bottom w:w="90" w:type="dxa"/>
              <w:end w:w="90" w:type="dxa"/>
            </w:tcMar>
            <w:vAlign w:val="top"/>
          </w:tcPr>
          <w:p>
            <w:pPr>
              <w:spacing w:after="0"/>
            </w:pPr>
            <w:r>
              <w:rPr>
                <w:rFonts w:ascii="Aptos" w:hAnsi="Aptos"/>
                <w:sz w:val="16"/>
              </w:rPr>
              <w:t>Surge</w:t>
            </w:r>
          </w:p>
        </w:tc>
        <w:tc>
          <w:tcPr>
            <w:tcW w:type="dxa" w:w="6480"/>
            <w:tcMar>
              <w:top w:w="90" w:type="dxa"/>
              <w:start w:w="90" w:type="dxa"/>
              <w:bottom w:w="90" w:type="dxa"/>
              <w:end w:w="90" w:type="dxa"/>
            </w:tcMar>
            <w:vAlign w:val="top"/>
          </w:tcPr>
          <w:p>
            <w:pPr>
              <w:spacing w:after="0"/>
            </w:pPr>
            <w:r>
              <w:rPr>
                <w:rFonts w:ascii="Aptos" w:hAnsi="Aptos"/>
                <w:sz w:val="16"/>
              </w:rPr>
              <w:t>90 to 100 percent of design for defined periods.</w:t>
            </w:r>
          </w:p>
        </w:tc>
      </w:tr>
    </w:tbl>
    <w:p>
      <w:pPr>
        <w:spacing w:after="120"/>
      </w:pPr>
    </w:p>
    <w:p>
      <w:pPr>
        <w:pStyle w:val="Heading2"/>
        <w:spacing w:before="200" w:after="120"/>
      </w:pPr>
      <w:r>
        <w:rPr>
          <w:rFonts w:ascii="Aptos" w:hAnsi="Aptos"/>
          <w:b/>
          <w:sz w:val="24"/>
        </w:rPr>
        <w:t>10.2 Production targets</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2736"/>
            <w:shd w:fill="D9EAF7"/>
            <w:tcMar>
              <w:top w:w="90" w:type="dxa"/>
              <w:start w:w="90" w:type="dxa"/>
              <w:bottom w:w="90" w:type="dxa"/>
              <w:end w:w="90" w:type="dxa"/>
            </w:tcMar>
            <w:vAlign w:val="top"/>
          </w:tcPr>
          <w:p>
            <w:pPr>
              <w:spacing w:after="0"/>
            </w:pPr>
            <w:r>
              <w:rPr>
                <w:rFonts w:ascii="Aptos" w:hAnsi="Aptos"/>
                <w:b/>
                <w:color w:val="FFFFFF"/>
                <w:sz w:val="16"/>
              </w:rPr>
              <w:t>Commodity</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Nominal target</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Surge or design target</w:t>
            </w:r>
          </w:p>
        </w:tc>
        <w:tc>
          <w:tcPr>
            <w:tcW w:type="dxa" w:w="4032"/>
            <w:shd w:fill="D9EAF7"/>
            <w:tcMar>
              <w:top w:w="90" w:type="dxa"/>
              <w:start w:w="90" w:type="dxa"/>
              <w:bottom w:w="90" w:type="dxa"/>
              <w:end w:w="90" w:type="dxa"/>
            </w:tcMar>
            <w:vAlign w:val="top"/>
          </w:tcPr>
          <w:p>
            <w:pPr>
              <w:spacing w:after="0"/>
            </w:pPr>
            <w:r>
              <w:rPr>
                <w:rFonts w:ascii="Aptos" w:hAnsi="Aptos"/>
                <w:b/>
                <w:color w:val="FFFFFF"/>
                <w:sz w:val="16"/>
              </w:rPr>
              <w:t>Notes</w:t>
            </w:r>
          </w:p>
        </w:tc>
      </w:tr>
      <w:tr>
        <w:tc>
          <w:tcPr>
            <w:tcW w:type="dxa" w:w="2736"/>
            <w:tcMar>
              <w:top w:w="90" w:type="dxa"/>
              <w:start w:w="90" w:type="dxa"/>
              <w:bottom w:w="90" w:type="dxa"/>
              <w:end w:w="90" w:type="dxa"/>
            </w:tcMar>
            <w:vAlign w:val="top"/>
          </w:tcPr>
          <w:p>
            <w:pPr>
              <w:spacing w:after="0"/>
            </w:pPr>
            <w:r>
              <w:rPr>
                <w:rFonts w:ascii="Aptos" w:hAnsi="Aptos"/>
                <w:sz w:val="16"/>
              </w:rPr>
              <w:t>Recovered raw water</w:t>
            </w:r>
          </w:p>
        </w:tc>
        <w:tc>
          <w:tcPr>
            <w:tcW w:type="dxa" w:w="2880"/>
            <w:tcMar>
              <w:top w:w="90" w:type="dxa"/>
              <w:start w:w="90" w:type="dxa"/>
              <w:bottom w:w="90" w:type="dxa"/>
              <w:end w:w="90" w:type="dxa"/>
            </w:tcMar>
            <w:vAlign w:val="top"/>
          </w:tcPr>
          <w:p>
            <w:pPr>
              <w:spacing w:after="0"/>
            </w:pPr>
            <w:r>
              <w:rPr>
                <w:rFonts w:ascii="Aptos" w:hAnsi="Aptos"/>
                <w:sz w:val="16"/>
              </w:rPr>
              <w:t>175 to 212 metric tons per day</w:t>
            </w:r>
          </w:p>
        </w:tc>
        <w:tc>
          <w:tcPr>
            <w:tcW w:type="dxa" w:w="2880"/>
            <w:tcMar>
              <w:top w:w="90" w:type="dxa"/>
              <w:start w:w="90" w:type="dxa"/>
              <w:bottom w:w="90" w:type="dxa"/>
              <w:end w:w="90" w:type="dxa"/>
            </w:tcMar>
            <w:vAlign w:val="top"/>
          </w:tcPr>
          <w:p>
            <w:pPr>
              <w:spacing w:after="0"/>
            </w:pPr>
            <w:r>
              <w:rPr>
                <w:rFonts w:ascii="Aptos" w:hAnsi="Aptos"/>
                <w:sz w:val="16"/>
              </w:rPr>
              <w:t>225 to 250 metric tons per day</w:t>
            </w:r>
          </w:p>
        </w:tc>
        <w:tc>
          <w:tcPr>
            <w:tcW w:type="dxa" w:w="4032"/>
            <w:tcMar>
              <w:top w:w="90" w:type="dxa"/>
              <w:start w:w="90" w:type="dxa"/>
              <w:bottom w:w="90" w:type="dxa"/>
              <w:end w:w="90" w:type="dxa"/>
            </w:tcMar>
            <w:vAlign w:val="top"/>
          </w:tcPr>
          <w:p>
            <w:pPr>
              <w:spacing w:after="0"/>
            </w:pPr>
            <w:r>
              <w:rPr>
                <w:rFonts w:ascii="Aptos" w:hAnsi="Aptos"/>
                <w:sz w:val="16"/>
              </w:rPr>
              <w:t>Design production basis is 250 metric tons per day.</w:t>
            </w:r>
          </w:p>
        </w:tc>
      </w:tr>
      <w:tr>
        <w:tc>
          <w:tcPr>
            <w:tcW w:type="dxa" w:w="2736"/>
            <w:tcMar>
              <w:top w:w="90" w:type="dxa"/>
              <w:start w:w="90" w:type="dxa"/>
              <w:bottom w:w="90" w:type="dxa"/>
              <w:end w:w="90" w:type="dxa"/>
            </w:tcMar>
            <w:vAlign w:val="top"/>
          </w:tcPr>
          <w:p>
            <w:pPr>
              <w:spacing w:after="0"/>
            </w:pPr>
            <w:r>
              <w:rPr>
                <w:rFonts w:ascii="Aptos" w:hAnsi="Aptos"/>
                <w:sz w:val="16"/>
              </w:rPr>
              <w:t>Electrolysis feed water</w:t>
            </w:r>
          </w:p>
        </w:tc>
        <w:tc>
          <w:tcPr>
            <w:tcW w:type="dxa" w:w="2880"/>
            <w:tcMar>
              <w:top w:w="90" w:type="dxa"/>
              <w:start w:w="90" w:type="dxa"/>
              <w:bottom w:w="90" w:type="dxa"/>
              <w:end w:w="90" w:type="dxa"/>
            </w:tcMar>
            <w:vAlign w:val="top"/>
          </w:tcPr>
          <w:p>
            <w:pPr>
              <w:spacing w:after="0"/>
            </w:pPr>
            <w:r>
              <w:rPr>
                <w:rFonts w:ascii="Aptos" w:hAnsi="Aptos"/>
                <w:sz w:val="16"/>
              </w:rPr>
              <w:t>50 metric tons per day</w:t>
            </w:r>
          </w:p>
        </w:tc>
        <w:tc>
          <w:tcPr>
            <w:tcW w:type="dxa" w:w="2880"/>
            <w:tcMar>
              <w:top w:w="90" w:type="dxa"/>
              <w:start w:w="90" w:type="dxa"/>
              <w:bottom w:w="90" w:type="dxa"/>
              <w:end w:w="90" w:type="dxa"/>
            </w:tcMar>
            <w:vAlign w:val="top"/>
          </w:tcPr>
          <w:p>
            <w:pPr>
              <w:spacing w:after="0"/>
            </w:pPr>
            <w:r>
              <w:rPr>
                <w:rFonts w:ascii="Aptos" w:hAnsi="Aptos"/>
                <w:sz w:val="16"/>
              </w:rPr>
              <w:t>70 metric tons per day</w:t>
            </w:r>
          </w:p>
        </w:tc>
        <w:tc>
          <w:tcPr>
            <w:tcW w:type="dxa" w:w="4032"/>
            <w:tcMar>
              <w:top w:w="90" w:type="dxa"/>
              <w:start w:w="90" w:type="dxa"/>
              <w:bottom w:w="90" w:type="dxa"/>
              <w:end w:w="90" w:type="dxa"/>
            </w:tcMar>
            <w:vAlign w:val="top"/>
          </w:tcPr>
          <w:p>
            <w:pPr>
              <w:spacing w:after="0"/>
            </w:pPr>
            <w:r>
              <w:rPr>
                <w:rFonts w:ascii="Aptos" w:hAnsi="Aptos"/>
                <w:sz w:val="16"/>
              </w:rPr>
              <w:t>Purified water input.</w:t>
            </w:r>
          </w:p>
        </w:tc>
      </w:tr>
      <w:tr>
        <w:tc>
          <w:tcPr>
            <w:tcW w:type="dxa" w:w="2736"/>
            <w:tcMar>
              <w:top w:w="90" w:type="dxa"/>
              <w:start w:w="90" w:type="dxa"/>
              <w:bottom w:w="90" w:type="dxa"/>
              <w:end w:w="90" w:type="dxa"/>
            </w:tcMar>
            <w:vAlign w:val="top"/>
          </w:tcPr>
          <w:p>
            <w:pPr>
              <w:spacing w:after="0"/>
            </w:pPr>
            <w:r>
              <w:rPr>
                <w:rFonts w:ascii="Aptos" w:hAnsi="Aptos"/>
                <w:sz w:val="16"/>
              </w:rPr>
              <w:t>Hydrogen from electrolysis</w:t>
            </w:r>
          </w:p>
        </w:tc>
        <w:tc>
          <w:tcPr>
            <w:tcW w:type="dxa" w:w="2880"/>
            <w:tcMar>
              <w:top w:w="90" w:type="dxa"/>
              <w:start w:w="90" w:type="dxa"/>
              <w:bottom w:w="90" w:type="dxa"/>
              <w:end w:w="90" w:type="dxa"/>
            </w:tcMar>
            <w:vAlign w:val="top"/>
          </w:tcPr>
          <w:p>
            <w:pPr>
              <w:spacing w:after="0"/>
            </w:pPr>
            <w:r>
              <w:rPr>
                <w:rFonts w:ascii="Aptos" w:hAnsi="Aptos"/>
                <w:sz w:val="16"/>
              </w:rPr>
              <w:t>5.55 metric tons per day</w:t>
            </w:r>
          </w:p>
        </w:tc>
        <w:tc>
          <w:tcPr>
            <w:tcW w:type="dxa" w:w="2880"/>
            <w:tcMar>
              <w:top w:w="90" w:type="dxa"/>
              <w:start w:w="90" w:type="dxa"/>
              <w:bottom w:w="90" w:type="dxa"/>
              <w:end w:w="90" w:type="dxa"/>
            </w:tcMar>
            <w:vAlign w:val="top"/>
          </w:tcPr>
          <w:p>
            <w:pPr>
              <w:spacing w:after="0"/>
            </w:pPr>
            <w:r>
              <w:rPr>
                <w:rFonts w:ascii="Aptos" w:hAnsi="Aptos"/>
                <w:sz w:val="16"/>
              </w:rPr>
              <w:t>7.77 metric tons per day</w:t>
            </w:r>
          </w:p>
        </w:tc>
        <w:tc>
          <w:tcPr>
            <w:tcW w:type="dxa" w:w="4032"/>
            <w:tcMar>
              <w:top w:w="90" w:type="dxa"/>
              <w:start w:w="90" w:type="dxa"/>
              <w:bottom w:w="90" w:type="dxa"/>
              <w:end w:w="90" w:type="dxa"/>
            </w:tcMar>
            <w:vAlign w:val="top"/>
          </w:tcPr>
          <w:p>
            <w:pPr>
              <w:spacing w:after="0"/>
            </w:pPr>
            <w:r>
              <w:rPr>
                <w:rFonts w:ascii="Aptos" w:hAnsi="Aptos"/>
                <w:sz w:val="16"/>
              </w:rPr>
              <w:t>Based on water splitting mass ratios.</w:t>
            </w:r>
          </w:p>
        </w:tc>
      </w:tr>
      <w:tr>
        <w:tc>
          <w:tcPr>
            <w:tcW w:type="dxa" w:w="2736"/>
            <w:tcMar>
              <w:top w:w="90" w:type="dxa"/>
              <w:start w:w="90" w:type="dxa"/>
              <w:bottom w:w="90" w:type="dxa"/>
              <w:end w:w="90" w:type="dxa"/>
            </w:tcMar>
            <w:vAlign w:val="top"/>
          </w:tcPr>
          <w:p>
            <w:pPr>
              <w:spacing w:after="0"/>
            </w:pPr>
            <w:r>
              <w:rPr>
                <w:rFonts w:ascii="Aptos" w:hAnsi="Aptos"/>
                <w:sz w:val="16"/>
              </w:rPr>
              <w:t>Oxygen from electrolysis</w:t>
            </w:r>
          </w:p>
        </w:tc>
        <w:tc>
          <w:tcPr>
            <w:tcW w:type="dxa" w:w="2880"/>
            <w:tcMar>
              <w:top w:w="90" w:type="dxa"/>
              <w:start w:w="90" w:type="dxa"/>
              <w:bottom w:w="90" w:type="dxa"/>
              <w:end w:w="90" w:type="dxa"/>
            </w:tcMar>
            <w:vAlign w:val="top"/>
          </w:tcPr>
          <w:p>
            <w:pPr>
              <w:spacing w:after="0"/>
            </w:pPr>
            <w:r>
              <w:rPr>
                <w:rFonts w:ascii="Aptos" w:hAnsi="Aptos"/>
                <w:sz w:val="16"/>
              </w:rPr>
              <w:t>44.45 metric tons per day</w:t>
            </w:r>
          </w:p>
        </w:tc>
        <w:tc>
          <w:tcPr>
            <w:tcW w:type="dxa" w:w="2880"/>
            <w:tcMar>
              <w:top w:w="90" w:type="dxa"/>
              <w:start w:w="90" w:type="dxa"/>
              <w:bottom w:w="90" w:type="dxa"/>
              <w:end w:w="90" w:type="dxa"/>
            </w:tcMar>
            <w:vAlign w:val="top"/>
          </w:tcPr>
          <w:p>
            <w:pPr>
              <w:spacing w:after="0"/>
            </w:pPr>
            <w:r>
              <w:rPr>
                <w:rFonts w:ascii="Aptos" w:hAnsi="Aptos"/>
                <w:sz w:val="16"/>
              </w:rPr>
              <w:t>62.23 metric tons per day</w:t>
            </w:r>
          </w:p>
        </w:tc>
        <w:tc>
          <w:tcPr>
            <w:tcW w:type="dxa" w:w="4032"/>
            <w:tcMar>
              <w:top w:w="90" w:type="dxa"/>
              <w:start w:w="90" w:type="dxa"/>
              <w:bottom w:w="90" w:type="dxa"/>
              <w:end w:w="90" w:type="dxa"/>
            </w:tcMar>
            <w:vAlign w:val="top"/>
          </w:tcPr>
          <w:p>
            <w:pPr>
              <w:spacing w:after="0"/>
            </w:pPr>
            <w:r>
              <w:rPr>
                <w:rFonts w:ascii="Aptos" w:hAnsi="Aptos"/>
                <w:sz w:val="16"/>
              </w:rPr>
              <w:t>Based on water splitting mass ratios.</w:t>
            </w:r>
          </w:p>
        </w:tc>
      </w:tr>
      <w:tr>
        <w:tc>
          <w:tcPr>
            <w:tcW w:type="dxa" w:w="2736"/>
            <w:tcMar>
              <w:top w:w="90" w:type="dxa"/>
              <w:start w:w="90" w:type="dxa"/>
              <w:bottom w:w="90" w:type="dxa"/>
              <w:end w:w="90" w:type="dxa"/>
            </w:tcMar>
            <w:vAlign w:val="top"/>
          </w:tcPr>
          <w:p>
            <w:pPr>
              <w:spacing w:after="0"/>
            </w:pPr>
            <w:r>
              <w:rPr>
                <w:rFonts w:ascii="Aptos" w:hAnsi="Aptos"/>
                <w:sz w:val="16"/>
              </w:rPr>
              <w:t>Regolith oxygen</w:t>
            </w:r>
          </w:p>
        </w:tc>
        <w:tc>
          <w:tcPr>
            <w:tcW w:type="dxa" w:w="2880"/>
            <w:tcMar>
              <w:top w:w="90" w:type="dxa"/>
              <w:start w:w="90" w:type="dxa"/>
              <w:bottom w:w="90" w:type="dxa"/>
              <w:end w:w="90" w:type="dxa"/>
            </w:tcMar>
            <w:vAlign w:val="top"/>
          </w:tcPr>
          <w:p>
            <w:pPr>
              <w:spacing w:after="0"/>
            </w:pPr>
            <w:r>
              <w:rPr>
                <w:rFonts w:ascii="Aptos" w:hAnsi="Aptos"/>
                <w:sz w:val="16"/>
              </w:rPr>
              <w:t>10 to 20 metric tons per day</w:t>
            </w:r>
          </w:p>
        </w:tc>
        <w:tc>
          <w:tcPr>
            <w:tcW w:type="dxa" w:w="2880"/>
            <w:tcMar>
              <w:top w:w="90" w:type="dxa"/>
              <w:start w:w="90" w:type="dxa"/>
              <w:bottom w:w="90" w:type="dxa"/>
              <w:end w:w="90" w:type="dxa"/>
            </w:tcMar>
            <w:vAlign w:val="top"/>
          </w:tcPr>
          <w:p>
            <w:pPr>
              <w:spacing w:after="0"/>
            </w:pPr>
            <w:r>
              <w:rPr>
                <w:rFonts w:ascii="Aptos" w:hAnsi="Aptos"/>
                <w:sz w:val="16"/>
              </w:rPr>
              <w:t>20 to 30 metric tons per day</w:t>
            </w:r>
          </w:p>
        </w:tc>
        <w:tc>
          <w:tcPr>
            <w:tcW w:type="dxa" w:w="4032"/>
            <w:tcMar>
              <w:top w:w="90" w:type="dxa"/>
              <w:start w:w="90" w:type="dxa"/>
              <w:bottom w:w="90" w:type="dxa"/>
              <w:end w:w="90" w:type="dxa"/>
            </w:tcMar>
            <w:vAlign w:val="top"/>
          </w:tcPr>
          <w:p>
            <w:pPr>
              <w:spacing w:after="0"/>
            </w:pPr>
            <w:r>
              <w:rPr>
                <w:rFonts w:ascii="Aptos" w:hAnsi="Aptos"/>
                <w:sz w:val="16"/>
              </w:rPr>
              <w:t>Secondary oxygen stream.</w:t>
            </w:r>
          </w:p>
        </w:tc>
      </w:tr>
      <w:tr>
        <w:tc>
          <w:tcPr>
            <w:tcW w:type="dxa" w:w="2736"/>
            <w:tcMar>
              <w:top w:w="90" w:type="dxa"/>
              <w:start w:w="90" w:type="dxa"/>
              <w:bottom w:w="90" w:type="dxa"/>
              <w:end w:w="90" w:type="dxa"/>
            </w:tcMar>
            <w:vAlign w:val="top"/>
          </w:tcPr>
          <w:p>
            <w:pPr>
              <w:spacing w:after="0"/>
            </w:pPr>
            <w:r>
              <w:rPr>
                <w:rFonts w:ascii="Aptos" w:hAnsi="Aptos"/>
                <w:sz w:val="16"/>
              </w:rPr>
              <w:t>Total oxygen</w:t>
            </w:r>
          </w:p>
        </w:tc>
        <w:tc>
          <w:tcPr>
            <w:tcW w:type="dxa" w:w="2880"/>
            <w:tcMar>
              <w:top w:w="90" w:type="dxa"/>
              <w:start w:w="90" w:type="dxa"/>
              <w:bottom w:w="90" w:type="dxa"/>
              <w:end w:w="90" w:type="dxa"/>
            </w:tcMar>
            <w:vAlign w:val="top"/>
          </w:tcPr>
          <w:p>
            <w:pPr>
              <w:spacing w:after="0"/>
            </w:pPr>
            <w:r>
              <w:rPr>
                <w:rFonts w:ascii="Aptos" w:hAnsi="Aptos"/>
                <w:sz w:val="16"/>
              </w:rPr>
              <w:t>55 to 65 metric tons per day</w:t>
            </w:r>
          </w:p>
        </w:tc>
        <w:tc>
          <w:tcPr>
            <w:tcW w:type="dxa" w:w="2880"/>
            <w:tcMar>
              <w:top w:w="90" w:type="dxa"/>
              <w:start w:w="90" w:type="dxa"/>
              <w:bottom w:w="90" w:type="dxa"/>
              <w:end w:w="90" w:type="dxa"/>
            </w:tcMar>
            <w:vAlign w:val="top"/>
          </w:tcPr>
          <w:p>
            <w:pPr>
              <w:spacing w:after="0"/>
            </w:pPr>
            <w:r>
              <w:rPr>
                <w:rFonts w:ascii="Aptos" w:hAnsi="Aptos"/>
                <w:sz w:val="16"/>
              </w:rPr>
              <w:t>75 to 90 metric tons per day</w:t>
            </w:r>
          </w:p>
        </w:tc>
        <w:tc>
          <w:tcPr>
            <w:tcW w:type="dxa" w:w="4032"/>
            <w:tcMar>
              <w:top w:w="90" w:type="dxa"/>
              <w:start w:w="90" w:type="dxa"/>
              <w:bottom w:w="90" w:type="dxa"/>
              <w:end w:w="90" w:type="dxa"/>
            </w:tcMar>
            <w:vAlign w:val="top"/>
          </w:tcPr>
          <w:p>
            <w:pPr>
              <w:spacing w:after="0"/>
            </w:pPr>
            <w:r>
              <w:rPr>
                <w:rFonts w:ascii="Aptos" w:hAnsi="Aptos"/>
                <w:sz w:val="16"/>
              </w:rPr>
              <w:t>Supports life support, reserves, and export.</w:t>
            </w:r>
          </w:p>
        </w:tc>
      </w:tr>
      <w:tr>
        <w:tc>
          <w:tcPr>
            <w:tcW w:type="dxa" w:w="2736"/>
            <w:tcMar>
              <w:top w:w="90" w:type="dxa"/>
              <w:start w:w="90" w:type="dxa"/>
              <w:bottom w:w="90" w:type="dxa"/>
              <w:end w:w="90" w:type="dxa"/>
            </w:tcMar>
            <w:vAlign w:val="top"/>
          </w:tcPr>
          <w:p>
            <w:pPr>
              <w:spacing w:after="0"/>
            </w:pPr>
            <w:r>
              <w:rPr>
                <w:rFonts w:ascii="Aptos" w:hAnsi="Aptos"/>
                <w:sz w:val="16"/>
              </w:rPr>
              <w:t>Regolith products</w:t>
            </w:r>
          </w:p>
        </w:tc>
        <w:tc>
          <w:tcPr>
            <w:tcW w:type="dxa" w:w="2880"/>
            <w:tcMar>
              <w:top w:w="90" w:type="dxa"/>
              <w:start w:w="90" w:type="dxa"/>
              <w:bottom w:w="90" w:type="dxa"/>
              <w:end w:w="90" w:type="dxa"/>
            </w:tcMar>
            <w:vAlign w:val="top"/>
          </w:tcPr>
          <w:p>
            <w:pPr>
              <w:spacing w:after="0"/>
            </w:pPr>
            <w:r>
              <w:rPr>
                <w:rFonts w:ascii="Aptos" w:hAnsi="Aptos"/>
                <w:sz w:val="16"/>
              </w:rPr>
              <w:t>150 to 250 metric tons per day</w:t>
            </w:r>
          </w:p>
        </w:tc>
        <w:tc>
          <w:tcPr>
            <w:tcW w:type="dxa" w:w="2880"/>
            <w:tcMar>
              <w:top w:w="90" w:type="dxa"/>
              <w:start w:w="90" w:type="dxa"/>
              <w:bottom w:w="90" w:type="dxa"/>
              <w:end w:w="90" w:type="dxa"/>
            </w:tcMar>
            <w:vAlign w:val="top"/>
          </w:tcPr>
          <w:p>
            <w:pPr>
              <w:spacing w:after="0"/>
            </w:pPr>
            <w:r>
              <w:rPr>
                <w:rFonts w:ascii="Aptos" w:hAnsi="Aptos"/>
                <w:sz w:val="16"/>
              </w:rPr>
              <w:t>300 metric tons per day</w:t>
            </w:r>
          </w:p>
        </w:tc>
        <w:tc>
          <w:tcPr>
            <w:tcW w:type="dxa" w:w="4032"/>
            <w:tcMar>
              <w:top w:w="90" w:type="dxa"/>
              <w:start w:w="90" w:type="dxa"/>
              <w:bottom w:w="90" w:type="dxa"/>
              <w:end w:w="90" w:type="dxa"/>
            </w:tcMar>
            <w:vAlign w:val="top"/>
          </w:tcPr>
          <w:p>
            <w:pPr>
              <w:spacing w:after="0"/>
            </w:pPr>
            <w:r>
              <w:rPr>
                <w:rFonts w:ascii="Aptos" w:hAnsi="Aptos"/>
                <w:sz w:val="16"/>
              </w:rPr>
              <w:t>Shielding fill, aggregate, blocks, and civil products.</w:t>
            </w:r>
          </w:p>
        </w:tc>
      </w:tr>
    </w:tbl>
    <w:p>
      <w:pPr>
        <w:spacing w:after="120"/>
      </w:pPr>
    </w:p>
    <w:p>
      <w:pPr>
        <w:pStyle w:val="Heading2"/>
        <w:spacing w:before="200" w:after="120"/>
      </w:pPr>
      <w:r>
        <w:rPr>
          <w:rFonts w:ascii="Aptos" w:hAnsi="Aptos"/>
          <w:b/>
          <w:sz w:val="24"/>
        </w:rPr>
        <w:t>10.3 Landing and export cadence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888"/>
            <w:shd w:fill="D9EAF7"/>
            <w:tcMar>
              <w:top w:w="90" w:type="dxa"/>
              <w:start w:w="90" w:type="dxa"/>
              <w:bottom w:w="90" w:type="dxa"/>
              <w:end w:w="90" w:type="dxa"/>
            </w:tcMar>
            <w:vAlign w:val="top"/>
          </w:tcPr>
          <w:p>
            <w:pPr>
              <w:spacing w:after="0"/>
            </w:pPr>
            <w:r>
              <w:rPr>
                <w:rFonts w:ascii="Aptos" w:hAnsi="Aptos"/>
                <w:b/>
                <w:color w:val="FFFFFF"/>
                <w:sz w:val="16"/>
              </w:rPr>
              <w:t>Cadence item</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Planning basis</w:t>
            </w:r>
          </w:p>
        </w:tc>
      </w:tr>
      <w:tr>
        <w:tc>
          <w:tcPr>
            <w:tcW w:type="dxa" w:w="3888"/>
            <w:tcMar>
              <w:top w:w="90" w:type="dxa"/>
              <w:start w:w="90" w:type="dxa"/>
              <w:bottom w:w="90" w:type="dxa"/>
              <w:end w:w="90" w:type="dxa"/>
            </w:tcMar>
            <w:vAlign w:val="top"/>
          </w:tcPr>
          <w:p>
            <w:pPr>
              <w:spacing w:after="0"/>
            </w:pPr>
            <w:r>
              <w:rPr>
                <w:rFonts w:ascii="Aptos" w:hAnsi="Aptos"/>
                <w:sz w:val="16"/>
              </w:rPr>
              <w:t>Heavy cargo landing during construction</w:t>
            </w:r>
          </w:p>
        </w:tc>
        <w:tc>
          <w:tcPr>
            <w:tcW w:type="dxa" w:w="7200"/>
            <w:tcMar>
              <w:top w:w="90" w:type="dxa"/>
              <w:start w:w="90" w:type="dxa"/>
              <w:bottom w:w="90" w:type="dxa"/>
              <w:end w:w="90" w:type="dxa"/>
            </w:tcMar>
            <w:vAlign w:val="top"/>
          </w:tcPr>
          <w:p>
            <w:pPr>
              <w:spacing w:after="0"/>
            </w:pPr>
            <w:r>
              <w:rPr>
                <w:rFonts w:ascii="Aptos" w:hAnsi="Aptos"/>
                <w:sz w:val="16"/>
              </w:rPr>
              <w:t>One heavy landing every 2 to 3 days during major build windows.</w:t>
            </w:r>
          </w:p>
        </w:tc>
      </w:tr>
      <w:tr>
        <w:tc>
          <w:tcPr>
            <w:tcW w:type="dxa" w:w="3888"/>
            <w:tcMar>
              <w:top w:w="90" w:type="dxa"/>
              <w:start w:w="90" w:type="dxa"/>
              <w:bottom w:w="90" w:type="dxa"/>
              <w:end w:w="90" w:type="dxa"/>
            </w:tcMar>
            <w:vAlign w:val="top"/>
          </w:tcPr>
          <w:p>
            <w:pPr>
              <w:spacing w:after="0"/>
            </w:pPr>
            <w:r>
              <w:rPr>
                <w:rFonts w:ascii="Aptos" w:hAnsi="Aptos"/>
                <w:sz w:val="16"/>
              </w:rPr>
              <w:t>Heavy cargo landing during mature nominal operation</w:t>
            </w:r>
          </w:p>
        </w:tc>
        <w:tc>
          <w:tcPr>
            <w:tcW w:type="dxa" w:w="7200"/>
            <w:tcMar>
              <w:top w:w="90" w:type="dxa"/>
              <w:start w:w="90" w:type="dxa"/>
              <w:bottom w:w="90" w:type="dxa"/>
              <w:end w:w="90" w:type="dxa"/>
            </w:tcMar>
            <w:vAlign w:val="top"/>
          </w:tcPr>
          <w:p>
            <w:pPr>
              <w:spacing w:after="0"/>
            </w:pPr>
            <w:r>
              <w:rPr>
                <w:rFonts w:ascii="Aptos" w:hAnsi="Aptos"/>
                <w:sz w:val="16"/>
              </w:rPr>
              <w:t>2 to 4 heavy cargo landings per month.</w:t>
            </w:r>
          </w:p>
        </w:tc>
      </w:tr>
      <w:tr>
        <w:tc>
          <w:tcPr>
            <w:tcW w:type="dxa" w:w="3888"/>
            <w:tcMar>
              <w:top w:w="90" w:type="dxa"/>
              <w:start w:w="90" w:type="dxa"/>
              <w:bottom w:w="90" w:type="dxa"/>
              <w:end w:w="90" w:type="dxa"/>
            </w:tcMar>
            <w:vAlign w:val="top"/>
          </w:tcPr>
          <w:p>
            <w:pPr>
              <w:spacing w:after="0"/>
            </w:pPr>
            <w:r>
              <w:rPr>
                <w:rFonts w:ascii="Aptos" w:hAnsi="Aptos"/>
                <w:sz w:val="16"/>
              </w:rPr>
              <w:t>Light crew and urgent logistics</w:t>
            </w:r>
          </w:p>
        </w:tc>
        <w:tc>
          <w:tcPr>
            <w:tcW w:type="dxa" w:w="7200"/>
            <w:tcMar>
              <w:top w:w="90" w:type="dxa"/>
              <w:start w:w="90" w:type="dxa"/>
              <w:bottom w:w="90" w:type="dxa"/>
              <w:end w:w="90" w:type="dxa"/>
            </w:tcMar>
            <w:vAlign w:val="top"/>
          </w:tcPr>
          <w:p>
            <w:pPr>
              <w:spacing w:after="0"/>
            </w:pPr>
            <w:r>
              <w:rPr>
                <w:rFonts w:ascii="Aptos" w:hAnsi="Aptos"/>
                <w:sz w:val="16"/>
              </w:rPr>
              <w:t>2 to 6 flights per week depending on rotation and mission tempo.</w:t>
            </w:r>
          </w:p>
        </w:tc>
      </w:tr>
      <w:tr>
        <w:tc>
          <w:tcPr>
            <w:tcW w:type="dxa" w:w="3888"/>
            <w:tcMar>
              <w:top w:w="90" w:type="dxa"/>
              <w:start w:w="90" w:type="dxa"/>
              <w:bottom w:w="90" w:type="dxa"/>
              <w:end w:w="90" w:type="dxa"/>
            </w:tcMar>
            <w:vAlign w:val="top"/>
          </w:tcPr>
          <w:p>
            <w:pPr>
              <w:spacing w:after="0"/>
            </w:pPr>
            <w:r>
              <w:rPr>
                <w:rFonts w:ascii="Aptos" w:hAnsi="Aptos"/>
                <w:sz w:val="16"/>
              </w:rPr>
              <w:t>Nominal export cycle</w:t>
            </w:r>
          </w:p>
        </w:tc>
        <w:tc>
          <w:tcPr>
            <w:tcW w:type="dxa" w:w="7200"/>
            <w:tcMar>
              <w:top w:w="90" w:type="dxa"/>
              <w:start w:w="90" w:type="dxa"/>
              <w:bottom w:w="90" w:type="dxa"/>
              <w:end w:w="90" w:type="dxa"/>
            </w:tcMar>
            <w:vAlign w:val="top"/>
          </w:tcPr>
          <w:p>
            <w:pPr>
              <w:spacing w:after="0"/>
            </w:pPr>
            <w:r>
              <w:rPr>
                <w:rFonts w:ascii="Aptos" w:hAnsi="Aptos"/>
                <w:sz w:val="16"/>
              </w:rPr>
              <w:t>One medium export transfer every 5 to 7 days.</w:t>
            </w:r>
          </w:p>
        </w:tc>
      </w:tr>
      <w:tr>
        <w:tc>
          <w:tcPr>
            <w:tcW w:type="dxa" w:w="3888"/>
            <w:tcMar>
              <w:top w:w="90" w:type="dxa"/>
              <w:start w:w="90" w:type="dxa"/>
              <w:bottom w:w="90" w:type="dxa"/>
              <w:end w:w="90" w:type="dxa"/>
            </w:tcMar>
            <w:vAlign w:val="top"/>
          </w:tcPr>
          <w:p>
            <w:pPr>
              <w:spacing w:after="0"/>
            </w:pPr>
            <w:r>
              <w:rPr>
                <w:rFonts w:ascii="Aptos" w:hAnsi="Aptos"/>
                <w:sz w:val="16"/>
              </w:rPr>
              <w:t>Early conservative export profile</w:t>
            </w:r>
          </w:p>
        </w:tc>
        <w:tc>
          <w:tcPr>
            <w:tcW w:type="dxa" w:w="7200"/>
            <w:tcMar>
              <w:top w:w="90" w:type="dxa"/>
              <w:start w:w="90" w:type="dxa"/>
              <w:bottom w:w="90" w:type="dxa"/>
              <w:end w:w="90" w:type="dxa"/>
            </w:tcMar>
            <w:vAlign w:val="top"/>
          </w:tcPr>
          <w:p>
            <w:pPr>
              <w:spacing w:after="0"/>
            </w:pPr>
            <w:r>
              <w:rPr>
                <w:rFonts w:ascii="Aptos" w:hAnsi="Aptos"/>
                <w:sz w:val="16"/>
              </w:rPr>
              <w:t>One export cycle every 10 days carrying 100 to 150 metric tons LOX equivalent and 10 to 20 metric tons LH2 equivalent.</w:t>
            </w:r>
          </w:p>
        </w:tc>
      </w:tr>
    </w:tbl>
    <w:p>
      <w:pPr>
        <w:spacing w:after="120"/>
      </w:pPr>
    </w:p>
    <w:p>
      <w:pPr>
        <w:pStyle w:val="Heading2"/>
        <w:spacing w:before="200" w:after="120"/>
      </w:pPr>
      <w:r>
        <w:rPr>
          <w:rFonts w:ascii="Aptos" w:hAnsi="Aptos"/>
          <w:b/>
          <w:sz w:val="24"/>
        </w:rPr>
        <w:t>10.4 Outage recovery</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4752"/>
            <w:shd w:fill="D9EAF7"/>
            <w:tcMar>
              <w:top w:w="90" w:type="dxa"/>
              <w:start w:w="90" w:type="dxa"/>
              <w:bottom w:w="90" w:type="dxa"/>
              <w:end w:w="90" w:type="dxa"/>
            </w:tcMar>
            <w:vAlign w:val="top"/>
          </w:tcPr>
          <w:p>
            <w:pPr>
              <w:spacing w:after="0"/>
            </w:pPr>
            <w:r>
              <w:rPr>
                <w:rFonts w:ascii="Aptos" w:hAnsi="Aptos"/>
                <w:b/>
                <w:color w:val="FFFFFF"/>
                <w:sz w:val="16"/>
              </w:rPr>
              <w:t>Outage or drawdown</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Recovery basis</w:t>
            </w:r>
          </w:p>
        </w:tc>
      </w:tr>
      <w:tr>
        <w:tc>
          <w:tcPr>
            <w:tcW w:type="dxa" w:w="4752"/>
            <w:tcMar>
              <w:top w:w="90" w:type="dxa"/>
              <w:start w:w="90" w:type="dxa"/>
              <w:bottom w:w="90" w:type="dxa"/>
              <w:end w:w="90" w:type="dxa"/>
            </w:tcMar>
            <w:vAlign w:val="top"/>
          </w:tcPr>
          <w:p>
            <w:pPr>
              <w:spacing w:after="0"/>
            </w:pPr>
            <w:r>
              <w:rPr>
                <w:rFonts w:ascii="Aptos" w:hAnsi="Aptos"/>
                <w:sz w:val="16"/>
              </w:rPr>
              <w:t>One extraction line unavailable</w:t>
            </w:r>
          </w:p>
        </w:tc>
        <w:tc>
          <w:tcPr>
            <w:tcW w:type="dxa" w:w="6480"/>
            <w:tcMar>
              <w:top w:w="90" w:type="dxa"/>
              <w:start w:w="90" w:type="dxa"/>
              <w:bottom w:w="90" w:type="dxa"/>
              <w:end w:w="90" w:type="dxa"/>
            </w:tcMar>
            <w:vAlign w:val="top"/>
          </w:tcPr>
          <w:p>
            <w:pPr>
              <w:spacing w:after="0"/>
            </w:pPr>
            <w:r>
              <w:rPr>
                <w:rFonts w:ascii="Aptos" w:hAnsi="Aptos"/>
                <w:sz w:val="16"/>
              </w:rPr>
              <w:t>Spare installed capacity should absorb without major output disruption.</w:t>
            </w:r>
          </w:p>
        </w:tc>
      </w:tr>
      <w:tr>
        <w:tc>
          <w:tcPr>
            <w:tcW w:type="dxa" w:w="4752"/>
            <w:tcMar>
              <w:top w:w="90" w:type="dxa"/>
              <w:start w:w="90" w:type="dxa"/>
              <w:bottom w:w="90" w:type="dxa"/>
              <w:end w:w="90" w:type="dxa"/>
            </w:tcMar>
            <w:vAlign w:val="top"/>
          </w:tcPr>
          <w:p>
            <w:pPr>
              <w:spacing w:after="0"/>
            </w:pPr>
            <w:r>
              <w:rPr>
                <w:rFonts w:ascii="Aptos" w:hAnsi="Aptos"/>
                <w:sz w:val="16"/>
              </w:rPr>
              <w:t>Water reserve drawdown of 130 metric tons</w:t>
            </w:r>
          </w:p>
        </w:tc>
        <w:tc>
          <w:tcPr>
            <w:tcW w:type="dxa" w:w="6480"/>
            <w:tcMar>
              <w:top w:w="90" w:type="dxa"/>
              <w:start w:w="90" w:type="dxa"/>
              <w:bottom w:w="90" w:type="dxa"/>
              <w:end w:w="90" w:type="dxa"/>
            </w:tcMar>
            <w:vAlign w:val="top"/>
          </w:tcPr>
          <w:p>
            <w:pPr>
              <w:spacing w:after="0"/>
            </w:pPr>
            <w:r>
              <w:rPr>
                <w:rFonts w:ascii="Aptos" w:hAnsi="Aptos"/>
                <w:sz w:val="16"/>
              </w:rPr>
              <w:t>Recovery in 4.3 days at 30 metric tons per day rebuild rate or 8.7 days at 15 metric tons per day.</w:t>
            </w:r>
          </w:p>
        </w:tc>
      </w:tr>
      <w:tr>
        <w:tc>
          <w:tcPr>
            <w:tcW w:type="dxa" w:w="4752"/>
            <w:tcMar>
              <w:top w:w="90" w:type="dxa"/>
              <w:start w:w="90" w:type="dxa"/>
              <w:bottom w:w="90" w:type="dxa"/>
              <w:end w:w="90" w:type="dxa"/>
            </w:tcMar>
            <w:vAlign w:val="top"/>
          </w:tcPr>
          <w:p>
            <w:pPr>
              <w:spacing w:after="0"/>
            </w:pPr>
            <w:r>
              <w:rPr>
                <w:rFonts w:ascii="Aptos" w:hAnsi="Aptos"/>
                <w:sz w:val="16"/>
              </w:rPr>
              <w:t>LOX drawdown of 200 metric tons</w:t>
            </w:r>
          </w:p>
        </w:tc>
        <w:tc>
          <w:tcPr>
            <w:tcW w:type="dxa" w:w="6480"/>
            <w:tcMar>
              <w:top w:w="90" w:type="dxa"/>
              <w:start w:w="90" w:type="dxa"/>
              <w:bottom w:w="90" w:type="dxa"/>
              <w:end w:w="90" w:type="dxa"/>
            </w:tcMar>
            <w:vAlign w:val="top"/>
          </w:tcPr>
          <w:p>
            <w:pPr>
              <w:spacing w:after="0"/>
            </w:pPr>
            <w:r>
              <w:rPr>
                <w:rFonts w:ascii="Aptos" w:hAnsi="Aptos"/>
                <w:sz w:val="16"/>
              </w:rPr>
              <w:t>Recovery in 8 days at 25 metric tons per day net rebuild rate.</w:t>
            </w:r>
          </w:p>
        </w:tc>
      </w:tr>
      <w:tr>
        <w:tc>
          <w:tcPr>
            <w:tcW w:type="dxa" w:w="4752"/>
            <w:tcMar>
              <w:top w:w="90" w:type="dxa"/>
              <w:start w:w="90" w:type="dxa"/>
              <w:bottom w:w="90" w:type="dxa"/>
              <w:end w:w="90" w:type="dxa"/>
            </w:tcMar>
            <w:vAlign w:val="top"/>
          </w:tcPr>
          <w:p>
            <w:pPr>
              <w:spacing w:after="0"/>
            </w:pPr>
            <w:r>
              <w:rPr>
                <w:rFonts w:ascii="Aptos" w:hAnsi="Aptos"/>
                <w:sz w:val="16"/>
              </w:rPr>
              <w:t>LH2 drawdown of 50 metric tons</w:t>
            </w:r>
          </w:p>
        </w:tc>
        <w:tc>
          <w:tcPr>
            <w:tcW w:type="dxa" w:w="6480"/>
            <w:tcMar>
              <w:top w:w="90" w:type="dxa"/>
              <w:start w:w="90" w:type="dxa"/>
              <w:bottom w:w="90" w:type="dxa"/>
              <w:end w:w="90" w:type="dxa"/>
            </w:tcMar>
            <w:vAlign w:val="top"/>
          </w:tcPr>
          <w:p>
            <w:pPr>
              <w:spacing w:after="0"/>
            </w:pPr>
            <w:r>
              <w:rPr>
                <w:rFonts w:ascii="Aptos" w:hAnsi="Aptos"/>
                <w:sz w:val="16"/>
              </w:rPr>
              <w:t>Recovery in 20 days at 2.5 metric tons per day net rebuild rate.</w:t>
            </w:r>
          </w:p>
        </w:tc>
      </w:tr>
      <w:tr>
        <w:tc>
          <w:tcPr>
            <w:tcW w:type="dxa" w:w="4752"/>
            <w:tcMar>
              <w:top w:w="90" w:type="dxa"/>
              <w:start w:w="90" w:type="dxa"/>
              <w:bottom w:w="90" w:type="dxa"/>
              <w:end w:w="90" w:type="dxa"/>
            </w:tcMar>
            <w:vAlign w:val="top"/>
          </w:tcPr>
          <w:p>
            <w:pPr>
              <w:spacing w:after="0"/>
            </w:pPr>
            <w:r>
              <w:rPr>
                <w:rFonts w:ascii="Aptos" w:hAnsi="Aptos"/>
                <w:sz w:val="16"/>
              </w:rPr>
              <w:t>One lunar night refuge event</w:t>
            </w:r>
          </w:p>
        </w:tc>
        <w:tc>
          <w:tcPr>
            <w:tcW w:type="dxa" w:w="6480"/>
            <w:tcMar>
              <w:top w:w="90" w:type="dxa"/>
              <w:start w:w="90" w:type="dxa"/>
              <w:bottom w:w="90" w:type="dxa"/>
              <w:end w:w="90" w:type="dxa"/>
            </w:tcMar>
            <w:vAlign w:val="top"/>
          </w:tcPr>
          <w:p>
            <w:pPr>
              <w:spacing w:after="0"/>
            </w:pPr>
            <w:r>
              <w:rPr>
                <w:rFonts w:ascii="Aptos" w:hAnsi="Aptos"/>
                <w:sz w:val="16"/>
              </w:rPr>
              <w:t>Hydrogen reserve recovery is pacing item, roughly 3 to 4 weeks in the model.</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11. Construction Execution Model and Integrated Master Schedule</w:t>
      </w:r>
    </w:p>
    <w:p>
      <w:pPr>
        <w:pStyle w:val="Heading2"/>
        <w:spacing w:before="200" w:after="120"/>
      </w:pPr>
      <w:r>
        <w:rPr>
          <w:rFonts w:ascii="Aptos" w:hAnsi="Aptos"/>
          <w:b/>
          <w:sz w:val="24"/>
        </w:rPr>
        <w:t>11.1 Construction philosophy</w:t>
      </w:r>
    </w:p>
    <w:p>
      <w:pPr>
        <w:spacing w:after="120"/>
      </w:pPr>
      <w:r>
        <w:rPr>
          <w:rFonts w:ascii="Aptos" w:hAnsi="Aptos"/>
          <w:sz w:val="21"/>
        </w:rPr>
        <w:t>Construction follows a power first, protected volume first, utilities first sequence. Robotic systems perform most early civil, surface, hauling, and repetitive utility work. Human crews focus on pressure shell integration, safety critical tie ins, command, medical, reactor, cryogenic, and commissioning work.</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Stage</w:t>
            </w:r>
          </w:p>
        </w:tc>
        <w:tc>
          <w:tcPr>
            <w:tcW w:type="dxa" w:w="6192"/>
            <w:shd w:fill="D9EAF7"/>
            <w:tcMar>
              <w:top w:w="90" w:type="dxa"/>
              <w:start w:w="90" w:type="dxa"/>
              <w:bottom w:w="90" w:type="dxa"/>
              <w:end w:w="90" w:type="dxa"/>
            </w:tcMar>
            <w:vAlign w:val="top"/>
          </w:tcPr>
          <w:p>
            <w:pPr>
              <w:spacing w:after="0"/>
            </w:pPr>
            <w:r>
              <w:rPr>
                <w:rFonts w:ascii="Aptos" w:hAnsi="Aptos"/>
                <w:b/>
                <w:color w:val="FFFFFF"/>
                <w:sz w:val="16"/>
              </w:rPr>
              <w:t>Primary work</w:t>
            </w:r>
          </w:p>
        </w:tc>
        <w:tc>
          <w:tcPr>
            <w:tcW w:type="dxa" w:w="4608"/>
            <w:shd w:fill="D9EAF7"/>
            <w:tcMar>
              <w:top w:w="90" w:type="dxa"/>
              <w:start w:w="90" w:type="dxa"/>
              <w:bottom w:w="90" w:type="dxa"/>
              <w:end w:w="90" w:type="dxa"/>
            </w:tcMar>
            <w:vAlign w:val="top"/>
          </w:tcPr>
          <w:p>
            <w:pPr>
              <w:spacing w:after="0"/>
            </w:pPr>
            <w:r>
              <w:rPr>
                <w:rFonts w:ascii="Aptos" w:hAnsi="Aptos"/>
                <w:b/>
                <w:color w:val="FFFFFF"/>
                <w:sz w:val="16"/>
              </w:rPr>
              <w:t>Population gate</w:t>
            </w:r>
          </w:p>
        </w:tc>
      </w:tr>
      <w:tr>
        <w:tc>
          <w:tcPr>
            <w:tcW w:type="dxa" w:w="1152"/>
            <w:tcMar>
              <w:top w:w="90" w:type="dxa"/>
              <w:start w:w="90" w:type="dxa"/>
              <w:bottom w:w="90" w:type="dxa"/>
              <w:end w:w="90" w:type="dxa"/>
            </w:tcMar>
            <w:vAlign w:val="top"/>
          </w:tcPr>
          <w:p>
            <w:pPr>
              <w:spacing w:after="0"/>
            </w:pPr>
            <w:r>
              <w:rPr>
                <w:rFonts w:ascii="Aptos" w:hAnsi="Aptos"/>
                <w:sz w:val="16"/>
              </w:rPr>
              <w:t>0</w:t>
            </w:r>
          </w:p>
        </w:tc>
        <w:tc>
          <w:tcPr>
            <w:tcW w:type="dxa" w:w="6192"/>
            <w:tcMar>
              <w:top w:w="90" w:type="dxa"/>
              <w:start w:w="90" w:type="dxa"/>
              <w:bottom w:w="90" w:type="dxa"/>
              <w:end w:w="90" w:type="dxa"/>
            </w:tcMar>
            <w:vAlign w:val="top"/>
          </w:tcPr>
          <w:p>
            <w:pPr>
              <w:spacing w:after="0"/>
            </w:pPr>
            <w:r>
              <w:rPr>
                <w:rFonts w:ascii="Aptos" w:hAnsi="Aptos"/>
                <w:sz w:val="16"/>
              </w:rPr>
              <w:t>Survey and design confirmation</w:t>
            </w:r>
          </w:p>
        </w:tc>
        <w:tc>
          <w:tcPr>
            <w:tcW w:type="dxa" w:w="4608"/>
            <w:tcMar>
              <w:top w:w="90" w:type="dxa"/>
              <w:start w:w="90" w:type="dxa"/>
              <w:bottom w:w="90" w:type="dxa"/>
              <w:end w:w="90" w:type="dxa"/>
            </w:tcMar>
            <w:vAlign w:val="top"/>
          </w:tcPr>
          <w:p>
            <w:pPr>
              <w:spacing w:after="0"/>
            </w:pPr>
            <w:r>
              <w:rPr>
                <w:rFonts w:ascii="Aptos" w:hAnsi="Aptos"/>
                <w:sz w:val="16"/>
              </w:rPr>
              <w:t>No routine population.</w:t>
            </w:r>
          </w:p>
        </w:tc>
      </w:tr>
      <w:tr>
        <w:tc>
          <w:tcPr>
            <w:tcW w:type="dxa" w:w="1152"/>
            <w:tcMar>
              <w:top w:w="90" w:type="dxa"/>
              <w:start w:w="90" w:type="dxa"/>
              <w:bottom w:w="90" w:type="dxa"/>
              <w:end w:w="90" w:type="dxa"/>
            </w:tcMar>
            <w:vAlign w:val="top"/>
          </w:tcPr>
          <w:p>
            <w:pPr>
              <w:spacing w:after="0"/>
            </w:pPr>
            <w:r>
              <w:rPr>
                <w:rFonts w:ascii="Aptos" w:hAnsi="Aptos"/>
                <w:sz w:val="16"/>
              </w:rPr>
              <w:t>1</w:t>
            </w:r>
          </w:p>
        </w:tc>
        <w:tc>
          <w:tcPr>
            <w:tcW w:type="dxa" w:w="6192"/>
            <w:tcMar>
              <w:top w:w="90" w:type="dxa"/>
              <w:start w:w="90" w:type="dxa"/>
              <w:bottom w:w="90" w:type="dxa"/>
              <w:end w:w="90" w:type="dxa"/>
            </w:tcMar>
            <w:vAlign w:val="top"/>
          </w:tcPr>
          <w:p>
            <w:pPr>
              <w:spacing w:after="0"/>
            </w:pPr>
            <w:r>
              <w:rPr>
                <w:rFonts w:ascii="Aptos" w:hAnsi="Aptos"/>
                <w:sz w:val="16"/>
              </w:rPr>
              <w:t>Initial site activation, pad, temporary power, communications</w:t>
            </w:r>
          </w:p>
        </w:tc>
        <w:tc>
          <w:tcPr>
            <w:tcW w:type="dxa" w:w="4608"/>
            <w:tcMar>
              <w:top w:w="90" w:type="dxa"/>
              <w:start w:w="90" w:type="dxa"/>
              <w:bottom w:w="90" w:type="dxa"/>
              <w:end w:w="90" w:type="dxa"/>
            </w:tcMar>
            <w:vAlign w:val="top"/>
          </w:tcPr>
          <w:p>
            <w:pPr>
              <w:spacing w:after="0"/>
            </w:pPr>
            <w:r>
              <w:rPr>
                <w:rFonts w:ascii="Aptos" w:hAnsi="Aptos"/>
                <w:sz w:val="16"/>
              </w:rPr>
              <w:t>Robotics and small technical team.</w:t>
            </w:r>
          </w:p>
        </w:tc>
      </w:tr>
      <w:tr>
        <w:tc>
          <w:tcPr>
            <w:tcW w:type="dxa" w:w="1152"/>
            <w:tcMar>
              <w:top w:w="90" w:type="dxa"/>
              <w:start w:w="90" w:type="dxa"/>
              <w:bottom w:w="90" w:type="dxa"/>
              <w:end w:w="90" w:type="dxa"/>
            </w:tcMar>
            <w:vAlign w:val="top"/>
          </w:tcPr>
          <w:p>
            <w:pPr>
              <w:spacing w:after="0"/>
            </w:pPr>
            <w:r>
              <w:rPr>
                <w:rFonts w:ascii="Aptos" w:hAnsi="Aptos"/>
                <w:sz w:val="16"/>
              </w:rPr>
              <w:t>2</w:t>
            </w:r>
          </w:p>
        </w:tc>
        <w:tc>
          <w:tcPr>
            <w:tcW w:type="dxa" w:w="6192"/>
            <w:tcMar>
              <w:top w:w="90" w:type="dxa"/>
              <w:start w:w="90" w:type="dxa"/>
              <w:bottom w:w="90" w:type="dxa"/>
              <w:end w:w="90" w:type="dxa"/>
            </w:tcMar>
            <w:vAlign w:val="top"/>
          </w:tcPr>
          <w:p>
            <w:pPr>
              <w:spacing w:after="0"/>
            </w:pPr>
            <w:r>
              <w:rPr>
                <w:rFonts w:ascii="Aptos" w:hAnsi="Aptos"/>
                <w:sz w:val="16"/>
              </w:rPr>
              <w:t>Dependable power and utility corridor establishment</w:t>
            </w:r>
          </w:p>
        </w:tc>
        <w:tc>
          <w:tcPr>
            <w:tcW w:type="dxa" w:w="4608"/>
            <w:tcMar>
              <w:top w:w="90" w:type="dxa"/>
              <w:start w:w="90" w:type="dxa"/>
              <w:bottom w:w="90" w:type="dxa"/>
              <w:end w:w="90" w:type="dxa"/>
            </w:tcMar>
            <w:vAlign w:val="top"/>
          </w:tcPr>
          <w:p>
            <w:pPr>
              <w:spacing w:after="0"/>
            </w:pPr>
            <w:r>
              <w:rPr>
                <w:rFonts w:ascii="Aptos" w:hAnsi="Aptos"/>
                <w:sz w:val="16"/>
              </w:rPr>
              <w:t>No large population.</w:t>
            </w:r>
          </w:p>
        </w:tc>
      </w:tr>
      <w:tr>
        <w:tc>
          <w:tcPr>
            <w:tcW w:type="dxa" w:w="1152"/>
            <w:tcMar>
              <w:top w:w="90" w:type="dxa"/>
              <w:start w:w="90" w:type="dxa"/>
              <w:bottom w:w="90" w:type="dxa"/>
              <w:end w:w="90" w:type="dxa"/>
            </w:tcMar>
            <w:vAlign w:val="top"/>
          </w:tcPr>
          <w:p>
            <w:pPr>
              <w:spacing w:after="0"/>
            </w:pPr>
            <w:r>
              <w:rPr>
                <w:rFonts w:ascii="Aptos" w:hAnsi="Aptos"/>
                <w:sz w:val="16"/>
              </w:rPr>
              <w:t>3</w:t>
            </w:r>
          </w:p>
        </w:tc>
        <w:tc>
          <w:tcPr>
            <w:tcW w:type="dxa" w:w="6192"/>
            <w:tcMar>
              <w:top w:w="90" w:type="dxa"/>
              <w:start w:w="90" w:type="dxa"/>
              <w:bottom w:w="90" w:type="dxa"/>
              <w:end w:w="90" w:type="dxa"/>
            </w:tcMar>
            <w:vAlign w:val="top"/>
          </w:tcPr>
          <w:p>
            <w:pPr>
              <w:spacing w:after="0"/>
            </w:pPr>
            <w:r>
              <w:rPr>
                <w:rFonts w:ascii="Aptos" w:hAnsi="Aptos"/>
                <w:sz w:val="16"/>
              </w:rPr>
              <w:t>Underground civil works and first refuge volume</w:t>
            </w:r>
          </w:p>
        </w:tc>
        <w:tc>
          <w:tcPr>
            <w:tcW w:type="dxa" w:w="4608"/>
            <w:tcMar>
              <w:top w:w="90" w:type="dxa"/>
              <w:start w:w="90" w:type="dxa"/>
              <w:bottom w:w="90" w:type="dxa"/>
              <w:end w:w="90" w:type="dxa"/>
            </w:tcMar>
            <w:vAlign w:val="top"/>
          </w:tcPr>
          <w:p>
            <w:pPr>
              <w:spacing w:after="0"/>
            </w:pPr>
            <w:r>
              <w:rPr>
                <w:rFonts w:ascii="Aptos" w:hAnsi="Aptos"/>
                <w:sz w:val="16"/>
              </w:rPr>
              <w:t>Up to 250 after R1 certification.</w:t>
            </w:r>
          </w:p>
        </w:tc>
      </w:tr>
      <w:tr>
        <w:tc>
          <w:tcPr>
            <w:tcW w:type="dxa" w:w="1152"/>
            <w:tcMar>
              <w:top w:w="90" w:type="dxa"/>
              <w:start w:w="90" w:type="dxa"/>
              <w:bottom w:w="90" w:type="dxa"/>
              <w:end w:w="90" w:type="dxa"/>
            </w:tcMar>
            <w:vAlign w:val="top"/>
          </w:tcPr>
          <w:p>
            <w:pPr>
              <w:spacing w:after="0"/>
            </w:pPr>
            <w:r>
              <w:rPr>
                <w:rFonts w:ascii="Aptos" w:hAnsi="Aptos"/>
                <w:sz w:val="16"/>
              </w:rPr>
              <w:t>4</w:t>
            </w:r>
          </w:p>
        </w:tc>
        <w:tc>
          <w:tcPr>
            <w:tcW w:type="dxa" w:w="6192"/>
            <w:tcMar>
              <w:top w:w="90" w:type="dxa"/>
              <w:start w:w="90" w:type="dxa"/>
              <w:bottom w:w="90" w:type="dxa"/>
              <w:end w:w="90" w:type="dxa"/>
            </w:tcMar>
            <w:vAlign w:val="top"/>
          </w:tcPr>
          <w:p>
            <w:pPr>
              <w:spacing w:after="0"/>
            </w:pPr>
            <w:r>
              <w:rPr>
                <w:rFonts w:ascii="Aptos" w:hAnsi="Aptos"/>
                <w:sz w:val="16"/>
              </w:rPr>
              <w:t>Core habitat, command, medical fitout</w:t>
            </w:r>
          </w:p>
        </w:tc>
        <w:tc>
          <w:tcPr>
            <w:tcW w:type="dxa" w:w="4608"/>
            <w:tcMar>
              <w:top w:w="90" w:type="dxa"/>
              <w:start w:w="90" w:type="dxa"/>
              <w:bottom w:w="90" w:type="dxa"/>
              <w:end w:w="90" w:type="dxa"/>
            </w:tcMar>
            <w:vAlign w:val="top"/>
          </w:tcPr>
          <w:p>
            <w:pPr>
              <w:spacing w:after="0"/>
            </w:pPr>
            <w:r>
              <w:rPr>
                <w:rFonts w:ascii="Aptos" w:hAnsi="Aptos"/>
                <w:sz w:val="16"/>
              </w:rPr>
              <w:t>Up to 500 after R1, R2, medical, command, first embarkation path.</w:t>
            </w:r>
          </w:p>
        </w:tc>
      </w:tr>
      <w:tr>
        <w:tc>
          <w:tcPr>
            <w:tcW w:type="dxa" w:w="1152"/>
            <w:tcMar>
              <w:top w:w="90" w:type="dxa"/>
              <w:start w:w="90" w:type="dxa"/>
              <w:bottom w:w="90" w:type="dxa"/>
              <w:end w:w="90" w:type="dxa"/>
            </w:tcMar>
            <w:vAlign w:val="top"/>
          </w:tcPr>
          <w:p>
            <w:pPr>
              <w:spacing w:after="0"/>
            </w:pPr>
            <w:r>
              <w:rPr>
                <w:rFonts w:ascii="Aptos" w:hAnsi="Aptos"/>
                <w:sz w:val="16"/>
              </w:rPr>
              <w:t>5</w:t>
            </w:r>
          </w:p>
        </w:tc>
        <w:tc>
          <w:tcPr>
            <w:tcW w:type="dxa" w:w="6192"/>
            <w:tcMar>
              <w:top w:w="90" w:type="dxa"/>
              <w:start w:w="90" w:type="dxa"/>
              <w:bottom w:w="90" w:type="dxa"/>
              <w:end w:w="90" w:type="dxa"/>
            </w:tcMar>
            <w:vAlign w:val="top"/>
          </w:tcPr>
          <w:p>
            <w:pPr>
              <w:spacing w:after="0"/>
            </w:pPr>
            <w:r>
              <w:rPr>
                <w:rFonts w:ascii="Aptos" w:hAnsi="Aptos"/>
                <w:sz w:val="16"/>
              </w:rPr>
              <w:t>Water, oxygen, and process core industrialization</w:t>
            </w:r>
          </w:p>
        </w:tc>
        <w:tc>
          <w:tcPr>
            <w:tcW w:type="dxa" w:w="4608"/>
            <w:tcMar>
              <w:top w:w="90" w:type="dxa"/>
              <w:start w:w="90" w:type="dxa"/>
              <w:bottom w:w="90" w:type="dxa"/>
              <w:end w:w="90" w:type="dxa"/>
            </w:tcMar>
            <w:vAlign w:val="top"/>
          </w:tcPr>
          <w:p>
            <w:pPr>
              <w:spacing w:after="0"/>
            </w:pPr>
            <w:r>
              <w:rPr>
                <w:rFonts w:ascii="Aptos" w:hAnsi="Aptos"/>
                <w:sz w:val="16"/>
              </w:rPr>
              <w:t>Up to 700 after stable water, purification, and oxygen reserves.</w:t>
            </w:r>
          </w:p>
        </w:tc>
      </w:tr>
      <w:tr>
        <w:tc>
          <w:tcPr>
            <w:tcW w:type="dxa" w:w="1152"/>
            <w:tcMar>
              <w:top w:w="90" w:type="dxa"/>
              <w:start w:w="90" w:type="dxa"/>
              <w:bottom w:w="90" w:type="dxa"/>
              <w:end w:w="90" w:type="dxa"/>
            </w:tcMar>
            <w:vAlign w:val="top"/>
          </w:tcPr>
          <w:p>
            <w:pPr>
              <w:spacing w:after="0"/>
            </w:pPr>
            <w:r>
              <w:rPr>
                <w:rFonts w:ascii="Aptos" w:hAnsi="Aptos"/>
                <w:sz w:val="16"/>
              </w:rPr>
              <w:t>6</w:t>
            </w:r>
          </w:p>
        </w:tc>
        <w:tc>
          <w:tcPr>
            <w:tcW w:type="dxa" w:w="6192"/>
            <w:tcMar>
              <w:top w:w="90" w:type="dxa"/>
              <w:start w:w="90" w:type="dxa"/>
              <w:bottom w:w="90" w:type="dxa"/>
              <w:end w:w="90" w:type="dxa"/>
            </w:tcMar>
            <w:vAlign w:val="top"/>
          </w:tcPr>
          <w:p>
            <w:pPr>
              <w:spacing w:after="0"/>
            </w:pPr>
            <w:r>
              <w:rPr>
                <w:rFonts w:ascii="Aptos" w:hAnsi="Aptos"/>
                <w:sz w:val="16"/>
              </w:rPr>
              <w:t>Cryogenic, landing expansion, evacuation backbone</w:t>
            </w:r>
          </w:p>
        </w:tc>
        <w:tc>
          <w:tcPr>
            <w:tcW w:type="dxa" w:w="4608"/>
            <w:tcMar>
              <w:top w:w="90" w:type="dxa"/>
              <w:start w:w="90" w:type="dxa"/>
              <w:bottom w:w="90" w:type="dxa"/>
              <w:end w:w="90" w:type="dxa"/>
            </w:tcMar>
            <w:vAlign w:val="top"/>
          </w:tcPr>
          <w:p>
            <w:pPr>
              <w:spacing w:after="0"/>
            </w:pPr>
            <w:r>
              <w:rPr>
                <w:rFonts w:ascii="Aptos" w:hAnsi="Aptos"/>
                <w:sz w:val="16"/>
              </w:rPr>
              <w:t>Up to 1000 after R1 through R4 and both embarkation zones.</w:t>
            </w:r>
          </w:p>
        </w:tc>
      </w:tr>
      <w:tr>
        <w:tc>
          <w:tcPr>
            <w:tcW w:type="dxa" w:w="1152"/>
            <w:tcMar>
              <w:top w:w="90" w:type="dxa"/>
              <w:start w:w="90" w:type="dxa"/>
              <w:bottom w:w="90" w:type="dxa"/>
              <w:end w:w="90" w:type="dxa"/>
            </w:tcMar>
            <w:vAlign w:val="top"/>
          </w:tcPr>
          <w:p>
            <w:pPr>
              <w:spacing w:after="0"/>
            </w:pPr>
            <w:r>
              <w:rPr>
                <w:rFonts w:ascii="Aptos" w:hAnsi="Aptos"/>
                <w:sz w:val="16"/>
              </w:rPr>
              <w:t>7</w:t>
            </w:r>
          </w:p>
        </w:tc>
        <w:tc>
          <w:tcPr>
            <w:tcW w:type="dxa" w:w="6192"/>
            <w:tcMar>
              <w:top w:w="90" w:type="dxa"/>
              <w:start w:w="90" w:type="dxa"/>
              <w:bottom w:w="90" w:type="dxa"/>
              <w:end w:w="90" w:type="dxa"/>
            </w:tcMar>
            <w:vAlign w:val="top"/>
          </w:tcPr>
          <w:p>
            <w:pPr>
              <w:spacing w:after="0"/>
            </w:pPr>
            <w:r>
              <w:rPr>
                <w:rFonts w:ascii="Aptos" w:hAnsi="Aptos"/>
                <w:sz w:val="16"/>
              </w:rPr>
              <w:t>Food systems, maintenance, controls, certification</w:t>
            </w:r>
          </w:p>
        </w:tc>
        <w:tc>
          <w:tcPr>
            <w:tcW w:type="dxa" w:w="4608"/>
            <w:tcMar>
              <w:top w:w="90" w:type="dxa"/>
              <w:start w:w="90" w:type="dxa"/>
              <w:bottom w:w="90" w:type="dxa"/>
              <w:end w:w="90" w:type="dxa"/>
            </w:tcMar>
            <w:vAlign w:val="top"/>
          </w:tcPr>
          <w:p>
            <w:pPr>
              <w:spacing w:after="0"/>
            </w:pPr>
            <w:r>
              <w:rPr>
                <w:rFonts w:ascii="Aptos" w:hAnsi="Aptos"/>
                <w:sz w:val="16"/>
              </w:rPr>
              <w:t>1000 routine, 1200 surge only after full certification.</w:t>
            </w:r>
          </w:p>
        </w:tc>
      </w:tr>
    </w:tbl>
    <w:p>
      <w:pPr>
        <w:spacing w:after="120"/>
      </w:pPr>
    </w:p>
    <w:p>
      <w:pPr>
        <w:pStyle w:val="Heading2"/>
        <w:spacing w:before="200" w:after="120"/>
      </w:pPr>
      <w:r>
        <w:rPr>
          <w:rFonts w:ascii="Aptos" w:hAnsi="Aptos"/>
          <w:b/>
          <w:sz w:val="24"/>
        </w:rPr>
        <w:t>11.2 Work package structure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1296"/>
            <w:shd w:fill="D9EAF7"/>
            <w:tcMar>
              <w:top w:w="90" w:type="dxa"/>
              <w:start w:w="90" w:type="dxa"/>
              <w:bottom w:w="90" w:type="dxa"/>
              <w:end w:w="90" w:type="dxa"/>
            </w:tcMar>
            <w:vAlign w:val="top"/>
          </w:tcPr>
          <w:p>
            <w:pPr>
              <w:spacing w:after="0"/>
            </w:pPr>
            <w:r>
              <w:rPr>
                <w:rFonts w:ascii="Aptos" w:hAnsi="Aptos"/>
                <w:b/>
                <w:color w:val="FFFFFF"/>
                <w:sz w:val="16"/>
              </w:rPr>
              <w:t>WP</w:t>
            </w:r>
          </w:p>
        </w:tc>
        <w:tc>
          <w:tcPr>
            <w:tcW w:type="dxa" w:w="9360"/>
            <w:shd w:fill="D9EAF7"/>
            <w:tcMar>
              <w:top w:w="90" w:type="dxa"/>
              <w:start w:w="90" w:type="dxa"/>
              <w:bottom w:w="90" w:type="dxa"/>
              <w:end w:w="90" w:type="dxa"/>
            </w:tcMar>
            <w:vAlign w:val="top"/>
          </w:tcPr>
          <w:p>
            <w:pPr>
              <w:spacing w:after="0"/>
            </w:pPr>
            <w:r>
              <w:rPr>
                <w:rFonts w:ascii="Aptos" w:hAnsi="Aptos"/>
                <w:b/>
                <w:color w:val="FFFFFF"/>
                <w:sz w:val="16"/>
              </w:rPr>
              <w:t>Scope</w:t>
            </w:r>
          </w:p>
        </w:tc>
      </w:tr>
      <w:tr>
        <w:tc>
          <w:tcPr>
            <w:tcW w:type="dxa" w:w="1296"/>
            <w:tcMar>
              <w:top w:w="90" w:type="dxa"/>
              <w:start w:w="90" w:type="dxa"/>
              <w:bottom w:w="90" w:type="dxa"/>
              <w:end w:w="90" w:type="dxa"/>
            </w:tcMar>
            <w:vAlign w:val="top"/>
          </w:tcPr>
          <w:p>
            <w:pPr>
              <w:spacing w:after="0"/>
            </w:pPr>
            <w:r>
              <w:rPr>
                <w:rFonts w:ascii="Aptos" w:hAnsi="Aptos"/>
                <w:sz w:val="16"/>
              </w:rPr>
              <w:t>WP 1</w:t>
            </w:r>
          </w:p>
        </w:tc>
        <w:tc>
          <w:tcPr>
            <w:tcW w:type="dxa" w:w="9360"/>
            <w:tcMar>
              <w:top w:w="90" w:type="dxa"/>
              <w:start w:w="90" w:type="dxa"/>
              <w:bottom w:w="90" w:type="dxa"/>
              <w:end w:w="90" w:type="dxa"/>
            </w:tcMar>
            <w:vAlign w:val="top"/>
          </w:tcPr>
          <w:p>
            <w:pPr>
              <w:spacing w:after="0"/>
            </w:pPr>
            <w:r>
              <w:rPr>
                <w:rFonts w:ascii="Aptos" w:hAnsi="Aptos"/>
                <w:sz w:val="16"/>
              </w:rPr>
              <w:t>Program management and systems integration</w:t>
            </w:r>
          </w:p>
        </w:tc>
      </w:tr>
      <w:tr>
        <w:tc>
          <w:tcPr>
            <w:tcW w:type="dxa" w:w="1296"/>
            <w:tcMar>
              <w:top w:w="90" w:type="dxa"/>
              <w:start w:w="90" w:type="dxa"/>
              <w:bottom w:w="90" w:type="dxa"/>
              <w:end w:w="90" w:type="dxa"/>
            </w:tcMar>
            <w:vAlign w:val="top"/>
          </w:tcPr>
          <w:p>
            <w:pPr>
              <w:spacing w:after="0"/>
            </w:pPr>
            <w:r>
              <w:rPr>
                <w:rFonts w:ascii="Aptos" w:hAnsi="Aptos"/>
                <w:sz w:val="16"/>
              </w:rPr>
              <w:t>WP 2</w:t>
            </w:r>
          </w:p>
        </w:tc>
        <w:tc>
          <w:tcPr>
            <w:tcW w:type="dxa" w:w="9360"/>
            <w:tcMar>
              <w:top w:w="90" w:type="dxa"/>
              <w:start w:w="90" w:type="dxa"/>
              <w:bottom w:w="90" w:type="dxa"/>
              <w:end w:w="90" w:type="dxa"/>
            </w:tcMar>
            <w:vAlign w:val="top"/>
          </w:tcPr>
          <w:p>
            <w:pPr>
              <w:spacing w:after="0"/>
            </w:pPr>
            <w:r>
              <w:rPr>
                <w:rFonts w:ascii="Aptos" w:hAnsi="Aptos"/>
                <w:sz w:val="16"/>
              </w:rPr>
              <w:t>Site survey, mapping, and geotechnical characterization</w:t>
            </w:r>
          </w:p>
        </w:tc>
      </w:tr>
      <w:tr>
        <w:tc>
          <w:tcPr>
            <w:tcW w:type="dxa" w:w="1296"/>
            <w:tcMar>
              <w:top w:w="90" w:type="dxa"/>
              <w:start w:w="90" w:type="dxa"/>
              <w:bottom w:w="90" w:type="dxa"/>
              <w:end w:w="90" w:type="dxa"/>
            </w:tcMar>
            <w:vAlign w:val="top"/>
          </w:tcPr>
          <w:p>
            <w:pPr>
              <w:spacing w:after="0"/>
            </w:pPr>
            <w:r>
              <w:rPr>
                <w:rFonts w:ascii="Aptos" w:hAnsi="Aptos"/>
                <w:sz w:val="16"/>
              </w:rPr>
              <w:t>WP 3</w:t>
            </w:r>
          </w:p>
        </w:tc>
        <w:tc>
          <w:tcPr>
            <w:tcW w:type="dxa" w:w="9360"/>
            <w:tcMar>
              <w:top w:w="90" w:type="dxa"/>
              <w:start w:w="90" w:type="dxa"/>
              <w:bottom w:w="90" w:type="dxa"/>
              <w:end w:w="90" w:type="dxa"/>
            </w:tcMar>
            <w:vAlign w:val="top"/>
          </w:tcPr>
          <w:p>
            <w:pPr>
              <w:spacing w:after="0"/>
            </w:pPr>
            <w:r>
              <w:rPr>
                <w:rFonts w:ascii="Aptos" w:hAnsi="Aptos"/>
                <w:sz w:val="16"/>
              </w:rPr>
              <w:t>Surface access, roads, berms, and landing preparation</w:t>
            </w:r>
          </w:p>
        </w:tc>
      </w:tr>
      <w:tr>
        <w:tc>
          <w:tcPr>
            <w:tcW w:type="dxa" w:w="1296"/>
            <w:tcMar>
              <w:top w:w="90" w:type="dxa"/>
              <w:start w:w="90" w:type="dxa"/>
              <w:bottom w:w="90" w:type="dxa"/>
              <w:end w:w="90" w:type="dxa"/>
            </w:tcMar>
            <w:vAlign w:val="top"/>
          </w:tcPr>
          <w:p>
            <w:pPr>
              <w:spacing w:after="0"/>
            </w:pPr>
            <w:r>
              <w:rPr>
                <w:rFonts w:ascii="Aptos" w:hAnsi="Aptos"/>
                <w:sz w:val="16"/>
              </w:rPr>
              <w:t>WP 4</w:t>
            </w:r>
          </w:p>
        </w:tc>
        <w:tc>
          <w:tcPr>
            <w:tcW w:type="dxa" w:w="9360"/>
            <w:tcMar>
              <w:top w:w="90" w:type="dxa"/>
              <w:start w:w="90" w:type="dxa"/>
              <w:bottom w:w="90" w:type="dxa"/>
              <w:end w:w="90" w:type="dxa"/>
            </w:tcMar>
            <w:vAlign w:val="top"/>
          </w:tcPr>
          <w:p>
            <w:pPr>
              <w:spacing w:after="0"/>
            </w:pPr>
            <w:r>
              <w:rPr>
                <w:rFonts w:ascii="Aptos" w:hAnsi="Aptos"/>
                <w:sz w:val="16"/>
              </w:rPr>
              <w:t>Early power and communications</w:t>
            </w:r>
          </w:p>
        </w:tc>
      </w:tr>
      <w:tr>
        <w:tc>
          <w:tcPr>
            <w:tcW w:type="dxa" w:w="1296"/>
            <w:tcMar>
              <w:top w:w="90" w:type="dxa"/>
              <w:start w:w="90" w:type="dxa"/>
              <w:bottom w:w="90" w:type="dxa"/>
              <w:end w:w="90" w:type="dxa"/>
            </w:tcMar>
            <w:vAlign w:val="top"/>
          </w:tcPr>
          <w:p>
            <w:pPr>
              <w:spacing w:after="0"/>
            </w:pPr>
            <w:r>
              <w:rPr>
                <w:rFonts w:ascii="Aptos" w:hAnsi="Aptos"/>
                <w:sz w:val="16"/>
              </w:rPr>
              <w:t>WP 5</w:t>
            </w:r>
          </w:p>
        </w:tc>
        <w:tc>
          <w:tcPr>
            <w:tcW w:type="dxa" w:w="9360"/>
            <w:tcMar>
              <w:top w:w="90" w:type="dxa"/>
              <w:start w:w="90" w:type="dxa"/>
              <w:bottom w:w="90" w:type="dxa"/>
              <w:end w:w="90" w:type="dxa"/>
            </w:tcMar>
            <w:vAlign w:val="top"/>
          </w:tcPr>
          <w:p>
            <w:pPr>
              <w:spacing w:after="0"/>
            </w:pPr>
            <w:r>
              <w:rPr>
                <w:rFonts w:ascii="Aptos" w:hAnsi="Aptos"/>
                <w:sz w:val="16"/>
              </w:rPr>
              <w:t>Main power island and thermal rejection</w:t>
            </w:r>
          </w:p>
        </w:tc>
      </w:tr>
      <w:tr>
        <w:tc>
          <w:tcPr>
            <w:tcW w:type="dxa" w:w="1296"/>
            <w:tcMar>
              <w:top w:w="90" w:type="dxa"/>
              <w:start w:w="90" w:type="dxa"/>
              <w:bottom w:w="90" w:type="dxa"/>
              <w:end w:w="90" w:type="dxa"/>
            </w:tcMar>
            <w:vAlign w:val="top"/>
          </w:tcPr>
          <w:p>
            <w:pPr>
              <w:spacing w:after="0"/>
            </w:pPr>
            <w:r>
              <w:rPr>
                <w:rFonts w:ascii="Aptos" w:hAnsi="Aptos"/>
                <w:sz w:val="16"/>
              </w:rPr>
              <w:t>WP 6</w:t>
            </w:r>
          </w:p>
        </w:tc>
        <w:tc>
          <w:tcPr>
            <w:tcW w:type="dxa" w:w="9360"/>
            <w:tcMar>
              <w:top w:w="90" w:type="dxa"/>
              <w:start w:w="90" w:type="dxa"/>
              <w:bottom w:w="90" w:type="dxa"/>
              <w:end w:w="90" w:type="dxa"/>
            </w:tcMar>
            <w:vAlign w:val="top"/>
          </w:tcPr>
          <w:p>
            <w:pPr>
              <w:spacing w:after="0"/>
            </w:pPr>
            <w:r>
              <w:rPr>
                <w:rFonts w:ascii="Aptos" w:hAnsi="Aptos"/>
                <w:sz w:val="16"/>
              </w:rPr>
              <w:t>Utility corridors and service trenches</w:t>
            </w:r>
          </w:p>
        </w:tc>
      </w:tr>
      <w:tr>
        <w:tc>
          <w:tcPr>
            <w:tcW w:type="dxa" w:w="1296"/>
            <w:tcMar>
              <w:top w:w="90" w:type="dxa"/>
              <w:start w:w="90" w:type="dxa"/>
              <w:bottom w:w="90" w:type="dxa"/>
              <w:end w:w="90" w:type="dxa"/>
            </w:tcMar>
            <w:vAlign w:val="top"/>
          </w:tcPr>
          <w:p>
            <w:pPr>
              <w:spacing w:after="0"/>
            </w:pPr>
            <w:r>
              <w:rPr>
                <w:rFonts w:ascii="Aptos" w:hAnsi="Aptos"/>
                <w:sz w:val="16"/>
              </w:rPr>
              <w:t>WP 7</w:t>
            </w:r>
          </w:p>
        </w:tc>
        <w:tc>
          <w:tcPr>
            <w:tcW w:type="dxa" w:w="9360"/>
            <w:tcMar>
              <w:top w:w="90" w:type="dxa"/>
              <w:start w:w="90" w:type="dxa"/>
              <w:bottom w:w="90" w:type="dxa"/>
              <w:end w:w="90" w:type="dxa"/>
            </w:tcMar>
            <w:vAlign w:val="top"/>
          </w:tcPr>
          <w:p>
            <w:pPr>
              <w:spacing w:after="0"/>
            </w:pPr>
            <w:r>
              <w:rPr>
                <w:rFonts w:ascii="Aptos" w:hAnsi="Aptos"/>
                <w:sz w:val="16"/>
              </w:rPr>
              <w:t>Underground shafts, galleries, and structural shells</w:t>
            </w:r>
          </w:p>
        </w:tc>
      </w:tr>
      <w:tr>
        <w:tc>
          <w:tcPr>
            <w:tcW w:type="dxa" w:w="1296"/>
            <w:tcMar>
              <w:top w:w="90" w:type="dxa"/>
              <w:start w:w="90" w:type="dxa"/>
              <w:bottom w:w="90" w:type="dxa"/>
              <w:end w:w="90" w:type="dxa"/>
            </w:tcMar>
            <w:vAlign w:val="top"/>
          </w:tcPr>
          <w:p>
            <w:pPr>
              <w:spacing w:after="0"/>
            </w:pPr>
            <w:r>
              <w:rPr>
                <w:rFonts w:ascii="Aptos" w:hAnsi="Aptos"/>
                <w:sz w:val="16"/>
              </w:rPr>
              <w:t>WP 8</w:t>
            </w:r>
          </w:p>
        </w:tc>
        <w:tc>
          <w:tcPr>
            <w:tcW w:type="dxa" w:w="9360"/>
            <w:tcMar>
              <w:top w:w="90" w:type="dxa"/>
              <w:start w:w="90" w:type="dxa"/>
              <w:bottom w:w="90" w:type="dxa"/>
              <w:end w:w="90" w:type="dxa"/>
            </w:tcMar>
            <w:vAlign w:val="top"/>
          </w:tcPr>
          <w:p>
            <w:pPr>
              <w:spacing w:after="0"/>
            </w:pPr>
            <w:r>
              <w:rPr>
                <w:rFonts w:ascii="Aptos" w:hAnsi="Aptos"/>
                <w:sz w:val="16"/>
              </w:rPr>
              <w:t>Refuge clusters and emergency movement system</w:t>
            </w:r>
          </w:p>
        </w:tc>
      </w:tr>
      <w:tr>
        <w:tc>
          <w:tcPr>
            <w:tcW w:type="dxa" w:w="1296"/>
            <w:tcMar>
              <w:top w:w="90" w:type="dxa"/>
              <w:start w:w="90" w:type="dxa"/>
              <w:bottom w:w="90" w:type="dxa"/>
              <w:end w:w="90" w:type="dxa"/>
            </w:tcMar>
            <w:vAlign w:val="top"/>
          </w:tcPr>
          <w:p>
            <w:pPr>
              <w:spacing w:after="0"/>
            </w:pPr>
            <w:r>
              <w:rPr>
                <w:rFonts w:ascii="Aptos" w:hAnsi="Aptos"/>
                <w:sz w:val="16"/>
              </w:rPr>
              <w:t>WP 9</w:t>
            </w:r>
          </w:p>
        </w:tc>
        <w:tc>
          <w:tcPr>
            <w:tcW w:type="dxa" w:w="9360"/>
            <w:tcMar>
              <w:top w:w="90" w:type="dxa"/>
              <w:start w:w="90" w:type="dxa"/>
              <w:bottom w:w="90" w:type="dxa"/>
              <w:end w:w="90" w:type="dxa"/>
            </w:tcMar>
            <w:vAlign w:val="top"/>
          </w:tcPr>
          <w:p>
            <w:pPr>
              <w:spacing w:after="0"/>
            </w:pPr>
            <w:r>
              <w:rPr>
                <w:rFonts w:ascii="Aptos" w:hAnsi="Aptos"/>
                <w:sz w:val="16"/>
              </w:rPr>
              <w:t>Underground habitat fitout and life support</w:t>
            </w:r>
          </w:p>
        </w:tc>
      </w:tr>
      <w:tr>
        <w:tc>
          <w:tcPr>
            <w:tcW w:type="dxa" w:w="1296"/>
            <w:tcMar>
              <w:top w:w="90" w:type="dxa"/>
              <w:start w:w="90" w:type="dxa"/>
              <w:bottom w:w="90" w:type="dxa"/>
              <w:end w:w="90" w:type="dxa"/>
            </w:tcMar>
            <w:vAlign w:val="top"/>
          </w:tcPr>
          <w:p>
            <w:pPr>
              <w:spacing w:after="0"/>
            </w:pPr>
            <w:r>
              <w:rPr>
                <w:rFonts w:ascii="Aptos" w:hAnsi="Aptos"/>
                <w:sz w:val="16"/>
              </w:rPr>
              <w:t>WP 10</w:t>
            </w:r>
          </w:p>
        </w:tc>
        <w:tc>
          <w:tcPr>
            <w:tcW w:type="dxa" w:w="9360"/>
            <w:tcMar>
              <w:top w:w="90" w:type="dxa"/>
              <w:start w:w="90" w:type="dxa"/>
              <w:bottom w:w="90" w:type="dxa"/>
              <w:end w:w="90" w:type="dxa"/>
            </w:tcMar>
            <w:vAlign w:val="top"/>
          </w:tcPr>
          <w:p>
            <w:pPr>
              <w:spacing w:after="0"/>
            </w:pPr>
            <w:r>
              <w:rPr>
                <w:rFonts w:ascii="Aptos" w:hAnsi="Aptos"/>
                <w:sz w:val="16"/>
              </w:rPr>
              <w:t>Medical, command, and data infrastructure</w:t>
            </w:r>
          </w:p>
        </w:tc>
      </w:tr>
      <w:tr>
        <w:tc>
          <w:tcPr>
            <w:tcW w:type="dxa" w:w="1296"/>
            <w:tcMar>
              <w:top w:w="90" w:type="dxa"/>
              <w:start w:w="90" w:type="dxa"/>
              <w:bottom w:w="90" w:type="dxa"/>
              <w:end w:w="90" w:type="dxa"/>
            </w:tcMar>
            <w:vAlign w:val="top"/>
          </w:tcPr>
          <w:p>
            <w:pPr>
              <w:spacing w:after="0"/>
            </w:pPr>
            <w:r>
              <w:rPr>
                <w:rFonts w:ascii="Aptos" w:hAnsi="Aptos"/>
                <w:sz w:val="16"/>
              </w:rPr>
              <w:t>WP 11</w:t>
            </w:r>
          </w:p>
        </w:tc>
        <w:tc>
          <w:tcPr>
            <w:tcW w:type="dxa" w:w="9360"/>
            <w:tcMar>
              <w:top w:w="90" w:type="dxa"/>
              <w:start w:w="90" w:type="dxa"/>
              <w:bottom w:w="90" w:type="dxa"/>
              <w:end w:w="90" w:type="dxa"/>
            </w:tcMar>
            <w:vAlign w:val="top"/>
          </w:tcPr>
          <w:p>
            <w:pPr>
              <w:spacing w:after="0"/>
            </w:pPr>
            <w:r>
              <w:rPr>
                <w:rFonts w:ascii="Aptos" w:hAnsi="Aptos"/>
                <w:sz w:val="16"/>
              </w:rPr>
              <w:t>Water and volatile extraction plant</w:t>
            </w:r>
          </w:p>
        </w:tc>
      </w:tr>
      <w:tr>
        <w:tc>
          <w:tcPr>
            <w:tcW w:type="dxa" w:w="1296"/>
            <w:tcMar>
              <w:top w:w="90" w:type="dxa"/>
              <w:start w:w="90" w:type="dxa"/>
              <w:bottom w:w="90" w:type="dxa"/>
              <w:end w:w="90" w:type="dxa"/>
            </w:tcMar>
            <w:vAlign w:val="top"/>
          </w:tcPr>
          <w:p>
            <w:pPr>
              <w:spacing w:after="0"/>
            </w:pPr>
            <w:r>
              <w:rPr>
                <w:rFonts w:ascii="Aptos" w:hAnsi="Aptos"/>
                <w:sz w:val="16"/>
              </w:rPr>
              <w:t>WP 12</w:t>
            </w:r>
          </w:p>
        </w:tc>
        <w:tc>
          <w:tcPr>
            <w:tcW w:type="dxa" w:w="9360"/>
            <w:tcMar>
              <w:top w:w="90" w:type="dxa"/>
              <w:start w:w="90" w:type="dxa"/>
              <w:bottom w:w="90" w:type="dxa"/>
              <w:end w:w="90" w:type="dxa"/>
            </w:tcMar>
            <w:vAlign w:val="top"/>
          </w:tcPr>
          <w:p>
            <w:pPr>
              <w:spacing w:after="0"/>
            </w:pPr>
            <w:r>
              <w:rPr>
                <w:rFonts w:ascii="Aptos" w:hAnsi="Aptos"/>
                <w:sz w:val="16"/>
              </w:rPr>
              <w:t>Electrolysis, gas handling, and oxygen extraction</w:t>
            </w:r>
          </w:p>
        </w:tc>
      </w:tr>
      <w:tr>
        <w:tc>
          <w:tcPr>
            <w:tcW w:type="dxa" w:w="1296"/>
            <w:tcMar>
              <w:top w:w="90" w:type="dxa"/>
              <w:start w:w="90" w:type="dxa"/>
              <w:bottom w:w="90" w:type="dxa"/>
              <w:end w:w="90" w:type="dxa"/>
            </w:tcMar>
            <w:vAlign w:val="top"/>
          </w:tcPr>
          <w:p>
            <w:pPr>
              <w:spacing w:after="0"/>
            </w:pPr>
            <w:r>
              <w:rPr>
                <w:rFonts w:ascii="Aptos" w:hAnsi="Aptos"/>
                <w:sz w:val="16"/>
              </w:rPr>
              <w:t>WP 13</w:t>
            </w:r>
          </w:p>
        </w:tc>
        <w:tc>
          <w:tcPr>
            <w:tcW w:type="dxa" w:w="9360"/>
            <w:tcMar>
              <w:top w:w="90" w:type="dxa"/>
              <w:start w:w="90" w:type="dxa"/>
              <w:bottom w:w="90" w:type="dxa"/>
              <w:end w:w="90" w:type="dxa"/>
            </w:tcMar>
            <w:vAlign w:val="top"/>
          </w:tcPr>
          <w:p>
            <w:pPr>
              <w:spacing w:after="0"/>
            </w:pPr>
            <w:r>
              <w:rPr>
                <w:rFonts w:ascii="Aptos" w:hAnsi="Aptos"/>
                <w:sz w:val="16"/>
              </w:rPr>
              <w:t>Cryogenic liquefaction, tank farm, and export loading</w:t>
            </w:r>
          </w:p>
        </w:tc>
      </w:tr>
      <w:tr>
        <w:tc>
          <w:tcPr>
            <w:tcW w:type="dxa" w:w="1296"/>
            <w:tcMar>
              <w:top w:w="90" w:type="dxa"/>
              <w:start w:w="90" w:type="dxa"/>
              <w:bottom w:w="90" w:type="dxa"/>
              <w:end w:w="90" w:type="dxa"/>
            </w:tcMar>
            <w:vAlign w:val="top"/>
          </w:tcPr>
          <w:p>
            <w:pPr>
              <w:spacing w:after="0"/>
            </w:pPr>
            <w:r>
              <w:rPr>
                <w:rFonts w:ascii="Aptos" w:hAnsi="Aptos"/>
                <w:sz w:val="16"/>
              </w:rPr>
              <w:t>WP 14</w:t>
            </w:r>
          </w:p>
        </w:tc>
        <w:tc>
          <w:tcPr>
            <w:tcW w:type="dxa" w:w="9360"/>
            <w:tcMar>
              <w:top w:w="90" w:type="dxa"/>
              <w:start w:w="90" w:type="dxa"/>
              <w:bottom w:w="90" w:type="dxa"/>
              <w:end w:w="90" w:type="dxa"/>
            </w:tcMar>
            <w:vAlign w:val="top"/>
          </w:tcPr>
          <w:p>
            <w:pPr>
              <w:spacing w:after="0"/>
            </w:pPr>
            <w:r>
              <w:rPr>
                <w:rFonts w:ascii="Aptos" w:hAnsi="Aptos"/>
                <w:sz w:val="16"/>
              </w:rPr>
              <w:t>Logistics yards, warehouses, and heavy maintenance</w:t>
            </w:r>
          </w:p>
        </w:tc>
      </w:tr>
      <w:tr>
        <w:tc>
          <w:tcPr>
            <w:tcW w:type="dxa" w:w="1296"/>
            <w:tcMar>
              <w:top w:w="90" w:type="dxa"/>
              <w:start w:w="90" w:type="dxa"/>
              <w:bottom w:w="90" w:type="dxa"/>
              <w:end w:w="90" w:type="dxa"/>
            </w:tcMar>
            <w:vAlign w:val="top"/>
          </w:tcPr>
          <w:p>
            <w:pPr>
              <w:spacing w:after="0"/>
            </w:pPr>
            <w:r>
              <w:rPr>
                <w:rFonts w:ascii="Aptos" w:hAnsi="Aptos"/>
                <w:sz w:val="16"/>
              </w:rPr>
              <w:t>WP 15</w:t>
            </w:r>
          </w:p>
        </w:tc>
        <w:tc>
          <w:tcPr>
            <w:tcW w:type="dxa" w:w="9360"/>
            <w:tcMar>
              <w:top w:w="90" w:type="dxa"/>
              <w:start w:w="90" w:type="dxa"/>
              <w:bottom w:w="90" w:type="dxa"/>
              <w:end w:w="90" w:type="dxa"/>
            </w:tcMar>
            <w:vAlign w:val="top"/>
          </w:tcPr>
          <w:p>
            <w:pPr>
              <w:spacing w:after="0"/>
            </w:pPr>
            <w:r>
              <w:rPr>
                <w:rFonts w:ascii="Aptos" w:hAnsi="Aptos"/>
                <w:sz w:val="16"/>
              </w:rPr>
              <w:t>Landing district and embarkation zones</w:t>
            </w:r>
          </w:p>
        </w:tc>
      </w:tr>
      <w:tr>
        <w:tc>
          <w:tcPr>
            <w:tcW w:type="dxa" w:w="1296"/>
            <w:tcMar>
              <w:top w:w="90" w:type="dxa"/>
              <w:start w:w="90" w:type="dxa"/>
              <w:bottom w:w="90" w:type="dxa"/>
              <w:end w:w="90" w:type="dxa"/>
            </w:tcMar>
            <w:vAlign w:val="top"/>
          </w:tcPr>
          <w:p>
            <w:pPr>
              <w:spacing w:after="0"/>
            </w:pPr>
            <w:r>
              <w:rPr>
                <w:rFonts w:ascii="Aptos" w:hAnsi="Aptos"/>
                <w:sz w:val="16"/>
              </w:rPr>
              <w:t>WP 16</w:t>
            </w:r>
          </w:p>
        </w:tc>
        <w:tc>
          <w:tcPr>
            <w:tcW w:type="dxa" w:w="9360"/>
            <w:tcMar>
              <w:top w:w="90" w:type="dxa"/>
              <w:start w:w="90" w:type="dxa"/>
              <w:bottom w:w="90" w:type="dxa"/>
              <w:end w:w="90" w:type="dxa"/>
            </w:tcMar>
            <w:vAlign w:val="top"/>
          </w:tcPr>
          <w:p>
            <w:pPr>
              <w:spacing w:after="0"/>
            </w:pPr>
            <w:r>
              <w:rPr>
                <w:rFonts w:ascii="Aptos" w:hAnsi="Aptos"/>
                <w:sz w:val="16"/>
              </w:rPr>
              <w:t>Emergency transport support district</w:t>
            </w:r>
          </w:p>
        </w:tc>
      </w:tr>
      <w:tr>
        <w:tc>
          <w:tcPr>
            <w:tcW w:type="dxa" w:w="1296"/>
            <w:tcMar>
              <w:top w:w="90" w:type="dxa"/>
              <w:start w:w="90" w:type="dxa"/>
              <w:bottom w:w="90" w:type="dxa"/>
              <w:end w:w="90" w:type="dxa"/>
            </w:tcMar>
            <w:vAlign w:val="top"/>
          </w:tcPr>
          <w:p>
            <w:pPr>
              <w:spacing w:after="0"/>
            </w:pPr>
            <w:r>
              <w:rPr>
                <w:rFonts w:ascii="Aptos" w:hAnsi="Aptos"/>
                <w:sz w:val="16"/>
              </w:rPr>
              <w:t>WP 17</w:t>
            </w:r>
          </w:p>
        </w:tc>
        <w:tc>
          <w:tcPr>
            <w:tcW w:type="dxa" w:w="9360"/>
            <w:tcMar>
              <w:top w:w="90" w:type="dxa"/>
              <w:start w:w="90" w:type="dxa"/>
              <w:bottom w:w="90" w:type="dxa"/>
              <w:end w:w="90" w:type="dxa"/>
            </w:tcMar>
            <w:vAlign w:val="top"/>
          </w:tcPr>
          <w:p>
            <w:pPr>
              <w:spacing w:after="0"/>
            </w:pPr>
            <w:r>
              <w:rPr>
                <w:rFonts w:ascii="Aptos" w:hAnsi="Aptos"/>
                <w:sz w:val="16"/>
              </w:rPr>
              <w:t>Food production and bio systems</w:t>
            </w:r>
          </w:p>
        </w:tc>
      </w:tr>
      <w:tr>
        <w:tc>
          <w:tcPr>
            <w:tcW w:type="dxa" w:w="1296"/>
            <w:tcMar>
              <w:top w:w="90" w:type="dxa"/>
              <w:start w:w="90" w:type="dxa"/>
              <w:bottom w:w="90" w:type="dxa"/>
              <w:end w:w="90" w:type="dxa"/>
            </w:tcMar>
            <w:vAlign w:val="top"/>
          </w:tcPr>
          <w:p>
            <w:pPr>
              <w:spacing w:after="0"/>
            </w:pPr>
            <w:r>
              <w:rPr>
                <w:rFonts w:ascii="Aptos" w:hAnsi="Aptos"/>
                <w:sz w:val="16"/>
              </w:rPr>
              <w:t>WP 18</w:t>
            </w:r>
          </w:p>
        </w:tc>
        <w:tc>
          <w:tcPr>
            <w:tcW w:type="dxa" w:w="9360"/>
            <w:tcMar>
              <w:top w:w="90" w:type="dxa"/>
              <w:start w:w="90" w:type="dxa"/>
              <w:bottom w:w="90" w:type="dxa"/>
              <w:end w:w="90" w:type="dxa"/>
            </w:tcMar>
            <w:vAlign w:val="top"/>
          </w:tcPr>
          <w:p>
            <w:pPr>
              <w:spacing w:after="0"/>
            </w:pPr>
            <w:r>
              <w:rPr>
                <w:rFonts w:ascii="Aptos" w:hAnsi="Aptos"/>
                <w:sz w:val="16"/>
              </w:rPr>
              <w:t>Integrated controls, software, and mission operations</w:t>
            </w:r>
          </w:p>
        </w:tc>
      </w:tr>
      <w:tr>
        <w:tc>
          <w:tcPr>
            <w:tcW w:type="dxa" w:w="1296"/>
            <w:tcMar>
              <w:top w:w="90" w:type="dxa"/>
              <w:start w:w="90" w:type="dxa"/>
              <w:bottom w:w="90" w:type="dxa"/>
              <w:end w:w="90" w:type="dxa"/>
            </w:tcMar>
            <w:vAlign w:val="top"/>
          </w:tcPr>
          <w:p>
            <w:pPr>
              <w:spacing w:after="0"/>
            </w:pPr>
            <w:r>
              <w:rPr>
                <w:rFonts w:ascii="Aptos" w:hAnsi="Aptos"/>
                <w:sz w:val="16"/>
              </w:rPr>
              <w:t>WP 19</w:t>
            </w:r>
          </w:p>
        </w:tc>
        <w:tc>
          <w:tcPr>
            <w:tcW w:type="dxa" w:w="9360"/>
            <w:tcMar>
              <w:top w:w="90" w:type="dxa"/>
              <w:start w:w="90" w:type="dxa"/>
              <w:bottom w:w="90" w:type="dxa"/>
              <w:end w:w="90" w:type="dxa"/>
            </w:tcMar>
            <w:vAlign w:val="top"/>
          </w:tcPr>
          <w:p>
            <w:pPr>
              <w:spacing w:after="0"/>
            </w:pPr>
            <w:r>
              <w:rPr>
                <w:rFonts w:ascii="Aptos" w:hAnsi="Aptos"/>
                <w:sz w:val="16"/>
              </w:rPr>
              <w:t>Commissioning, test, certification, and readiness validation</w:t>
            </w:r>
          </w:p>
        </w:tc>
      </w:tr>
      <w:tr>
        <w:tc>
          <w:tcPr>
            <w:tcW w:type="dxa" w:w="5040"/>
            <w:vAlign w:val="top"/>
          </w:tcPr>
          <w:p>
            <w:pPr>
              <w:spacing w:after="0"/>
              <w:jc w:val="left"/>
            </w:pPr>
            <w:r>
              <w:rPr>
                <w:rFonts w:ascii="Aptos" w:hAnsi="Aptos"/>
                <w:sz w:val="16"/>
              </w:rPr>
            </w:r>
            <w:r>
              <w:rPr>
                <w:rFonts w:ascii="Aptos" w:hAnsi="Aptos"/>
                <w:b w:val="0"/>
                <w:sz w:val="16"/>
              </w:rPr>
              <w:t>WP 20</w:t>
            </w:r>
          </w:p>
        </w:tc>
        <w:tc>
          <w:tcPr>
            <w:tcW w:type="dxa" w:w="5040"/>
            <w:vAlign w:val="top"/>
          </w:tcPr>
          <w:p>
            <w:pPr>
              <w:spacing w:after="0"/>
              <w:jc w:val="left"/>
            </w:pPr>
            <w:r>
              <w:rPr>
                <w:rFonts w:ascii="Aptos" w:hAnsi="Aptos"/>
                <w:sz w:val="16"/>
              </w:rPr>
            </w:r>
            <w:r>
              <w:rPr>
                <w:rFonts w:ascii="Aptos" w:hAnsi="Aptos"/>
                <w:b w:val="0"/>
                <w:sz w:val="16"/>
              </w:rPr>
              <w:t>Surface spaceport development, including heavy pads, medium pads, crew and passenger terminal, cargo orbital interface, vehicle turnaround hangars, and launch operations center.</w:t>
            </w:r>
          </w:p>
        </w:tc>
      </w:tr>
      <w:tr>
        <w:tc>
          <w:tcPr>
            <w:tcW w:type="dxa" w:w="5040"/>
            <w:vAlign w:val="top"/>
          </w:tcPr>
          <w:p>
            <w:pPr>
              <w:spacing w:after="0"/>
              <w:jc w:val="left"/>
            </w:pPr>
            <w:r>
              <w:rPr>
                <w:rFonts w:ascii="Aptos" w:hAnsi="Aptos"/>
                <w:sz w:val="16"/>
              </w:rPr>
            </w:r>
            <w:r>
              <w:rPr>
                <w:rFonts w:ascii="Aptos" w:hAnsi="Aptos"/>
                <w:b w:val="0"/>
                <w:sz w:val="16"/>
              </w:rPr>
              <w:t>WP 21</w:t>
            </w:r>
          </w:p>
        </w:tc>
        <w:tc>
          <w:tcPr>
            <w:tcW w:type="dxa" w:w="5040"/>
            <w:vAlign w:val="top"/>
          </w:tcPr>
          <w:p>
            <w:pPr>
              <w:spacing w:after="0"/>
              <w:jc w:val="left"/>
            </w:pPr>
            <w:r>
              <w:rPr>
                <w:rFonts w:ascii="Aptos" w:hAnsi="Aptos"/>
                <w:sz w:val="16"/>
              </w:rPr>
            </w:r>
            <w:r>
              <w:rPr>
                <w:rFonts w:ascii="Aptos" w:hAnsi="Aptos"/>
                <w:b w:val="0"/>
                <w:sz w:val="16"/>
              </w:rPr>
              <w:t>Hyperloop electromagnetic launch rail system, including alignment corridor, pulse power yard, launch loading terminal, sled maintenance, terminal release system, and hazard exclusion controls.</w:t>
            </w:r>
          </w:p>
        </w:tc>
      </w:tr>
      <w:tr>
        <w:tc>
          <w:tcPr>
            <w:tcW w:type="dxa" w:w="5040"/>
            <w:vAlign w:val="top"/>
          </w:tcPr>
          <w:p>
            <w:pPr>
              <w:spacing w:after="0"/>
              <w:jc w:val="left"/>
            </w:pPr>
            <w:r>
              <w:rPr>
                <w:rFonts w:ascii="Aptos" w:hAnsi="Aptos"/>
                <w:sz w:val="16"/>
              </w:rPr>
            </w:r>
            <w:r>
              <w:rPr>
                <w:rFonts w:ascii="Aptos" w:hAnsi="Aptos"/>
                <w:b w:val="0"/>
                <w:sz w:val="16"/>
              </w:rPr>
              <w:t>WP 22</w:t>
            </w:r>
          </w:p>
        </w:tc>
        <w:tc>
          <w:tcPr>
            <w:tcW w:type="dxa" w:w="5040"/>
            <w:vAlign w:val="top"/>
          </w:tcPr>
          <w:p>
            <w:pPr>
              <w:spacing w:after="0"/>
              <w:jc w:val="left"/>
            </w:pPr>
            <w:r>
              <w:rPr>
                <w:rFonts w:ascii="Aptos" w:hAnsi="Aptos"/>
                <w:sz w:val="16"/>
              </w:rPr>
            </w:r>
            <w:r>
              <w:rPr>
                <w:rFonts w:ascii="Aptos" w:hAnsi="Aptos"/>
                <w:b w:val="0"/>
                <w:sz w:val="16"/>
              </w:rPr>
              <w:t>Microwave power reception system, including rectenna field, power conditioning station, safety zone, thermal rejection, and HVDC interconnection.</w:t>
            </w:r>
          </w:p>
        </w:tc>
      </w:tr>
      <w:tr>
        <w:tc>
          <w:tcPr>
            <w:tcW w:type="dxa" w:w="5040"/>
            <w:vAlign w:val="top"/>
          </w:tcPr>
          <w:p>
            <w:pPr>
              <w:spacing w:after="0"/>
              <w:jc w:val="left"/>
            </w:pPr>
            <w:r>
              <w:rPr>
                <w:rFonts w:ascii="Aptos" w:hAnsi="Aptos"/>
                <w:sz w:val="16"/>
              </w:rPr>
            </w:r>
            <w:r>
              <w:rPr>
                <w:rFonts w:ascii="Aptos" w:hAnsi="Aptos"/>
                <w:b w:val="0"/>
                <w:sz w:val="16"/>
              </w:rPr>
              <w:t>WP 23</w:t>
            </w:r>
          </w:p>
        </w:tc>
        <w:tc>
          <w:tcPr>
            <w:tcW w:type="dxa" w:w="5040"/>
            <w:vAlign w:val="top"/>
          </w:tcPr>
          <w:p>
            <w:pPr>
              <w:spacing w:after="0"/>
              <w:jc w:val="left"/>
            </w:pPr>
            <w:r>
              <w:rPr>
                <w:rFonts w:ascii="Aptos" w:hAnsi="Aptos"/>
                <w:sz w:val="16"/>
              </w:rPr>
            </w:r>
            <w:r>
              <w:rPr>
                <w:rFonts w:ascii="Aptos" w:hAnsi="Aptos"/>
                <w:b w:val="0"/>
                <w:sz w:val="16"/>
              </w:rPr>
              <w:t>Surface solar farm and renewable power distribution, including photovoltaic fields, storage, switching, dust mitigation, and HVDC export.</w:t>
            </w:r>
          </w:p>
        </w:tc>
      </w:tr>
      <w:tr>
        <w:tc>
          <w:tcPr>
            <w:tcW w:type="dxa" w:w="5040"/>
            <w:vAlign w:val="top"/>
          </w:tcPr>
          <w:p>
            <w:pPr>
              <w:spacing w:after="0"/>
              <w:jc w:val="left"/>
            </w:pPr>
            <w:r>
              <w:rPr>
                <w:rFonts w:ascii="Aptos" w:hAnsi="Aptos"/>
                <w:sz w:val="16"/>
              </w:rPr>
            </w:r>
            <w:r>
              <w:rPr>
                <w:rFonts w:ascii="Aptos" w:hAnsi="Aptos"/>
                <w:b w:val="0"/>
                <w:sz w:val="16"/>
              </w:rPr>
              <w:t>WP 24</w:t>
            </w:r>
          </w:p>
        </w:tc>
        <w:tc>
          <w:tcPr>
            <w:tcW w:type="dxa" w:w="5040"/>
            <w:vAlign w:val="top"/>
          </w:tcPr>
          <w:p>
            <w:pPr>
              <w:spacing w:after="0"/>
              <w:jc w:val="left"/>
            </w:pPr>
            <w:r>
              <w:rPr>
                <w:rFonts w:ascii="Aptos" w:hAnsi="Aptos"/>
                <w:sz w:val="16"/>
              </w:rPr>
            </w:r>
            <w:r>
              <w:rPr>
                <w:rFonts w:ascii="Aptos" w:hAnsi="Aptos"/>
                <w:b w:val="0"/>
                <w:sz w:val="16"/>
              </w:rPr>
              <w:t>Lunar seismic monitoring and structural geophysics, including local base seismic ring, regional stations, structural health interfaces, and geophysical data center.</w:t>
            </w:r>
          </w:p>
        </w:tc>
      </w:tr>
      <w:tr>
        <w:tc>
          <w:tcPr>
            <w:tcW w:type="dxa" w:w="5040"/>
            <w:vAlign w:val="top"/>
          </w:tcPr>
          <w:p>
            <w:pPr>
              <w:spacing w:after="0"/>
              <w:jc w:val="left"/>
            </w:pPr>
            <w:r>
              <w:rPr>
                <w:rFonts w:ascii="Aptos" w:hAnsi="Aptos"/>
                <w:sz w:val="16"/>
              </w:rPr>
            </w:r>
            <w:r>
              <w:rPr>
                <w:rFonts w:ascii="Aptos" w:hAnsi="Aptos"/>
                <w:b w:val="0"/>
                <w:sz w:val="16"/>
              </w:rPr>
              <w:t>WP 25</w:t>
            </w:r>
          </w:p>
        </w:tc>
        <w:tc>
          <w:tcPr>
            <w:tcW w:type="dxa" w:w="5040"/>
            <w:vAlign w:val="top"/>
          </w:tcPr>
          <w:p>
            <w:pPr>
              <w:spacing w:after="0"/>
              <w:jc w:val="left"/>
            </w:pPr>
            <w:r>
              <w:rPr>
                <w:rFonts w:ascii="Aptos" w:hAnsi="Aptos"/>
                <w:sz w:val="16"/>
              </w:rPr>
            </w:r>
            <w:r>
              <w:rPr>
                <w:rFonts w:ascii="Aptos" w:hAnsi="Aptos"/>
                <w:b w:val="0"/>
                <w:sz w:val="16"/>
              </w:rPr>
              <w:t>Separate mineral processing and materials refining district, including beneficiation, oxide and salt processing, metals recovery, ceramic and glass feedstock, and slag management.</w:t>
            </w:r>
          </w:p>
        </w:tc>
      </w:tr>
    </w:tbl>
    <w:p>
      <w:pPr>
        <w:spacing w:after="120"/>
      </w:pPr>
    </w:p>
    <w:p>
      <w:pPr>
        <w:pStyle w:val="Heading2"/>
        <w:spacing w:before="200" w:after="120"/>
      </w:pPr>
      <w:r>
        <w:rPr>
          <w:rFonts w:ascii="Aptos" w:hAnsi="Aptos"/>
          <w:b/>
          <w:sz w:val="24"/>
        </w:rPr>
        <w:t>11.3 Integrated master schedule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2016"/>
            <w:shd w:fill="D9EAF7"/>
            <w:tcMar>
              <w:top w:w="90" w:type="dxa"/>
              <w:start w:w="90" w:type="dxa"/>
              <w:bottom w:w="90" w:type="dxa"/>
              <w:end w:w="90" w:type="dxa"/>
            </w:tcMar>
            <w:vAlign w:val="top"/>
          </w:tcPr>
          <w:p>
            <w:pPr>
              <w:spacing w:after="0"/>
            </w:pPr>
            <w:r>
              <w:rPr>
                <w:rFonts w:ascii="Aptos" w:hAnsi="Aptos"/>
                <w:b/>
                <w:color w:val="FFFFFF"/>
                <w:sz w:val="16"/>
              </w:rPr>
              <w:t>Program year</w:t>
            </w:r>
          </w:p>
        </w:tc>
        <w:tc>
          <w:tcPr>
            <w:tcW w:type="dxa" w:w="8928"/>
            <w:shd w:fill="D9EAF7"/>
            <w:tcMar>
              <w:top w:w="90" w:type="dxa"/>
              <w:start w:w="90" w:type="dxa"/>
              <w:bottom w:w="90" w:type="dxa"/>
              <w:end w:w="90" w:type="dxa"/>
            </w:tcMar>
            <w:vAlign w:val="top"/>
          </w:tcPr>
          <w:p>
            <w:pPr>
              <w:spacing w:after="0"/>
            </w:pPr>
            <w:r>
              <w:rPr>
                <w:rFonts w:ascii="Aptos" w:hAnsi="Aptos"/>
                <w:b/>
                <w:color w:val="FFFFFF"/>
                <w:sz w:val="16"/>
              </w:rPr>
              <w:t>Primary milestone</w:t>
            </w:r>
          </w:p>
        </w:tc>
      </w:tr>
      <w:tr>
        <w:tc>
          <w:tcPr>
            <w:tcW w:type="dxa" w:w="2016"/>
            <w:tcMar>
              <w:top w:w="90" w:type="dxa"/>
              <w:start w:w="90" w:type="dxa"/>
              <w:bottom w:w="90" w:type="dxa"/>
              <w:end w:w="90" w:type="dxa"/>
            </w:tcMar>
            <w:vAlign w:val="top"/>
          </w:tcPr>
          <w:p>
            <w:pPr>
              <w:spacing w:after="0"/>
            </w:pPr>
            <w:r>
              <w:rPr>
                <w:rFonts w:ascii="Aptos" w:hAnsi="Aptos"/>
                <w:sz w:val="16"/>
              </w:rPr>
              <w:t>0 to 1</w:t>
            </w:r>
          </w:p>
        </w:tc>
        <w:tc>
          <w:tcPr>
            <w:tcW w:type="dxa" w:w="8928"/>
            <w:tcMar>
              <w:top w:w="90" w:type="dxa"/>
              <w:start w:w="90" w:type="dxa"/>
              <w:bottom w:w="90" w:type="dxa"/>
              <w:end w:w="90" w:type="dxa"/>
            </w:tcMar>
            <w:vAlign w:val="top"/>
          </w:tcPr>
          <w:p>
            <w:pPr>
              <w:spacing w:after="0"/>
            </w:pPr>
            <w:r>
              <w:rPr>
                <w:rFonts w:ascii="Aptos" w:hAnsi="Aptos"/>
                <w:sz w:val="16"/>
              </w:rPr>
              <w:t>Authority to proceed, baseline freeze, precursor survey begins.</w:t>
            </w:r>
          </w:p>
        </w:tc>
      </w:tr>
      <w:tr>
        <w:tc>
          <w:tcPr>
            <w:tcW w:type="dxa" w:w="2016"/>
            <w:tcMar>
              <w:top w:w="90" w:type="dxa"/>
              <w:start w:w="90" w:type="dxa"/>
              <w:bottom w:w="90" w:type="dxa"/>
              <w:end w:w="90" w:type="dxa"/>
            </w:tcMar>
            <w:vAlign w:val="top"/>
          </w:tcPr>
          <w:p>
            <w:pPr>
              <w:spacing w:after="0"/>
            </w:pPr>
            <w:r>
              <w:rPr>
                <w:rFonts w:ascii="Aptos" w:hAnsi="Aptos"/>
                <w:sz w:val="16"/>
              </w:rPr>
              <w:t>1 to 2</w:t>
            </w:r>
          </w:p>
        </w:tc>
        <w:tc>
          <w:tcPr>
            <w:tcW w:type="dxa" w:w="8928"/>
            <w:tcMar>
              <w:top w:w="90" w:type="dxa"/>
              <w:start w:w="90" w:type="dxa"/>
              <w:bottom w:w="90" w:type="dxa"/>
              <w:end w:w="90" w:type="dxa"/>
            </w:tcMar>
            <w:vAlign w:val="top"/>
          </w:tcPr>
          <w:p>
            <w:pPr>
              <w:spacing w:after="0"/>
            </w:pPr>
            <w:r>
              <w:rPr>
                <w:rFonts w:ascii="Aptos" w:hAnsi="Aptos"/>
                <w:sz w:val="16"/>
              </w:rPr>
              <w:t>Initial site activation, first heavy pad, construction microgrid.</w:t>
            </w:r>
          </w:p>
        </w:tc>
      </w:tr>
      <w:tr>
        <w:tc>
          <w:tcPr>
            <w:tcW w:type="dxa" w:w="2016"/>
            <w:tcMar>
              <w:top w:w="90" w:type="dxa"/>
              <w:start w:w="90" w:type="dxa"/>
              <w:bottom w:w="90" w:type="dxa"/>
              <w:end w:w="90" w:type="dxa"/>
            </w:tcMar>
            <w:vAlign w:val="top"/>
          </w:tcPr>
          <w:p>
            <w:pPr>
              <w:spacing w:after="0"/>
            </w:pPr>
            <w:r>
              <w:rPr>
                <w:rFonts w:ascii="Aptos" w:hAnsi="Aptos"/>
                <w:sz w:val="16"/>
              </w:rPr>
              <w:t>2 to 3.5</w:t>
            </w:r>
          </w:p>
        </w:tc>
        <w:tc>
          <w:tcPr>
            <w:tcW w:type="dxa" w:w="8928"/>
            <w:tcMar>
              <w:top w:w="90" w:type="dxa"/>
              <w:start w:w="90" w:type="dxa"/>
              <w:bottom w:w="90" w:type="dxa"/>
              <w:end w:w="90" w:type="dxa"/>
            </w:tcMar>
            <w:vAlign w:val="top"/>
          </w:tcPr>
          <w:p>
            <w:pPr>
              <w:spacing w:after="0"/>
            </w:pPr>
            <w:r>
              <w:rPr>
                <w:rFonts w:ascii="Aptos" w:hAnsi="Aptos"/>
                <w:sz w:val="16"/>
              </w:rPr>
              <w:t>Dependable power first package, utility corridors, underground civil begins.</w:t>
            </w:r>
          </w:p>
        </w:tc>
      </w:tr>
      <w:tr>
        <w:tc>
          <w:tcPr>
            <w:tcW w:type="dxa" w:w="2016"/>
            <w:tcMar>
              <w:top w:w="90" w:type="dxa"/>
              <w:start w:w="90" w:type="dxa"/>
              <w:bottom w:w="90" w:type="dxa"/>
              <w:end w:w="90" w:type="dxa"/>
            </w:tcMar>
            <w:vAlign w:val="top"/>
          </w:tcPr>
          <w:p>
            <w:pPr>
              <w:spacing w:after="0"/>
            </w:pPr>
            <w:r>
              <w:rPr>
                <w:rFonts w:ascii="Aptos" w:hAnsi="Aptos"/>
                <w:sz w:val="16"/>
              </w:rPr>
              <w:t>3.5 to 5</w:t>
            </w:r>
          </w:p>
        </w:tc>
        <w:tc>
          <w:tcPr>
            <w:tcW w:type="dxa" w:w="8928"/>
            <w:tcMar>
              <w:top w:w="90" w:type="dxa"/>
              <w:start w:w="90" w:type="dxa"/>
              <w:bottom w:w="90" w:type="dxa"/>
              <w:end w:w="90" w:type="dxa"/>
            </w:tcMar>
            <w:vAlign w:val="top"/>
          </w:tcPr>
          <w:p>
            <w:pPr>
              <w:spacing w:after="0"/>
            </w:pPr>
            <w:r>
              <w:rPr>
                <w:rFonts w:ascii="Aptos" w:hAnsi="Aptos"/>
                <w:sz w:val="16"/>
              </w:rPr>
              <w:t>Main underground shells, R1, early life support, command and medical starter.</w:t>
            </w:r>
          </w:p>
        </w:tc>
      </w:tr>
      <w:tr>
        <w:tc>
          <w:tcPr>
            <w:tcW w:type="dxa" w:w="2016"/>
            <w:tcMar>
              <w:top w:w="90" w:type="dxa"/>
              <w:start w:w="90" w:type="dxa"/>
              <w:bottom w:w="90" w:type="dxa"/>
              <w:end w:w="90" w:type="dxa"/>
            </w:tcMar>
            <w:vAlign w:val="top"/>
          </w:tcPr>
          <w:p>
            <w:pPr>
              <w:spacing w:after="0"/>
            </w:pPr>
            <w:r>
              <w:rPr>
                <w:rFonts w:ascii="Aptos" w:hAnsi="Aptos"/>
                <w:sz w:val="16"/>
              </w:rPr>
              <w:t>5 to 6.5</w:t>
            </w:r>
          </w:p>
        </w:tc>
        <w:tc>
          <w:tcPr>
            <w:tcW w:type="dxa" w:w="8928"/>
            <w:tcMar>
              <w:top w:w="90" w:type="dxa"/>
              <w:start w:w="90" w:type="dxa"/>
              <w:bottom w:w="90" w:type="dxa"/>
              <w:end w:w="90" w:type="dxa"/>
            </w:tcMar>
            <w:vAlign w:val="top"/>
          </w:tcPr>
          <w:p>
            <w:pPr>
              <w:spacing w:after="0"/>
            </w:pPr>
            <w:r>
              <w:rPr>
                <w:rFonts w:ascii="Aptos" w:hAnsi="Aptos"/>
                <w:sz w:val="16"/>
              </w:rPr>
              <w:t>Population grows toward 250 then 500 if gates close. Industrial water and oxygen plant begins.</w:t>
            </w:r>
          </w:p>
        </w:tc>
      </w:tr>
      <w:tr>
        <w:tc>
          <w:tcPr>
            <w:tcW w:type="dxa" w:w="2016"/>
            <w:tcMar>
              <w:top w:w="90" w:type="dxa"/>
              <w:start w:w="90" w:type="dxa"/>
              <w:bottom w:w="90" w:type="dxa"/>
              <w:end w:w="90" w:type="dxa"/>
            </w:tcMar>
            <w:vAlign w:val="top"/>
          </w:tcPr>
          <w:p>
            <w:pPr>
              <w:spacing w:after="0"/>
            </w:pPr>
            <w:r>
              <w:rPr>
                <w:rFonts w:ascii="Aptos" w:hAnsi="Aptos"/>
                <w:sz w:val="16"/>
              </w:rPr>
              <w:t>6.5 to 8</w:t>
            </w:r>
          </w:p>
        </w:tc>
        <w:tc>
          <w:tcPr>
            <w:tcW w:type="dxa" w:w="8928"/>
            <w:tcMar>
              <w:top w:w="90" w:type="dxa"/>
              <w:start w:w="90" w:type="dxa"/>
              <w:bottom w:w="90" w:type="dxa"/>
              <w:end w:w="90" w:type="dxa"/>
            </w:tcMar>
            <w:vAlign w:val="top"/>
          </w:tcPr>
          <w:p>
            <w:pPr>
              <w:spacing w:after="0"/>
            </w:pPr>
            <w:r>
              <w:rPr>
                <w:rFonts w:ascii="Aptos" w:hAnsi="Aptos"/>
                <w:sz w:val="16"/>
              </w:rPr>
              <w:t>Water, oxygen, electrolysis, cryogenic, and evacuation infrastructure mature.</w:t>
            </w:r>
          </w:p>
        </w:tc>
      </w:tr>
      <w:tr>
        <w:tc>
          <w:tcPr>
            <w:tcW w:type="dxa" w:w="2016"/>
            <w:tcMar>
              <w:top w:w="90" w:type="dxa"/>
              <w:start w:w="90" w:type="dxa"/>
              <w:bottom w:w="90" w:type="dxa"/>
              <w:end w:w="90" w:type="dxa"/>
            </w:tcMar>
            <w:vAlign w:val="top"/>
          </w:tcPr>
          <w:p>
            <w:pPr>
              <w:spacing w:after="0"/>
            </w:pPr>
            <w:r>
              <w:rPr>
                <w:rFonts w:ascii="Aptos" w:hAnsi="Aptos"/>
                <w:sz w:val="16"/>
              </w:rPr>
              <w:t>8 to 9</w:t>
            </w:r>
          </w:p>
        </w:tc>
        <w:tc>
          <w:tcPr>
            <w:tcW w:type="dxa" w:w="8928"/>
            <w:tcMar>
              <w:top w:w="90" w:type="dxa"/>
              <w:start w:w="90" w:type="dxa"/>
              <w:bottom w:w="90" w:type="dxa"/>
              <w:end w:w="90" w:type="dxa"/>
            </w:tcMar>
            <w:vAlign w:val="top"/>
          </w:tcPr>
          <w:p>
            <w:pPr>
              <w:spacing w:after="0"/>
            </w:pPr>
            <w:r>
              <w:rPr>
                <w:rFonts w:ascii="Aptos" w:hAnsi="Aptos"/>
                <w:sz w:val="16"/>
              </w:rPr>
              <w:t>R1 through R4, both embarkation zones, full utility redundancy, 1000 occupancy review.</w:t>
            </w:r>
          </w:p>
        </w:tc>
      </w:tr>
      <w:tr>
        <w:tc>
          <w:tcPr>
            <w:tcW w:type="dxa" w:w="2016"/>
            <w:tcMar>
              <w:top w:w="90" w:type="dxa"/>
              <w:start w:w="90" w:type="dxa"/>
              <w:bottom w:w="90" w:type="dxa"/>
              <w:end w:w="90" w:type="dxa"/>
            </w:tcMar>
            <w:vAlign w:val="top"/>
          </w:tcPr>
          <w:p>
            <w:pPr>
              <w:spacing w:after="0"/>
            </w:pPr>
            <w:r>
              <w:rPr>
                <w:rFonts w:ascii="Aptos" w:hAnsi="Aptos"/>
                <w:sz w:val="16"/>
              </w:rPr>
              <w:t>9 to 10</w:t>
            </w:r>
          </w:p>
        </w:tc>
        <w:tc>
          <w:tcPr>
            <w:tcW w:type="dxa" w:w="8928"/>
            <w:tcMar>
              <w:top w:w="90" w:type="dxa"/>
              <w:start w:w="90" w:type="dxa"/>
              <w:bottom w:w="90" w:type="dxa"/>
              <w:end w:w="90" w:type="dxa"/>
            </w:tcMar>
            <w:vAlign w:val="top"/>
          </w:tcPr>
          <w:p>
            <w:pPr>
              <w:spacing w:after="0"/>
            </w:pPr>
            <w:r>
              <w:rPr>
                <w:rFonts w:ascii="Aptos" w:hAnsi="Aptos"/>
                <w:sz w:val="16"/>
              </w:rPr>
              <w:t>Food systems, maintenance maturity, controls integration, refuge endurance, 72 hour evacuation certification.</w:t>
            </w:r>
          </w:p>
        </w:tc>
      </w:tr>
      <w:tr>
        <w:tc>
          <w:tcPr>
            <w:tcW w:type="dxa" w:w="5040"/>
            <w:vAlign w:val="top"/>
          </w:tcPr>
          <w:p>
            <w:pPr>
              <w:spacing w:after="0"/>
              <w:jc w:val="left"/>
            </w:pPr>
            <w:r>
              <w:rPr>
                <w:rFonts w:ascii="Aptos" w:hAnsi="Aptos"/>
                <w:sz w:val="16"/>
              </w:rPr>
            </w:r>
            <w:r>
              <w:rPr>
                <w:rFonts w:ascii="Aptos" w:hAnsi="Aptos"/>
                <w:b w:val="0"/>
                <w:sz w:val="16"/>
              </w:rPr>
              <w:t>10 to 11</w:t>
            </w:r>
          </w:p>
        </w:tc>
        <w:tc>
          <w:tcPr>
            <w:tcW w:type="dxa" w:w="5040"/>
            <w:vAlign w:val="top"/>
          </w:tcPr>
          <w:p>
            <w:pPr>
              <w:spacing w:after="0"/>
              <w:jc w:val="left"/>
            </w:pPr>
            <w:r>
              <w:rPr>
                <w:rFonts w:ascii="Aptos" w:hAnsi="Aptos"/>
                <w:sz w:val="16"/>
              </w:rPr>
            </w:r>
            <w:r>
              <w:rPr>
                <w:rFonts w:ascii="Aptos" w:hAnsi="Aptos"/>
                <w:b w:val="0"/>
                <w:sz w:val="16"/>
              </w:rPr>
              <w:t>Rev 2.7 surface expansion integration, including full spaceport maturity, mineral processing growth, solar expansion, microwave receiver pilot or operational array, and seismic network completion.</w:t>
            </w:r>
          </w:p>
        </w:tc>
      </w:tr>
      <w:tr>
        <w:tc>
          <w:tcPr>
            <w:tcW w:type="dxa" w:w="5040"/>
            <w:vAlign w:val="top"/>
          </w:tcPr>
          <w:p>
            <w:pPr>
              <w:spacing w:after="0"/>
              <w:jc w:val="left"/>
            </w:pPr>
            <w:r>
              <w:rPr>
                <w:rFonts w:ascii="Aptos" w:hAnsi="Aptos"/>
                <w:sz w:val="16"/>
              </w:rPr>
            </w:r>
            <w:r>
              <w:rPr>
                <w:rFonts w:ascii="Aptos" w:hAnsi="Aptos"/>
                <w:b w:val="0"/>
                <w:sz w:val="16"/>
              </w:rPr>
              <w:t>11 to 12 plus</w:t>
            </w:r>
          </w:p>
        </w:tc>
        <w:tc>
          <w:tcPr>
            <w:tcW w:type="dxa" w:w="5040"/>
            <w:vAlign w:val="top"/>
          </w:tcPr>
          <w:p>
            <w:pPr>
              <w:spacing w:after="0"/>
              <w:jc w:val="left"/>
            </w:pPr>
            <w:r>
              <w:rPr>
                <w:rFonts w:ascii="Aptos" w:hAnsi="Aptos"/>
                <w:sz w:val="16"/>
              </w:rPr>
            </w:r>
            <w:r>
              <w:rPr>
                <w:rFonts w:ascii="Aptos" w:hAnsi="Aptos"/>
                <w:b w:val="0"/>
                <w:sz w:val="16"/>
              </w:rPr>
              <w:t>Hyperloop EM cargo launch rail operational maturity, treated as Phase 1B or Phase 2 industrial expansion and not required for 1000 person life safety certification.</w:t>
            </w:r>
          </w:p>
        </w:tc>
      </w:tr>
    </w:tbl>
    <w:p>
      <w:pPr>
        <w:spacing w:after="120"/>
      </w:pPr>
    </w:p>
    <w:p>
      <w:pPr>
        <w:pStyle w:val="Heading2"/>
        <w:spacing w:before="200" w:after="120"/>
      </w:pPr>
      <w:r>
        <w:rPr>
          <w:rFonts w:ascii="Aptos" w:hAnsi="Aptos"/>
          <w:b/>
          <w:sz w:val="24"/>
        </w:rPr>
        <w:t>11.4 Critical path</w:t>
      </w:r>
    </w:p>
    <w:p>
      <w:pPr>
        <w:pStyle w:val="ListBullet"/>
      </w:pPr>
      <w:r>
        <w:rPr>
          <w:rFonts w:ascii="Aptos" w:hAnsi="Aptos"/>
        </w:rPr>
        <w:t>Site master plan freeze.</w:t>
      </w:r>
    </w:p>
    <w:p>
      <w:pPr>
        <w:pStyle w:val="ListBullet"/>
      </w:pPr>
      <w:r>
        <w:rPr>
          <w:rFonts w:ascii="Aptos" w:hAnsi="Aptos"/>
        </w:rPr>
        <w:t>First dependable power.</w:t>
      </w:r>
    </w:p>
    <w:p>
      <w:pPr>
        <w:pStyle w:val="ListBullet"/>
      </w:pPr>
      <w:r>
        <w:rPr>
          <w:rFonts w:ascii="Aptos" w:hAnsi="Aptos"/>
        </w:rPr>
        <w:t>Dual utility corridors.</w:t>
      </w:r>
    </w:p>
    <w:p>
      <w:pPr>
        <w:pStyle w:val="ListBullet"/>
      </w:pPr>
      <w:r>
        <w:rPr>
          <w:rFonts w:ascii="Aptos" w:hAnsi="Aptos"/>
        </w:rPr>
        <w:t>Main shafts, galleries, and first pressure shell.</w:t>
      </w:r>
    </w:p>
    <w:p>
      <w:pPr>
        <w:pStyle w:val="ListBullet"/>
      </w:pPr>
      <w:r>
        <w:rPr>
          <w:rFonts w:ascii="Aptos" w:hAnsi="Aptos"/>
        </w:rPr>
        <w:t>R1 refuge, then R2, R3, and R4.</w:t>
      </w:r>
    </w:p>
    <w:p>
      <w:pPr>
        <w:pStyle w:val="ListBullet"/>
      </w:pPr>
      <w:r>
        <w:rPr>
          <w:rFonts w:ascii="Aptos" w:hAnsi="Aptos"/>
        </w:rPr>
        <w:t>Life support, water recycle, medical, and command activation.</w:t>
      </w:r>
    </w:p>
    <w:p>
      <w:pPr>
        <w:pStyle w:val="ListBullet"/>
      </w:pPr>
      <w:r>
        <w:rPr>
          <w:rFonts w:ascii="Aptos" w:hAnsi="Aptos"/>
        </w:rPr>
        <w:t>Water extraction, purification, electrolysis, gas handling.</w:t>
      </w:r>
    </w:p>
    <w:p>
      <w:pPr>
        <w:pStyle w:val="ListBullet"/>
      </w:pPr>
      <w:r>
        <w:rPr>
          <w:rFonts w:ascii="Aptos" w:hAnsi="Aptos"/>
        </w:rPr>
        <w:t>Both embarkation zones and evacuation certification.</w:t>
      </w:r>
    </w:p>
    <w:p>
      <w:pPr>
        <w:spacing w:after="120"/>
      </w:pPr>
      <w:r>
        <w:rPr>
          <w:rFonts w:ascii="Aptos" w:hAnsi="Aptos"/>
        </w:rPr>
        <w:br w:type="page"/>
      </w:r>
    </w:p>
    <w:p>
      <w:pPr>
        <w:pStyle w:val="Heading1"/>
        <w:spacing w:before="200" w:after="120"/>
      </w:pPr>
      <w:r>
        <w:rPr>
          <w:rFonts w:ascii="Aptos" w:hAnsi="Aptos"/>
          <w:b/>
          <w:sz w:val="28"/>
        </w:rPr>
        <w:t>12. Costed Program Baseline and Revenue Monetization Baseline</w:t>
      </w:r>
    </w:p>
    <w:p>
      <w:pPr>
        <w:pStyle w:val="Heading2"/>
        <w:spacing w:before="200" w:after="120"/>
      </w:pPr>
      <w:r>
        <w:rPr>
          <w:rFonts w:ascii="Aptos" w:hAnsi="Aptos"/>
          <w:b/>
          <w:sz w:val="24"/>
        </w:rPr>
        <w:t>12.1 Capital baseline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600"/>
            <w:shd w:fill="D9EAF7"/>
            <w:tcMar>
              <w:top w:w="90" w:type="dxa"/>
              <w:start w:w="90" w:type="dxa"/>
              <w:bottom w:w="90" w:type="dxa"/>
              <w:end w:w="90" w:type="dxa"/>
            </w:tcMar>
            <w:vAlign w:val="top"/>
          </w:tcPr>
          <w:p>
            <w:pPr>
              <w:spacing w:after="0"/>
            </w:pPr>
            <w:r>
              <w:rPr>
                <w:rFonts w:ascii="Aptos" w:hAnsi="Aptos"/>
                <w:b/>
                <w:color w:val="FFFFFF"/>
                <w:sz w:val="16"/>
              </w:rPr>
              <w:t>Case</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Capital baseline</w:t>
            </w:r>
          </w:p>
        </w:tc>
      </w:tr>
      <w:tr>
        <w:tc>
          <w:tcPr>
            <w:tcW w:type="dxa" w:w="3600"/>
            <w:tcMar>
              <w:top w:w="90" w:type="dxa"/>
              <w:start w:w="90" w:type="dxa"/>
              <w:bottom w:w="90" w:type="dxa"/>
              <w:end w:w="90" w:type="dxa"/>
            </w:tcMar>
            <w:vAlign w:val="top"/>
          </w:tcPr>
          <w:p>
            <w:pPr>
              <w:spacing w:after="0"/>
            </w:pPr>
            <w:r>
              <w:rPr>
                <w:rFonts w:ascii="Aptos" w:hAnsi="Aptos"/>
                <w:sz w:val="16"/>
              </w:rPr>
              <w:t>Low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126.6 billion USD, including 31.6 billion USD Rev 2.7 added systems.</w:t>
            </w:r>
          </w:p>
        </w:tc>
      </w:tr>
      <w:tr>
        <w:tc>
          <w:tcPr>
            <w:tcW w:type="dxa" w:w="3600"/>
            <w:tcMar>
              <w:top w:w="90" w:type="dxa"/>
              <w:start w:w="90" w:type="dxa"/>
              <w:bottom w:w="90" w:type="dxa"/>
              <w:end w:w="90" w:type="dxa"/>
            </w:tcMar>
            <w:vAlign w:val="top"/>
          </w:tcPr>
          <w:p>
            <w:pPr>
              <w:spacing w:after="0"/>
            </w:pPr>
            <w:r>
              <w:rPr>
                <w:rFonts w:ascii="Aptos" w:hAnsi="Aptos"/>
                <w:sz w:val="16"/>
              </w:rPr>
              <w:t>Mid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176.35 billion USD, including 47.05 billion USD Rev 2.7 added systems.</w:t>
            </w:r>
          </w:p>
        </w:tc>
      </w:tr>
      <w:tr>
        <w:tc>
          <w:tcPr>
            <w:tcW w:type="dxa" w:w="3600"/>
            <w:tcMar>
              <w:top w:w="90" w:type="dxa"/>
              <w:start w:w="90" w:type="dxa"/>
              <w:bottom w:w="90" w:type="dxa"/>
              <w:end w:w="90" w:type="dxa"/>
            </w:tcMar>
            <w:vAlign w:val="top"/>
          </w:tcPr>
          <w:p>
            <w:pPr>
              <w:spacing w:after="0"/>
            </w:pPr>
            <w:r>
              <w:rPr>
                <w:rFonts w:ascii="Aptos" w:hAnsi="Aptos"/>
                <w:sz w:val="16"/>
              </w:rPr>
              <w:t>High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249.4 billion USD, including 67.4 billion USD Rev 2.7 added systems.</w:t>
            </w:r>
          </w:p>
        </w:tc>
      </w:tr>
    </w:tbl>
    <w:p>
      <w:pPr>
        <w:spacing w:after="120"/>
      </w:pPr>
    </w:p>
    <w:p>
      <w:pPr>
        <w:spacing w:after="120"/>
      </w:pPr>
      <w:r>
        <w:rPr>
          <w:rFonts w:ascii="Aptos" w:hAnsi="Aptos"/>
          <w:sz w:val="21"/>
        </w:rPr>
        <w:t>The mid case is the recommended board planning baseline. It includes local regolith civil substitution, partner or government furnished infrastructure credits, and modular learning curve offsets.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6048"/>
            <w:shd w:fill="D9EAF7"/>
            <w:tcMar>
              <w:top w:w="90" w:type="dxa"/>
              <w:start w:w="90" w:type="dxa"/>
              <w:bottom w:w="90" w:type="dxa"/>
              <w:end w:w="90" w:type="dxa"/>
            </w:tcMar>
            <w:vAlign w:val="top"/>
          </w:tcPr>
          <w:p>
            <w:pPr>
              <w:spacing w:after="0"/>
            </w:pPr>
            <w:r>
              <w:rPr>
                <w:rFonts w:ascii="Aptos" w:hAnsi="Aptos"/>
                <w:b/>
                <w:color w:val="FFFFFF"/>
                <w:sz w:val="16"/>
              </w:rPr>
              <w:t>Cost driver</w:t>
            </w:r>
          </w:p>
        </w:tc>
        <w:tc>
          <w:tcPr>
            <w:tcW w:type="dxa" w:w="3744"/>
            <w:shd w:fill="D9EAF7"/>
            <w:tcMar>
              <w:top w:w="90" w:type="dxa"/>
              <w:start w:w="90" w:type="dxa"/>
              <w:bottom w:w="90" w:type="dxa"/>
              <w:end w:w="90" w:type="dxa"/>
            </w:tcMar>
            <w:vAlign w:val="top"/>
          </w:tcPr>
          <w:p>
            <w:pPr>
              <w:spacing w:after="0"/>
            </w:pPr>
            <w:r>
              <w:rPr>
                <w:rFonts w:ascii="Aptos" w:hAnsi="Aptos"/>
                <w:b/>
                <w:color w:val="FFFFFF"/>
                <w:sz w:val="16"/>
              </w:rPr>
              <w:t>Mid case value</w:t>
            </w:r>
          </w:p>
        </w:tc>
      </w:tr>
      <w:tr>
        <w:tc>
          <w:tcPr>
            <w:tcW w:type="dxa" w:w="6048"/>
            <w:tcMar>
              <w:top w:w="90" w:type="dxa"/>
              <w:start w:w="90" w:type="dxa"/>
              <w:bottom w:w="90" w:type="dxa"/>
              <w:end w:w="90" w:type="dxa"/>
            </w:tcMar>
            <w:vAlign w:val="top"/>
          </w:tcPr>
          <w:p>
            <w:pPr>
              <w:spacing w:after="0"/>
            </w:pPr>
            <w:r>
              <w:rPr>
                <w:rFonts w:ascii="Aptos" w:hAnsi="Aptos"/>
                <w:sz w:val="16"/>
              </w:rPr>
              <w:t>Power island and thermal rejection</w:t>
            </w:r>
          </w:p>
        </w:tc>
        <w:tc>
          <w:tcPr>
            <w:tcW w:type="dxa" w:w="3744"/>
            <w:tcMar>
              <w:top w:w="90" w:type="dxa"/>
              <w:start w:w="90" w:type="dxa"/>
              <w:bottom w:w="90" w:type="dxa"/>
              <w:end w:w="90" w:type="dxa"/>
            </w:tcMar>
            <w:vAlign w:val="top"/>
          </w:tcPr>
          <w:p>
            <w:pPr>
              <w:spacing w:after="0"/>
            </w:pPr>
            <w:r>
              <w:rPr>
                <w:rFonts w:ascii="Aptos" w:hAnsi="Aptos"/>
                <w:sz w:val="16"/>
              </w:rPr>
              <w:t>26.0 billion USD</w:t>
            </w:r>
          </w:p>
        </w:tc>
      </w:tr>
      <w:tr>
        <w:tc>
          <w:tcPr>
            <w:tcW w:type="dxa" w:w="6048"/>
            <w:tcMar>
              <w:top w:w="90" w:type="dxa"/>
              <w:start w:w="90" w:type="dxa"/>
              <w:bottom w:w="90" w:type="dxa"/>
              <w:end w:w="90" w:type="dxa"/>
            </w:tcMar>
            <w:vAlign w:val="top"/>
          </w:tcPr>
          <w:p>
            <w:pPr>
              <w:spacing w:after="0"/>
            </w:pPr>
            <w:r>
              <w:rPr>
                <w:rFonts w:ascii="Aptos" w:hAnsi="Aptos"/>
                <w:sz w:val="16"/>
              </w:rPr>
              <w:t>Underground shafts, galleries, and structural shells</w:t>
            </w:r>
          </w:p>
        </w:tc>
        <w:tc>
          <w:tcPr>
            <w:tcW w:type="dxa" w:w="3744"/>
            <w:tcMar>
              <w:top w:w="90" w:type="dxa"/>
              <w:start w:w="90" w:type="dxa"/>
              <w:bottom w:w="90" w:type="dxa"/>
              <w:end w:w="90" w:type="dxa"/>
            </w:tcMar>
            <w:vAlign w:val="top"/>
          </w:tcPr>
          <w:p>
            <w:pPr>
              <w:spacing w:after="0"/>
            </w:pPr>
            <w:r>
              <w:rPr>
                <w:rFonts w:ascii="Aptos" w:hAnsi="Aptos"/>
                <w:sz w:val="16"/>
              </w:rPr>
              <w:t>18.5 billion USD</w:t>
            </w:r>
          </w:p>
        </w:tc>
      </w:tr>
      <w:tr>
        <w:tc>
          <w:tcPr>
            <w:tcW w:type="dxa" w:w="6048"/>
            <w:tcMar>
              <w:top w:w="90" w:type="dxa"/>
              <w:start w:w="90" w:type="dxa"/>
              <w:bottom w:w="90" w:type="dxa"/>
              <w:end w:w="90" w:type="dxa"/>
            </w:tcMar>
            <w:vAlign w:val="top"/>
          </w:tcPr>
          <w:p>
            <w:pPr>
              <w:spacing w:after="0"/>
            </w:pPr>
            <w:r>
              <w:rPr>
                <w:rFonts w:ascii="Aptos" w:hAnsi="Aptos"/>
                <w:sz w:val="16"/>
              </w:rPr>
              <w:t>Habitat fitout and life support</w:t>
            </w:r>
          </w:p>
        </w:tc>
        <w:tc>
          <w:tcPr>
            <w:tcW w:type="dxa" w:w="3744"/>
            <w:tcMar>
              <w:top w:w="90" w:type="dxa"/>
              <w:start w:w="90" w:type="dxa"/>
              <w:bottom w:w="90" w:type="dxa"/>
              <w:end w:w="90" w:type="dxa"/>
            </w:tcMar>
            <w:vAlign w:val="top"/>
          </w:tcPr>
          <w:p>
            <w:pPr>
              <w:spacing w:after="0"/>
            </w:pPr>
            <w:r>
              <w:rPr>
                <w:rFonts w:ascii="Aptos" w:hAnsi="Aptos"/>
                <w:sz w:val="16"/>
              </w:rPr>
              <w:t>11.8 billion USD</w:t>
            </w:r>
          </w:p>
        </w:tc>
      </w:tr>
      <w:tr>
        <w:tc>
          <w:tcPr>
            <w:tcW w:type="dxa" w:w="6048"/>
            <w:tcMar>
              <w:top w:w="90" w:type="dxa"/>
              <w:start w:w="90" w:type="dxa"/>
              <w:bottom w:w="90" w:type="dxa"/>
              <w:end w:w="90" w:type="dxa"/>
            </w:tcMar>
            <w:vAlign w:val="top"/>
          </w:tcPr>
          <w:p>
            <w:pPr>
              <w:spacing w:after="0"/>
            </w:pPr>
            <w:r>
              <w:rPr>
                <w:rFonts w:ascii="Aptos" w:hAnsi="Aptos"/>
                <w:sz w:val="16"/>
              </w:rPr>
              <w:t>Refuge clusters and emergency movement</w:t>
            </w:r>
          </w:p>
        </w:tc>
        <w:tc>
          <w:tcPr>
            <w:tcW w:type="dxa" w:w="3744"/>
            <w:tcMar>
              <w:top w:w="90" w:type="dxa"/>
              <w:start w:w="90" w:type="dxa"/>
              <w:bottom w:w="90" w:type="dxa"/>
              <w:end w:w="90" w:type="dxa"/>
            </w:tcMar>
            <w:vAlign w:val="top"/>
          </w:tcPr>
          <w:p>
            <w:pPr>
              <w:spacing w:after="0"/>
            </w:pPr>
            <w:r>
              <w:rPr>
                <w:rFonts w:ascii="Aptos" w:hAnsi="Aptos"/>
                <w:sz w:val="16"/>
              </w:rPr>
              <w:t>8.9 billion USD</w:t>
            </w:r>
          </w:p>
        </w:tc>
      </w:tr>
      <w:tr>
        <w:tc>
          <w:tcPr>
            <w:tcW w:type="dxa" w:w="6048"/>
            <w:tcMar>
              <w:top w:w="90" w:type="dxa"/>
              <w:start w:w="90" w:type="dxa"/>
              <w:bottom w:w="90" w:type="dxa"/>
              <w:end w:w="90" w:type="dxa"/>
            </w:tcMar>
            <w:vAlign w:val="top"/>
          </w:tcPr>
          <w:p>
            <w:pPr>
              <w:spacing w:after="0"/>
            </w:pPr>
            <w:r>
              <w:rPr>
                <w:rFonts w:ascii="Aptos" w:hAnsi="Aptos"/>
                <w:sz w:val="16"/>
              </w:rPr>
              <w:t>Water and volatile extraction plant</w:t>
            </w:r>
          </w:p>
        </w:tc>
        <w:tc>
          <w:tcPr>
            <w:tcW w:type="dxa" w:w="3744"/>
            <w:tcMar>
              <w:top w:w="90" w:type="dxa"/>
              <w:start w:w="90" w:type="dxa"/>
              <w:bottom w:w="90" w:type="dxa"/>
              <w:end w:w="90" w:type="dxa"/>
            </w:tcMar>
            <w:vAlign w:val="top"/>
          </w:tcPr>
          <w:p>
            <w:pPr>
              <w:spacing w:after="0"/>
            </w:pPr>
            <w:r>
              <w:rPr>
                <w:rFonts w:ascii="Aptos" w:hAnsi="Aptos"/>
                <w:sz w:val="16"/>
              </w:rPr>
              <w:t>7.0 billion USD</w:t>
            </w:r>
          </w:p>
        </w:tc>
      </w:tr>
      <w:tr>
        <w:tc>
          <w:tcPr>
            <w:tcW w:type="dxa" w:w="6048"/>
            <w:tcMar>
              <w:top w:w="90" w:type="dxa"/>
              <w:start w:w="90" w:type="dxa"/>
              <w:bottom w:w="90" w:type="dxa"/>
              <w:end w:w="90" w:type="dxa"/>
            </w:tcMar>
            <w:vAlign w:val="top"/>
          </w:tcPr>
          <w:p>
            <w:pPr>
              <w:spacing w:after="0"/>
            </w:pPr>
            <w:r>
              <w:rPr>
                <w:rFonts w:ascii="Aptos" w:hAnsi="Aptos"/>
                <w:sz w:val="16"/>
              </w:rPr>
              <w:t>Electrolysis, gas handling, and oxygen extraction</w:t>
            </w:r>
          </w:p>
        </w:tc>
        <w:tc>
          <w:tcPr>
            <w:tcW w:type="dxa" w:w="3744"/>
            <w:tcMar>
              <w:top w:w="90" w:type="dxa"/>
              <w:start w:w="90" w:type="dxa"/>
              <w:bottom w:w="90" w:type="dxa"/>
              <w:end w:w="90" w:type="dxa"/>
            </w:tcMar>
            <w:vAlign w:val="top"/>
          </w:tcPr>
          <w:p>
            <w:pPr>
              <w:spacing w:after="0"/>
            </w:pPr>
            <w:r>
              <w:rPr>
                <w:rFonts w:ascii="Aptos" w:hAnsi="Aptos"/>
                <w:sz w:val="16"/>
              </w:rPr>
              <w:t>8.2 billion USD</w:t>
            </w:r>
          </w:p>
        </w:tc>
      </w:tr>
      <w:tr>
        <w:tc>
          <w:tcPr>
            <w:tcW w:type="dxa" w:w="6048"/>
            <w:tcMar>
              <w:top w:w="90" w:type="dxa"/>
              <w:start w:w="90" w:type="dxa"/>
              <w:bottom w:w="90" w:type="dxa"/>
              <w:end w:w="90" w:type="dxa"/>
            </w:tcMar>
            <w:vAlign w:val="top"/>
          </w:tcPr>
          <w:p>
            <w:pPr>
              <w:spacing w:after="0"/>
            </w:pPr>
            <w:r>
              <w:rPr>
                <w:rFonts w:ascii="Aptos" w:hAnsi="Aptos"/>
                <w:sz w:val="16"/>
              </w:rPr>
              <w:t>Cryogenic liquefaction, tank farm, and export loading</w:t>
            </w:r>
          </w:p>
        </w:tc>
        <w:tc>
          <w:tcPr>
            <w:tcW w:type="dxa" w:w="3744"/>
            <w:tcMar>
              <w:top w:w="90" w:type="dxa"/>
              <w:start w:w="90" w:type="dxa"/>
              <w:bottom w:w="90" w:type="dxa"/>
              <w:end w:w="90" w:type="dxa"/>
            </w:tcMar>
            <w:vAlign w:val="top"/>
          </w:tcPr>
          <w:p>
            <w:pPr>
              <w:spacing w:after="0"/>
            </w:pPr>
            <w:r>
              <w:rPr>
                <w:rFonts w:ascii="Aptos" w:hAnsi="Aptos"/>
                <w:sz w:val="16"/>
              </w:rPr>
              <w:t>8.7 billion USD</w:t>
            </w:r>
          </w:p>
        </w:tc>
      </w:tr>
      <w:tr>
        <w:tc>
          <w:tcPr>
            <w:tcW w:type="dxa" w:w="6048"/>
            <w:tcMar>
              <w:top w:w="90" w:type="dxa"/>
              <w:start w:w="90" w:type="dxa"/>
              <w:bottom w:w="90" w:type="dxa"/>
              <w:end w:w="90" w:type="dxa"/>
            </w:tcMar>
            <w:vAlign w:val="top"/>
          </w:tcPr>
          <w:p>
            <w:pPr>
              <w:spacing w:after="0"/>
            </w:pPr>
            <w:r>
              <w:rPr>
                <w:rFonts w:ascii="Aptos" w:hAnsi="Aptos"/>
                <w:sz w:val="16"/>
              </w:rPr>
              <w:t>Landing district and embarkation zones</w:t>
            </w:r>
          </w:p>
        </w:tc>
        <w:tc>
          <w:tcPr>
            <w:tcW w:type="dxa" w:w="3744"/>
            <w:tcMar>
              <w:top w:w="90" w:type="dxa"/>
              <w:start w:w="90" w:type="dxa"/>
              <w:bottom w:w="90" w:type="dxa"/>
              <w:end w:w="90" w:type="dxa"/>
            </w:tcMar>
            <w:vAlign w:val="top"/>
          </w:tcPr>
          <w:p>
            <w:pPr>
              <w:spacing w:after="0"/>
            </w:pPr>
            <w:r>
              <w:rPr>
                <w:rFonts w:ascii="Aptos" w:hAnsi="Aptos"/>
                <w:sz w:val="16"/>
              </w:rPr>
              <w:t>7.8 billion USD</w:t>
            </w:r>
          </w:p>
        </w:tc>
      </w:tr>
      <w:tr>
        <w:tc>
          <w:tcPr>
            <w:tcW w:type="dxa" w:w="6048"/>
            <w:tcMar>
              <w:top w:w="90" w:type="dxa"/>
              <w:start w:w="90" w:type="dxa"/>
              <w:bottom w:w="90" w:type="dxa"/>
              <w:end w:w="90" w:type="dxa"/>
            </w:tcMar>
            <w:vAlign w:val="top"/>
          </w:tcPr>
          <w:p>
            <w:pPr>
              <w:spacing w:after="0"/>
            </w:pPr>
            <w:r>
              <w:rPr>
                <w:rFonts w:ascii="Aptos" w:hAnsi="Aptos"/>
                <w:sz w:val="16"/>
              </w:rPr>
              <w:t>Emergency transport support district</w:t>
            </w:r>
          </w:p>
        </w:tc>
        <w:tc>
          <w:tcPr>
            <w:tcW w:type="dxa" w:w="3744"/>
            <w:tcMar>
              <w:top w:w="90" w:type="dxa"/>
              <w:start w:w="90" w:type="dxa"/>
              <w:bottom w:w="90" w:type="dxa"/>
              <w:end w:w="90" w:type="dxa"/>
            </w:tcMar>
            <w:vAlign w:val="top"/>
          </w:tcPr>
          <w:p>
            <w:pPr>
              <w:spacing w:after="0"/>
            </w:pPr>
            <w:r>
              <w:rPr>
                <w:rFonts w:ascii="Aptos" w:hAnsi="Aptos"/>
                <w:sz w:val="16"/>
              </w:rPr>
              <w:t>3.4 billion USD</w:t>
            </w:r>
          </w:p>
        </w:tc>
      </w:tr>
      <w:tr>
        <w:tc>
          <w:tcPr>
            <w:tcW w:type="dxa" w:w="6048"/>
            <w:tcMar>
              <w:top w:w="90" w:type="dxa"/>
              <w:start w:w="90" w:type="dxa"/>
              <w:bottom w:w="90" w:type="dxa"/>
              <w:end w:w="90" w:type="dxa"/>
            </w:tcMar>
            <w:vAlign w:val="top"/>
          </w:tcPr>
          <w:p>
            <w:pPr>
              <w:spacing w:after="0"/>
            </w:pPr>
            <w:r>
              <w:rPr>
                <w:rFonts w:ascii="Aptos" w:hAnsi="Aptos"/>
                <w:sz w:val="16"/>
              </w:rPr>
              <w:t>Program management, controls, commissioning, and support</w:t>
            </w:r>
          </w:p>
        </w:tc>
        <w:tc>
          <w:tcPr>
            <w:tcW w:type="dxa" w:w="3744"/>
            <w:tcMar>
              <w:top w:w="90" w:type="dxa"/>
              <w:start w:w="90" w:type="dxa"/>
              <w:bottom w:w="90" w:type="dxa"/>
              <w:end w:w="90" w:type="dxa"/>
            </w:tcMar>
            <w:vAlign w:val="top"/>
          </w:tcPr>
          <w:p>
            <w:pPr>
              <w:spacing w:after="0"/>
            </w:pPr>
            <w:r>
              <w:rPr>
                <w:rFonts w:ascii="Aptos" w:hAnsi="Aptos"/>
                <w:sz w:val="16"/>
              </w:rPr>
              <w:t>27.9 billion USD combined</w:t>
            </w:r>
          </w:p>
        </w:tc>
      </w:tr>
      <w:tr>
        <w:tc>
          <w:tcPr>
            <w:tcW w:type="dxa" w:w="5040"/>
            <w:vAlign w:val="top"/>
          </w:tcPr>
          <w:p>
            <w:pPr>
              <w:spacing w:after="0"/>
              <w:jc w:val="left"/>
            </w:pPr>
            <w:r>
              <w:rPr>
                <w:rFonts w:ascii="Aptos" w:hAnsi="Aptos"/>
                <w:sz w:val="16"/>
              </w:rPr>
            </w:r>
            <w:r>
              <w:rPr>
                <w:rFonts w:ascii="Aptos" w:hAnsi="Aptos"/>
                <w:b w:val="0"/>
                <w:sz w:val="16"/>
              </w:rPr>
              <w:t>Surface spaceport</w:t>
            </w:r>
          </w:p>
        </w:tc>
        <w:tc>
          <w:tcPr>
            <w:tcW w:type="dxa" w:w="5040"/>
            <w:vAlign w:val="top"/>
          </w:tcPr>
          <w:p>
            <w:pPr>
              <w:spacing w:after="0"/>
              <w:jc w:val="left"/>
            </w:pPr>
            <w:r>
              <w:rPr>
                <w:rFonts w:ascii="Aptos" w:hAnsi="Aptos"/>
                <w:sz w:val="16"/>
              </w:rPr>
            </w:r>
            <w:r>
              <w:rPr>
                <w:rFonts w:ascii="Aptos" w:hAnsi="Aptos"/>
                <w:b w:val="0"/>
                <w:sz w:val="16"/>
              </w:rPr>
              <w:t>11.5 billion USD added mid case.</w:t>
            </w:r>
          </w:p>
        </w:tc>
      </w:tr>
      <w:tr>
        <w:tc>
          <w:tcPr>
            <w:tcW w:type="dxa" w:w="5040"/>
            <w:vAlign w:val="top"/>
          </w:tcPr>
          <w:p>
            <w:pPr>
              <w:spacing w:after="0"/>
              <w:jc w:val="left"/>
            </w:pPr>
            <w:r>
              <w:rPr>
                <w:rFonts w:ascii="Aptos" w:hAnsi="Aptos"/>
                <w:sz w:val="16"/>
              </w:rPr>
            </w:r>
            <w:r>
              <w:rPr>
                <w:rFonts w:ascii="Aptos" w:hAnsi="Aptos"/>
                <w:b w:val="0"/>
                <w:sz w:val="16"/>
              </w:rPr>
              <w:t>Hyperloop EM launch rail</w:t>
            </w:r>
          </w:p>
        </w:tc>
        <w:tc>
          <w:tcPr>
            <w:tcW w:type="dxa" w:w="5040"/>
            <w:vAlign w:val="top"/>
          </w:tcPr>
          <w:p>
            <w:pPr>
              <w:spacing w:after="0"/>
              <w:jc w:val="left"/>
            </w:pPr>
            <w:r>
              <w:rPr>
                <w:rFonts w:ascii="Aptos" w:hAnsi="Aptos"/>
                <w:sz w:val="16"/>
              </w:rPr>
            </w:r>
            <w:r>
              <w:rPr>
                <w:rFonts w:ascii="Aptos" w:hAnsi="Aptos"/>
                <w:b w:val="0"/>
                <w:sz w:val="16"/>
              </w:rPr>
              <w:t>17.5 billion USD added mid case, treated as Phase 1B or Phase 2 for certification dependency control.</w:t>
            </w:r>
          </w:p>
        </w:tc>
      </w:tr>
      <w:tr>
        <w:tc>
          <w:tcPr>
            <w:tcW w:type="dxa" w:w="5040"/>
            <w:vAlign w:val="top"/>
          </w:tcPr>
          <w:p>
            <w:pPr>
              <w:spacing w:after="0"/>
              <w:jc w:val="left"/>
            </w:pPr>
            <w:r>
              <w:rPr>
                <w:rFonts w:ascii="Aptos" w:hAnsi="Aptos"/>
                <w:sz w:val="16"/>
              </w:rPr>
            </w:r>
            <w:r>
              <w:rPr>
                <w:rFonts w:ascii="Aptos" w:hAnsi="Aptos"/>
                <w:b w:val="0"/>
                <w:sz w:val="16"/>
              </w:rPr>
              <w:t>Microwave power receiver</w:t>
            </w:r>
          </w:p>
        </w:tc>
        <w:tc>
          <w:tcPr>
            <w:tcW w:type="dxa" w:w="5040"/>
            <w:vAlign w:val="top"/>
          </w:tcPr>
          <w:p>
            <w:pPr>
              <w:spacing w:after="0"/>
              <w:jc w:val="left"/>
            </w:pPr>
            <w:r>
              <w:rPr>
                <w:rFonts w:ascii="Aptos" w:hAnsi="Aptos"/>
                <w:sz w:val="16"/>
              </w:rPr>
            </w:r>
            <w:r>
              <w:rPr>
                <w:rFonts w:ascii="Aptos" w:hAnsi="Aptos"/>
                <w:b w:val="0"/>
                <w:sz w:val="16"/>
              </w:rPr>
              <w:t>2.9 billion USD added mid case.</w:t>
            </w:r>
          </w:p>
        </w:tc>
      </w:tr>
      <w:tr>
        <w:tc>
          <w:tcPr>
            <w:tcW w:type="dxa" w:w="5040"/>
            <w:vAlign w:val="top"/>
          </w:tcPr>
          <w:p>
            <w:pPr>
              <w:spacing w:after="0"/>
              <w:jc w:val="left"/>
            </w:pPr>
            <w:r>
              <w:rPr>
                <w:rFonts w:ascii="Aptos" w:hAnsi="Aptos"/>
                <w:sz w:val="16"/>
              </w:rPr>
            </w:r>
            <w:r>
              <w:rPr>
                <w:rFonts w:ascii="Aptos" w:hAnsi="Aptos"/>
                <w:b w:val="0"/>
                <w:sz w:val="16"/>
              </w:rPr>
              <w:t>Surface solar farm</w:t>
            </w:r>
          </w:p>
        </w:tc>
        <w:tc>
          <w:tcPr>
            <w:tcW w:type="dxa" w:w="5040"/>
            <w:vAlign w:val="top"/>
          </w:tcPr>
          <w:p>
            <w:pPr>
              <w:spacing w:after="0"/>
              <w:jc w:val="left"/>
            </w:pPr>
            <w:r>
              <w:rPr>
                <w:rFonts w:ascii="Aptos" w:hAnsi="Aptos"/>
                <w:sz w:val="16"/>
              </w:rPr>
            </w:r>
            <w:r>
              <w:rPr>
                <w:rFonts w:ascii="Aptos" w:hAnsi="Aptos"/>
                <w:b w:val="0"/>
                <w:sz w:val="16"/>
              </w:rPr>
              <w:t>6.2 billion USD added mid case.</w:t>
            </w:r>
          </w:p>
        </w:tc>
      </w:tr>
      <w:tr>
        <w:tc>
          <w:tcPr>
            <w:tcW w:type="dxa" w:w="5040"/>
            <w:vAlign w:val="top"/>
          </w:tcPr>
          <w:p>
            <w:pPr>
              <w:spacing w:after="0"/>
              <w:jc w:val="left"/>
            </w:pPr>
            <w:r>
              <w:rPr>
                <w:rFonts w:ascii="Aptos" w:hAnsi="Aptos"/>
                <w:sz w:val="16"/>
              </w:rPr>
            </w:r>
            <w:r>
              <w:rPr>
                <w:rFonts w:ascii="Aptos" w:hAnsi="Aptos"/>
                <w:b w:val="0"/>
                <w:sz w:val="16"/>
              </w:rPr>
              <w:t>Lunar seismic monitoring</w:t>
            </w:r>
          </w:p>
        </w:tc>
        <w:tc>
          <w:tcPr>
            <w:tcW w:type="dxa" w:w="5040"/>
            <w:vAlign w:val="top"/>
          </w:tcPr>
          <w:p>
            <w:pPr>
              <w:spacing w:after="0"/>
              <w:jc w:val="left"/>
            </w:pPr>
            <w:r>
              <w:rPr>
                <w:rFonts w:ascii="Aptos" w:hAnsi="Aptos"/>
                <w:sz w:val="16"/>
              </w:rPr>
            </w:r>
            <w:r>
              <w:rPr>
                <w:rFonts w:ascii="Aptos" w:hAnsi="Aptos"/>
                <w:b w:val="0"/>
                <w:sz w:val="16"/>
              </w:rPr>
              <w:t>0.55 billion USD added mid case.</w:t>
            </w:r>
          </w:p>
        </w:tc>
      </w:tr>
      <w:tr>
        <w:tc>
          <w:tcPr>
            <w:tcW w:type="dxa" w:w="5040"/>
            <w:vAlign w:val="top"/>
          </w:tcPr>
          <w:p>
            <w:pPr>
              <w:spacing w:after="0"/>
              <w:jc w:val="left"/>
            </w:pPr>
            <w:r>
              <w:rPr>
                <w:rFonts w:ascii="Aptos" w:hAnsi="Aptos"/>
                <w:sz w:val="16"/>
              </w:rPr>
            </w:r>
            <w:r>
              <w:rPr>
                <w:rFonts w:ascii="Aptos" w:hAnsi="Aptos"/>
                <w:b w:val="0"/>
                <w:sz w:val="16"/>
              </w:rPr>
              <w:t>Separate mineral processing facility</w:t>
            </w:r>
          </w:p>
        </w:tc>
        <w:tc>
          <w:tcPr>
            <w:tcW w:type="dxa" w:w="5040"/>
            <w:vAlign w:val="top"/>
          </w:tcPr>
          <w:p>
            <w:pPr>
              <w:spacing w:after="0"/>
              <w:jc w:val="left"/>
            </w:pPr>
            <w:r>
              <w:rPr>
                <w:rFonts w:ascii="Aptos" w:hAnsi="Aptos"/>
                <w:sz w:val="16"/>
              </w:rPr>
            </w:r>
            <w:r>
              <w:rPr>
                <w:rFonts w:ascii="Aptos" w:hAnsi="Aptos"/>
                <w:b w:val="0"/>
                <w:sz w:val="16"/>
              </w:rPr>
              <w:t>8.4 billion USD added mid case.</w:t>
            </w:r>
          </w:p>
        </w:tc>
      </w:tr>
    </w:tbl>
    <w:p>
      <w:pPr>
        <w:spacing w:after="120"/>
      </w:pPr>
    </w:p>
    <w:p>
      <w:pPr>
        <w:pStyle w:val="Heading2"/>
        <w:spacing w:before="200" w:after="120"/>
      </w:pPr>
      <w:r>
        <w:rPr>
          <w:rFonts w:ascii="Aptos" w:hAnsi="Aptos"/>
          <w:b/>
          <w:sz w:val="24"/>
        </w:rPr>
        <w:t>12.2 Annual cash deployment</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1440"/>
            <w:shd w:fill="D9EAF7"/>
            <w:tcMar>
              <w:top w:w="90" w:type="dxa"/>
              <w:start w:w="90" w:type="dxa"/>
              <w:bottom w:w="90" w:type="dxa"/>
              <w:end w:w="90" w:type="dxa"/>
            </w:tcMar>
            <w:vAlign w:val="top"/>
          </w:tcPr>
          <w:p>
            <w:pPr>
              <w:spacing w:after="0"/>
            </w:pPr>
            <w:r>
              <w:rPr>
                <w:rFonts w:ascii="Aptos" w:hAnsi="Aptos"/>
                <w:b/>
                <w:color w:val="FFFFFF"/>
                <w:sz w:val="16"/>
              </w:rPr>
              <w:t>Year</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Mid case capital spend, billion USD</w:t>
            </w:r>
          </w:p>
        </w:tc>
      </w:tr>
      <w:tr>
        <w:tc>
          <w:tcPr>
            <w:tcW w:type="dxa" w:w="1440"/>
            <w:tcMar>
              <w:top w:w="90" w:type="dxa"/>
              <w:start w:w="90" w:type="dxa"/>
              <w:bottom w:w="90" w:type="dxa"/>
              <w:end w:w="90" w:type="dxa"/>
            </w:tcMar>
            <w:vAlign w:val="top"/>
          </w:tcPr>
          <w:p>
            <w:pPr>
              <w:spacing w:after="0"/>
            </w:pPr>
            <w:r>
              <w:rPr>
                <w:rFonts w:ascii="Aptos" w:hAnsi="Aptos"/>
                <w:sz w:val="16"/>
              </w:rPr>
              <w:t>0</w:t>
            </w:r>
          </w:p>
        </w:tc>
        <w:tc>
          <w:tcPr>
            <w:tcW w:type="dxa" w:w="5760"/>
            <w:tcMar>
              <w:top w:w="90" w:type="dxa"/>
              <w:start w:w="90" w:type="dxa"/>
              <w:bottom w:w="90" w:type="dxa"/>
              <w:end w:w="90" w:type="dxa"/>
            </w:tcMar>
            <w:vAlign w:val="top"/>
          </w:tcPr>
          <w:p>
            <w:pPr>
              <w:spacing w:after="0"/>
            </w:pPr>
            <w:r>
              <w:rPr>
                <w:rFonts w:ascii="Aptos" w:hAnsi="Aptos"/>
                <w:sz w:val="16"/>
              </w:rPr>
              <w:t>1.5</w:t>
            </w:r>
          </w:p>
        </w:tc>
      </w:tr>
      <w:tr>
        <w:tc>
          <w:tcPr>
            <w:tcW w:type="dxa" w:w="1440"/>
            <w:tcMar>
              <w:top w:w="90" w:type="dxa"/>
              <w:start w:w="90" w:type="dxa"/>
              <w:bottom w:w="90" w:type="dxa"/>
              <w:end w:w="90" w:type="dxa"/>
            </w:tcMar>
            <w:vAlign w:val="top"/>
          </w:tcPr>
          <w:p>
            <w:pPr>
              <w:spacing w:after="0"/>
            </w:pPr>
            <w:r>
              <w:rPr>
                <w:rFonts w:ascii="Aptos" w:hAnsi="Aptos"/>
                <w:sz w:val="16"/>
              </w:rPr>
              <w:t>1</w:t>
            </w:r>
          </w:p>
        </w:tc>
        <w:tc>
          <w:tcPr>
            <w:tcW w:type="dxa" w:w="5760"/>
            <w:tcMar>
              <w:top w:w="90" w:type="dxa"/>
              <w:start w:w="90" w:type="dxa"/>
              <w:bottom w:w="90" w:type="dxa"/>
              <w:end w:w="90" w:type="dxa"/>
            </w:tcMar>
            <w:vAlign w:val="top"/>
          </w:tcPr>
          <w:p>
            <w:pPr>
              <w:spacing w:after="0"/>
            </w:pPr>
            <w:r>
              <w:rPr>
                <w:rFonts w:ascii="Aptos" w:hAnsi="Aptos"/>
                <w:sz w:val="16"/>
              </w:rPr>
              <w:t>3.2</w:t>
            </w:r>
          </w:p>
        </w:tc>
      </w:tr>
      <w:tr>
        <w:tc>
          <w:tcPr>
            <w:tcW w:type="dxa" w:w="1440"/>
            <w:tcMar>
              <w:top w:w="90" w:type="dxa"/>
              <w:start w:w="90" w:type="dxa"/>
              <w:bottom w:w="90" w:type="dxa"/>
              <w:end w:w="90" w:type="dxa"/>
            </w:tcMar>
            <w:vAlign w:val="top"/>
          </w:tcPr>
          <w:p>
            <w:pPr>
              <w:spacing w:after="0"/>
            </w:pPr>
            <w:r>
              <w:rPr>
                <w:rFonts w:ascii="Aptos" w:hAnsi="Aptos"/>
                <w:sz w:val="16"/>
              </w:rPr>
              <w:t>2</w:t>
            </w:r>
          </w:p>
        </w:tc>
        <w:tc>
          <w:tcPr>
            <w:tcW w:type="dxa" w:w="5760"/>
            <w:tcMar>
              <w:top w:w="90" w:type="dxa"/>
              <w:start w:w="90" w:type="dxa"/>
              <w:bottom w:w="90" w:type="dxa"/>
              <w:end w:w="90" w:type="dxa"/>
            </w:tcMar>
            <w:vAlign w:val="top"/>
          </w:tcPr>
          <w:p>
            <w:pPr>
              <w:spacing w:after="0"/>
            </w:pPr>
            <w:r>
              <w:rPr>
                <w:rFonts w:ascii="Aptos" w:hAnsi="Aptos"/>
                <w:sz w:val="16"/>
              </w:rPr>
              <w:t>5.8</w:t>
            </w:r>
          </w:p>
        </w:tc>
      </w:tr>
      <w:tr>
        <w:tc>
          <w:tcPr>
            <w:tcW w:type="dxa" w:w="1440"/>
            <w:tcMar>
              <w:top w:w="90" w:type="dxa"/>
              <w:start w:w="90" w:type="dxa"/>
              <w:bottom w:w="90" w:type="dxa"/>
              <w:end w:w="90" w:type="dxa"/>
            </w:tcMar>
            <w:vAlign w:val="top"/>
          </w:tcPr>
          <w:p>
            <w:pPr>
              <w:spacing w:after="0"/>
            </w:pPr>
            <w:r>
              <w:rPr>
                <w:rFonts w:ascii="Aptos" w:hAnsi="Aptos"/>
                <w:sz w:val="16"/>
              </w:rPr>
              <w:t>3</w:t>
            </w:r>
          </w:p>
        </w:tc>
        <w:tc>
          <w:tcPr>
            <w:tcW w:type="dxa" w:w="5760"/>
            <w:tcMar>
              <w:top w:w="90" w:type="dxa"/>
              <w:start w:w="90" w:type="dxa"/>
              <w:bottom w:w="90" w:type="dxa"/>
              <w:end w:w="90" w:type="dxa"/>
            </w:tcMar>
            <w:vAlign w:val="top"/>
          </w:tcPr>
          <w:p>
            <w:pPr>
              <w:spacing w:after="0"/>
            </w:pPr>
            <w:r>
              <w:rPr>
                <w:rFonts w:ascii="Aptos" w:hAnsi="Aptos"/>
                <w:sz w:val="16"/>
              </w:rPr>
              <w:t>8.6</w:t>
            </w:r>
          </w:p>
        </w:tc>
      </w:tr>
      <w:tr>
        <w:tc>
          <w:tcPr>
            <w:tcW w:type="dxa" w:w="1440"/>
            <w:tcMar>
              <w:top w:w="90" w:type="dxa"/>
              <w:start w:w="90" w:type="dxa"/>
              <w:bottom w:w="90" w:type="dxa"/>
              <w:end w:w="90" w:type="dxa"/>
            </w:tcMar>
            <w:vAlign w:val="top"/>
          </w:tcPr>
          <w:p>
            <w:pPr>
              <w:spacing w:after="0"/>
            </w:pPr>
            <w:r>
              <w:rPr>
                <w:rFonts w:ascii="Aptos" w:hAnsi="Aptos"/>
                <w:sz w:val="16"/>
              </w:rPr>
              <w:t>4</w:t>
            </w:r>
          </w:p>
        </w:tc>
        <w:tc>
          <w:tcPr>
            <w:tcW w:type="dxa" w:w="5760"/>
            <w:tcMar>
              <w:top w:w="90" w:type="dxa"/>
              <w:start w:w="90" w:type="dxa"/>
              <w:bottom w:w="90" w:type="dxa"/>
              <w:end w:w="90" w:type="dxa"/>
            </w:tcMar>
            <w:vAlign w:val="top"/>
          </w:tcPr>
          <w:p>
            <w:pPr>
              <w:spacing w:after="0"/>
            </w:pPr>
            <w:r>
              <w:rPr>
                <w:rFonts w:ascii="Aptos" w:hAnsi="Aptos"/>
                <w:sz w:val="16"/>
              </w:rPr>
              <w:t>12.4</w:t>
            </w:r>
          </w:p>
        </w:tc>
      </w:tr>
      <w:tr>
        <w:tc>
          <w:tcPr>
            <w:tcW w:type="dxa" w:w="1440"/>
            <w:tcMar>
              <w:top w:w="90" w:type="dxa"/>
              <w:start w:w="90" w:type="dxa"/>
              <w:bottom w:w="90" w:type="dxa"/>
              <w:end w:w="90" w:type="dxa"/>
            </w:tcMar>
            <w:vAlign w:val="top"/>
          </w:tcPr>
          <w:p>
            <w:pPr>
              <w:spacing w:after="0"/>
            </w:pPr>
            <w:r>
              <w:rPr>
                <w:rFonts w:ascii="Aptos" w:hAnsi="Aptos"/>
                <w:sz w:val="16"/>
              </w:rPr>
              <w:t>5</w:t>
            </w:r>
          </w:p>
        </w:tc>
        <w:tc>
          <w:tcPr>
            <w:tcW w:type="dxa" w:w="5760"/>
            <w:tcMar>
              <w:top w:w="90" w:type="dxa"/>
              <w:start w:w="90" w:type="dxa"/>
              <w:bottom w:w="90" w:type="dxa"/>
              <w:end w:w="90" w:type="dxa"/>
            </w:tcMar>
            <w:vAlign w:val="top"/>
          </w:tcPr>
          <w:p>
            <w:pPr>
              <w:spacing w:after="0"/>
            </w:pPr>
            <w:r>
              <w:rPr>
                <w:rFonts w:ascii="Aptos" w:hAnsi="Aptos"/>
                <w:sz w:val="16"/>
              </w:rPr>
              <w:t>15.1</w:t>
            </w:r>
          </w:p>
        </w:tc>
      </w:tr>
      <w:tr>
        <w:tc>
          <w:tcPr>
            <w:tcW w:type="dxa" w:w="1440"/>
            <w:tcMar>
              <w:top w:w="90" w:type="dxa"/>
              <w:start w:w="90" w:type="dxa"/>
              <w:bottom w:w="90" w:type="dxa"/>
              <w:end w:w="90" w:type="dxa"/>
            </w:tcMar>
            <w:vAlign w:val="top"/>
          </w:tcPr>
          <w:p>
            <w:pPr>
              <w:spacing w:after="0"/>
            </w:pPr>
            <w:r>
              <w:rPr>
                <w:rFonts w:ascii="Aptos" w:hAnsi="Aptos"/>
                <w:sz w:val="16"/>
              </w:rPr>
              <w:t>6</w:t>
            </w:r>
          </w:p>
        </w:tc>
        <w:tc>
          <w:tcPr>
            <w:tcW w:type="dxa" w:w="5760"/>
            <w:tcMar>
              <w:top w:w="90" w:type="dxa"/>
              <w:start w:w="90" w:type="dxa"/>
              <w:bottom w:w="90" w:type="dxa"/>
              <w:end w:w="90" w:type="dxa"/>
            </w:tcMar>
            <w:vAlign w:val="top"/>
          </w:tcPr>
          <w:p>
            <w:pPr>
              <w:spacing w:after="0"/>
            </w:pPr>
            <w:r>
              <w:rPr>
                <w:rFonts w:ascii="Aptos" w:hAnsi="Aptos"/>
                <w:sz w:val="16"/>
              </w:rPr>
              <w:t>18.0</w:t>
            </w:r>
          </w:p>
        </w:tc>
      </w:tr>
      <w:tr>
        <w:tc>
          <w:tcPr>
            <w:tcW w:type="dxa" w:w="1440"/>
            <w:tcMar>
              <w:top w:w="90" w:type="dxa"/>
              <w:start w:w="90" w:type="dxa"/>
              <w:bottom w:w="90" w:type="dxa"/>
              <w:end w:w="90" w:type="dxa"/>
            </w:tcMar>
            <w:vAlign w:val="top"/>
          </w:tcPr>
          <w:p>
            <w:pPr>
              <w:spacing w:after="0"/>
            </w:pPr>
            <w:r>
              <w:rPr>
                <w:rFonts w:ascii="Aptos" w:hAnsi="Aptos"/>
                <w:sz w:val="16"/>
              </w:rPr>
              <w:t>7</w:t>
            </w:r>
          </w:p>
        </w:tc>
        <w:tc>
          <w:tcPr>
            <w:tcW w:type="dxa" w:w="5760"/>
            <w:tcMar>
              <w:top w:w="90" w:type="dxa"/>
              <w:start w:w="90" w:type="dxa"/>
              <w:bottom w:w="90" w:type="dxa"/>
              <w:end w:w="90" w:type="dxa"/>
            </w:tcMar>
            <w:vAlign w:val="top"/>
          </w:tcPr>
          <w:p>
            <w:pPr>
              <w:spacing w:after="0"/>
            </w:pPr>
            <w:r>
              <w:rPr>
                <w:rFonts w:ascii="Aptos" w:hAnsi="Aptos"/>
                <w:sz w:val="16"/>
              </w:rPr>
              <w:t>19.6</w:t>
            </w:r>
          </w:p>
        </w:tc>
      </w:tr>
      <w:tr>
        <w:tc>
          <w:tcPr>
            <w:tcW w:type="dxa" w:w="1440"/>
            <w:tcMar>
              <w:top w:w="90" w:type="dxa"/>
              <w:start w:w="90" w:type="dxa"/>
              <w:bottom w:w="90" w:type="dxa"/>
              <w:end w:w="90" w:type="dxa"/>
            </w:tcMar>
            <w:vAlign w:val="top"/>
          </w:tcPr>
          <w:p>
            <w:pPr>
              <w:spacing w:after="0"/>
            </w:pPr>
            <w:r>
              <w:rPr>
                <w:rFonts w:ascii="Aptos" w:hAnsi="Aptos"/>
                <w:sz w:val="16"/>
              </w:rPr>
              <w:t>8</w:t>
            </w:r>
          </w:p>
        </w:tc>
        <w:tc>
          <w:tcPr>
            <w:tcW w:type="dxa" w:w="5760"/>
            <w:tcMar>
              <w:top w:w="90" w:type="dxa"/>
              <w:start w:w="90" w:type="dxa"/>
              <w:bottom w:w="90" w:type="dxa"/>
              <w:end w:w="90" w:type="dxa"/>
            </w:tcMar>
            <w:vAlign w:val="top"/>
          </w:tcPr>
          <w:p>
            <w:pPr>
              <w:spacing w:after="0"/>
            </w:pPr>
            <w:r>
              <w:rPr>
                <w:rFonts w:ascii="Aptos" w:hAnsi="Aptos"/>
                <w:sz w:val="16"/>
              </w:rPr>
              <w:t>18.3</w:t>
            </w:r>
          </w:p>
        </w:tc>
      </w:tr>
      <w:tr>
        <w:tc>
          <w:tcPr>
            <w:tcW w:type="dxa" w:w="1440"/>
            <w:tcMar>
              <w:top w:w="90" w:type="dxa"/>
              <w:start w:w="90" w:type="dxa"/>
              <w:bottom w:w="90" w:type="dxa"/>
              <w:end w:w="90" w:type="dxa"/>
            </w:tcMar>
            <w:vAlign w:val="top"/>
          </w:tcPr>
          <w:p>
            <w:pPr>
              <w:spacing w:after="0"/>
            </w:pPr>
            <w:r>
              <w:rPr>
                <w:rFonts w:ascii="Aptos" w:hAnsi="Aptos"/>
                <w:sz w:val="16"/>
              </w:rPr>
              <w:t>9</w:t>
            </w:r>
          </w:p>
        </w:tc>
        <w:tc>
          <w:tcPr>
            <w:tcW w:type="dxa" w:w="5760"/>
            <w:tcMar>
              <w:top w:w="90" w:type="dxa"/>
              <w:start w:w="90" w:type="dxa"/>
              <w:bottom w:w="90" w:type="dxa"/>
              <w:end w:w="90" w:type="dxa"/>
            </w:tcMar>
            <w:vAlign w:val="top"/>
          </w:tcPr>
          <w:p>
            <w:pPr>
              <w:spacing w:after="0"/>
            </w:pPr>
            <w:r>
              <w:rPr>
                <w:rFonts w:ascii="Aptos" w:hAnsi="Aptos"/>
                <w:sz w:val="16"/>
              </w:rPr>
              <w:t>15.4</w:t>
            </w:r>
          </w:p>
        </w:tc>
      </w:tr>
      <w:tr>
        <w:tc>
          <w:tcPr>
            <w:tcW w:type="dxa" w:w="1440"/>
            <w:tcMar>
              <w:top w:w="90" w:type="dxa"/>
              <w:start w:w="90" w:type="dxa"/>
              <w:bottom w:w="90" w:type="dxa"/>
              <w:end w:w="90" w:type="dxa"/>
            </w:tcMar>
            <w:vAlign w:val="top"/>
          </w:tcPr>
          <w:p>
            <w:pPr>
              <w:spacing w:after="0"/>
            </w:pPr>
            <w:r>
              <w:rPr>
                <w:rFonts w:ascii="Aptos" w:hAnsi="Aptos"/>
                <w:sz w:val="16"/>
              </w:rPr>
              <w:t>10</w:t>
            </w:r>
          </w:p>
        </w:tc>
        <w:tc>
          <w:tcPr>
            <w:tcW w:type="dxa" w:w="5760"/>
            <w:tcMar>
              <w:top w:w="90" w:type="dxa"/>
              <w:start w:w="90" w:type="dxa"/>
              <w:bottom w:w="90" w:type="dxa"/>
              <w:end w:w="90" w:type="dxa"/>
            </w:tcMar>
            <w:vAlign w:val="top"/>
          </w:tcPr>
          <w:p>
            <w:pPr>
              <w:spacing w:after="0"/>
            </w:pPr>
            <w:r>
              <w:rPr>
                <w:rFonts w:ascii="Aptos" w:hAnsi="Aptos"/>
                <w:sz w:val="16"/>
              </w:rPr>
              <w:t>11.4</w:t>
            </w:r>
          </w:p>
        </w:tc>
      </w:tr>
    </w:tbl>
    <w:p>
      <w:pPr>
        <w:spacing w:after="120"/>
      </w:pPr>
    </w:p>
    <w:p>
      <w:pPr>
        <w:pStyle w:val="Heading2"/>
        <w:spacing w:before="200" w:after="120"/>
      </w:pPr>
      <w:r>
        <w:rPr>
          <w:rFonts w:ascii="Aptos" w:hAnsi="Aptos"/>
          <w:b/>
          <w:sz w:val="24"/>
        </w:rPr>
        <w:t>12.3 Revenue model</w:t>
      </w:r>
    </w:p>
    <w:p>
      <w:pPr>
        <w:spacing w:after="120"/>
      </w:pPr>
      <w:r>
        <w:rPr>
          <w:rFonts w:ascii="Aptos" w:hAnsi="Aptos"/>
          <w:sz w:val="21"/>
        </w:rPr>
        <w:t>The project should be monetized as an integrated lunar utility and logistics platform, not only as a propellant commodity project. Strategic availability payments and anchor contracts are necessary to make the program financeable.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Revenue case</w:t>
            </w:r>
          </w:p>
        </w:tc>
        <w:tc>
          <w:tcPr>
            <w:tcW w:type="dxa" w:w="3600"/>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Mature annual revenue</w:t>
            </w:r>
          </w:p>
        </w:tc>
        <w:tc>
          <w:tcPr>
            <w:tcW w:type="dxa" w:w="5760"/>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Operating result against 15.0 billion USD revised mature OpEx</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Conservative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13.0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Does not cover revised mature annual OpEx. Requires additional strategic availability payments, cost share, or reduced operating cost.</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Base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34.0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19.0 billion USD operating surplus before debt service, sustaining CapEx, taxes, and reinvestment.</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Upside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78.0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63.0 billion USD operating surplus before debt service, sustaining CapEx, taxes, and reinvestment.</w:t>
            </w:r>
          </w:p>
        </w:tc>
      </w:tr>
    </w:tbl>
    <w:p>
      <w:pPr>
        <w:spacing w:after="120"/>
      </w:pP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600"/>
            <w:shd w:fill="D9EAF7"/>
            <w:tcMar>
              <w:top w:w="90" w:type="dxa"/>
              <w:start w:w="90" w:type="dxa"/>
              <w:bottom w:w="90" w:type="dxa"/>
              <w:end w:w="90" w:type="dxa"/>
            </w:tcMar>
            <w:vAlign w:val="top"/>
          </w:tcPr>
          <w:p>
            <w:pPr>
              <w:spacing w:after="0"/>
            </w:pPr>
            <w:r>
              <w:rPr>
                <w:rFonts w:ascii="Aptos" w:hAnsi="Aptos"/>
                <w:b/>
                <w:color w:val="FFFFFF"/>
                <w:sz w:val="16"/>
              </w:rPr>
              <w:t>Revenue stream</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Base case planning logic</w:t>
            </w:r>
          </w:p>
        </w:tc>
      </w:tr>
      <w:tr>
        <w:tc>
          <w:tcPr>
            <w:tcW w:type="dxa" w:w="3600"/>
            <w:tcMar>
              <w:top w:w="90" w:type="dxa"/>
              <w:start w:w="90" w:type="dxa"/>
              <w:bottom w:w="90" w:type="dxa"/>
              <w:end w:w="90" w:type="dxa"/>
            </w:tcMar>
            <w:vAlign w:val="top"/>
          </w:tcPr>
          <w:p>
            <w:pPr>
              <w:spacing w:after="0"/>
            </w:pPr>
            <w:r>
              <w:rPr>
                <w:rFonts w:ascii="Aptos" w:hAnsi="Aptos"/>
                <w:sz w:val="16"/>
              </w:rPr>
              <w:t>LOX sales</w:t>
            </w:r>
          </w:p>
        </w:tc>
        <w:tc>
          <w:tcPr>
            <w:tcW w:type="dxa" w:w="7200"/>
            <w:tcMar>
              <w:top w:w="90" w:type="dxa"/>
              <w:start w:w="90" w:type="dxa"/>
              <w:bottom w:w="90" w:type="dxa"/>
              <w:end w:w="90" w:type="dxa"/>
            </w:tcMar>
            <w:vAlign w:val="top"/>
          </w:tcPr>
          <w:p>
            <w:pPr>
              <w:spacing w:after="0"/>
            </w:pPr>
            <w:r>
              <w:rPr>
                <w:rFonts w:ascii="Aptos" w:hAnsi="Aptos"/>
                <w:sz w:val="16"/>
              </w:rPr>
              <w:t>14,000 metric tons per year at 900 USD per kg, 12.6 billion USD.</w:t>
            </w:r>
          </w:p>
        </w:tc>
      </w:tr>
      <w:tr>
        <w:tc>
          <w:tcPr>
            <w:tcW w:type="dxa" w:w="3600"/>
            <w:tcMar>
              <w:top w:w="90" w:type="dxa"/>
              <w:start w:w="90" w:type="dxa"/>
              <w:bottom w:w="90" w:type="dxa"/>
              <w:end w:w="90" w:type="dxa"/>
            </w:tcMar>
            <w:vAlign w:val="top"/>
          </w:tcPr>
          <w:p>
            <w:pPr>
              <w:spacing w:after="0"/>
            </w:pPr>
            <w:r>
              <w:rPr>
                <w:rFonts w:ascii="Aptos" w:hAnsi="Aptos"/>
                <w:sz w:val="16"/>
              </w:rPr>
              <w:t>LH2 sales</w:t>
            </w:r>
          </w:p>
        </w:tc>
        <w:tc>
          <w:tcPr>
            <w:tcW w:type="dxa" w:w="7200"/>
            <w:tcMar>
              <w:top w:w="90" w:type="dxa"/>
              <w:start w:w="90" w:type="dxa"/>
              <w:bottom w:w="90" w:type="dxa"/>
              <w:end w:w="90" w:type="dxa"/>
            </w:tcMar>
            <w:vAlign w:val="top"/>
          </w:tcPr>
          <w:p>
            <w:pPr>
              <w:spacing w:after="0"/>
            </w:pPr>
            <w:r>
              <w:rPr>
                <w:rFonts w:ascii="Aptos" w:hAnsi="Aptos"/>
                <w:sz w:val="16"/>
              </w:rPr>
              <w:t>750 metric tons per year at 3,500 USD per kg, 2.625 billion USD.</w:t>
            </w:r>
          </w:p>
        </w:tc>
      </w:tr>
      <w:tr>
        <w:tc>
          <w:tcPr>
            <w:tcW w:type="dxa" w:w="3600"/>
            <w:tcMar>
              <w:top w:w="90" w:type="dxa"/>
              <w:start w:w="90" w:type="dxa"/>
              <w:bottom w:w="90" w:type="dxa"/>
              <w:end w:w="90" w:type="dxa"/>
            </w:tcMar>
            <w:vAlign w:val="top"/>
          </w:tcPr>
          <w:p>
            <w:pPr>
              <w:spacing w:after="0"/>
            </w:pPr>
            <w:r>
              <w:rPr>
                <w:rFonts w:ascii="Aptos" w:hAnsi="Aptos"/>
                <w:sz w:val="16"/>
              </w:rPr>
              <w:t>Water and oxygen services</w:t>
            </w:r>
          </w:p>
        </w:tc>
        <w:tc>
          <w:tcPr>
            <w:tcW w:type="dxa" w:w="7200"/>
            <w:tcMar>
              <w:top w:w="90" w:type="dxa"/>
              <w:start w:w="90" w:type="dxa"/>
              <w:bottom w:w="90" w:type="dxa"/>
              <w:end w:w="90" w:type="dxa"/>
            </w:tcMar>
            <w:vAlign w:val="top"/>
          </w:tcPr>
          <w:p>
            <w:pPr>
              <w:spacing w:after="0"/>
            </w:pPr>
            <w:r>
              <w:rPr>
                <w:rFonts w:ascii="Aptos" w:hAnsi="Aptos"/>
                <w:sz w:val="16"/>
              </w:rPr>
              <w:t>1.8 billion USD per year.</w:t>
            </w:r>
          </w:p>
        </w:tc>
      </w:tr>
      <w:tr>
        <w:tc>
          <w:tcPr>
            <w:tcW w:type="dxa" w:w="3600"/>
            <w:tcMar>
              <w:top w:w="90" w:type="dxa"/>
              <w:start w:w="90" w:type="dxa"/>
              <w:bottom w:w="90" w:type="dxa"/>
              <w:end w:w="90" w:type="dxa"/>
            </w:tcMar>
            <w:vAlign w:val="top"/>
          </w:tcPr>
          <w:p>
            <w:pPr>
              <w:spacing w:after="0"/>
            </w:pPr>
            <w:r>
              <w:rPr>
                <w:rFonts w:ascii="Aptos" w:hAnsi="Aptos"/>
                <w:sz w:val="16"/>
              </w:rPr>
              <w:t>Landing and logistics</w:t>
            </w:r>
          </w:p>
        </w:tc>
        <w:tc>
          <w:tcPr>
            <w:tcW w:type="dxa" w:w="7200"/>
            <w:tcMar>
              <w:top w:w="90" w:type="dxa"/>
              <w:start w:w="90" w:type="dxa"/>
              <w:bottom w:w="90" w:type="dxa"/>
              <w:end w:w="90" w:type="dxa"/>
            </w:tcMar>
            <w:vAlign w:val="top"/>
          </w:tcPr>
          <w:p>
            <w:pPr>
              <w:spacing w:after="0"/>
            </w:pPr>
            <w:r>
              <w:rPr>
                <w:rFonts w:ascii="Aptos" w:hAnsi="Aptos"/>
                <w:sz w:val="16"/>
              </w:rPr>
              <w:t>1.5 billion USD per year.</w:t>
            </w:r>
          </w:p>
        </w:tc>
      </w:tr>
      <w:tr>
        <w:tc>
          <w:tcPr>
            <w:tcW w:type="dxa" w:w="3600"/>
            <w:tcMar>
              <w:top w:w="90" w:type="dxa"/>
              <w:start w:w="90" w:type="dxa"/>
              <w:bottom w:w="90" w:type="dxa"/>
              <w:end w:w="90" w:type="dxa"/>
            </w:tcMar>
            <w:vAlign w:val="top"/>
          </w:tcPr>
          <w:p>
            <w:pPr>
              <w:spacing w:after="0"/>
            </w:pPr>
            <w:r>
              <w:rPr>
                <w:rFonts w:ascii="Aptos" w:hAnsi="Aptos"/>
                <w:sz w:val="16"/>
              </w:rPr>
              <w:t>Repair and industrial services</w:t>
            </w:r>
          </w:p>
        </w:tc>
        <w:tc>
          <w:tcPr>
            <w:tcW w:type="dxa" w:w="7200"/>
            <w:tcMar>
              <w:top w:w="90" w:type="dxa"/>
              <w:start w:w="90" w:type="dxa"/>
              <w:bottom w:w="90" w:type="dxa"/>
              <w:end w:w="90" w:type="dxa"/>
            </w:tcMar>
            <w:vAlign w:val="top"/>
          </w:tcPr>
          <w:p>
            <w:pPr>
              <w:spacing w:after="0"/>
            </w:pPr>
            <w:r>
              <w:rPr>
                <w:rFonts w:ascii="Aptos" w:hAnsi="Aptos"/>
                <w:sz w:val="16"/>
              </w:rPr>
              <w:t>1.2 billion USD per year.</w:t>
            </w:r>
          </w:p>
        </w:tc>
      </w:tr>
      <w:tr>
        <w:tc>
          <w:tcPr>
            <w:tcW w:type="dxa" w:w="3600"/>
            <w:tcMar>
              <w:top w:w="90" w:type="dxa"/>
              <w:start w:w="90" w:type="dxa"/>
              <w:bottom w:w="90" w:type="dxa"/>
              <w:end w:w="90" w:type="dxa"/>
            </w:tcMar>
            <w:vAlign w:val="top"/>
          </w:tcPr>
          <w:p>
            <w:pPr>
              <w:spacing w:after="0"/>
            </w:pPr>
            <w:r>
              <w:rPr>
                <w:rFonts w:ascii="Aptos" w:hAnsi="Aptos"/>
                <w:sz w:val="16"/>
              </w:rPr>
              <w:t>Tenancy and research</w:t>
            </w:r>
          </w:p>
        </w:tc>
        <w:tc>
          <w:tcPr>
            <w:tcW w:type="dxa" w:w="7200"/>
            <w:tcMar>
              <w:top w:w="90" w:type="dxa"/>
              <w:start w:w="90" w:type="dxa"/>
              <w:bottom w:w="90" w:type="dxa"/>
              <w:end w:w="90" w:type="dxa"/>
            </w:tcMar>
            <w:vAlign w:val="top"/>
          </w:tcPr>
          <w:p>
            <w:pPr>
              <w:spacing w:after="0"/>
            </w:pPr>
            <w:r>
              <w:rPr>
                <w:rFonts w:ascii="Aptos" w:hAnsi="Aptos"/>
                <w:sz w:val="16"/>
              </w:rPr>
              <w:t>3.2 billion USD per year.</w:t>
            </w:r>
          </w:p>
        </w:tc>
      </w:tr>
      <w:tr>
        <w:tc>
          <w:tcPr>
            <w:tcW w:type="dxa" w:w="3600"/>
            <w:tcMar>
              <w:top w:w="90" w:type="dxa"/>
              <w:start w:w="90" w:type="dxa"/>
              <w:bottom w:w="90" w:type="dxa"/>
              <w:end w:w="90" w:type="dxa"/>
            </w:tcMar>
            <w:vAlign w:val="top"/>
          </w:tcPr>
          <w:p>
            <w:pPr>
              <w:spacing w:after="0"/>
            </w:pPr>
            <w:r>
              <w:rPr>
                <w:rFonts w:ascii="Aptos" w:hAnsi="Aptos"/>
                <w:sz w:val="16"/>
              </w:rPr>
              <w:t>Data and communications</w:t>
            </w:r>
          </w:p>
        </w:tc>
        <w:tc>
          <w:tcPr>
            <w:tcW w:type="dxa" w:w="7200"/>
            <w:tcMar>
              <w:top w:w="90" w:type="dxa"/>
              <w:start w:w="90" w:type="dxa"/>
              <w:bottom w:w="90" w:type="dxa"/>
              <w:end w:w="90" w:type="dxa"/>
            </w:tcMar>
            <w:vAlign w:val="top"/>
          </w:tcPr>
          <w:p>
            <w:pPr>
              <w:spacing w:after="0"/>
            </w:pPr>
            <w:r>
              <w:rPr>
                <w:rFonts w:ascii="Aptos" w:hAnsi="Aptos"/>
                <w:sz w:val="16"/>
              </w:rPr>
              <w:t>0.8 billion USD per year.</w:t>
            </w:r>
          </w:p>
        </w:tc>
      </w:tr>
      <w:tr>
        <w:tc>
          <w:tcPr>
            <w:tcW w:type="dxa" w:w="3600"/>
            <w:tcMar>
              <w:top w:w="90" w:type="dxa"/>
              <w:start w:w="90" w:type="dxa"/>
              <w:bottom w:w="90" w:type="dxa"/>
              <w:end w:w="90" w:type="dxa"/>
            </w:tcMar>
            <w:vAlign w:val="top"/>
          </w:tcPr>
          <w:p>
            <w:pPr>
              <w:spacing w:after="0"/>
            </w:pPr>
            <w:r>
              <w:rPr>
                <w:rFonts w:ascii="Aptos" w:hAnsi="Aptos"/>
                <w:sz w:val="16"/>
              </w:rPr>
              <w:t>Strategic availability contracts</w:t>
            </w:r>
          </w:p>
        </w:tc>
        <w:tc>
          <w:tcPr>
            <w:tcW w:type="dxa" w:w="7200"/>
            <w:tcMar>
              <w:top w:w="90" w:type="dxa"/>
              <w:start w:w="90" w:type="dxa"/>
              <w:bottom w:w="90" w:type="dxa"/>
              <w:end w:w="90" w:type="dxa"/>
            </w:tcMar>
            <w:vAlign w:val="top"/>
          </w:tcPr>
          <w:p>
            <w:pPr>
              <w:spacing w:after="0"/>
            </w:pPr>
            <w:r>
              <w:rPr>
                <w:rFonts w:ascii="Aptos" w:hAnsi="Aptos"/>
                <w:sz w:val="16"/>
              </w:rPr>
              <w:t>4.5 billion USD per year.</w:t>
            </w:r>
          </w:p>
        </w:tc>
      </w:tr>
      <w:tr>
        <w:tc>
          <w:tcPr>
            <w:tcW w:type="dxa" w:w="5040"/>
            <w:vAlign w:val="top"/>
          </w:tcPr>
          <w:p>
            <w:pPr>
              <w:spacing w:after="0"/>
              <w:jc w:val="left"/>
            </w:pPr>
            <w:r>
              <w:rPr>
                <w:rFonts w:ascii="Aptos" w:hAnsi="Aptos"/>
                <w:sz w:val="16"/>
              </w:rPr>
            </w:r>
            <w:r>
              <w:rPr>
                <w:rFonts w:ascii="Aptos" w:hAnsi="Aptos"/>
                <w:b w:val="0"/>
                <w:sz w:val="16"/>
              </w:rPr>
              <w:t>Surface spaceport services</w:t>
            </w:r>
          </w:p>
        </w:tc>
        <w:tc>
          <w:tcPr>
            <w:tcW w:type="dxa" w:w="5040"/>
            <w:vAlign w:val="top"/>
          </w:tcPr>
          <w:p>
            <w:pPr>
              <w:spacing w:after="0"/>
              <w:jc w:val="left"/>
            </w:pPr>
            <w:r>
              <w:rPr>
                <w:rFonts w:ascii="Aptos" w:hAnsi="Aptos"/>
                <w:sz w:val="16"/>
              </w:rPr>
            </w:r>
            <w:r>
              <w:rPr>
                <w:rFonts w:ascii="Aptos" w:hAnsi="Aptos"/>
                <w:b w:val="0"/>
                <w:sz w:val="16"/>
              </w:rPr>
              <w:t>Landing, departure, passenger transfer, cargo turnaround, vehicle support, and priority orbital logistics access. Base mature planning contribution, 3.0 to 5.5 billion USD per year.</w:t>
            </w:r>
          </w:p>
        </w:tc>
      </w:tr>
      <w:tr>
        <w:tc>
          <w:tcPr>
            <w:tcW w:type="dxa" w:w="5040"/>
            <w:vAlign w:val="top"/>
          </w:tcPr>
          <w:p>
            <w:pPr>
              <w:spacing w:after="0"/>
              <w:jc w:val="left"/>
            </w:pPr>
            <w:r>
              <w:rPr>
                <w:rFonts w:ascii="Aptos" w:hAnsi="Aptos"/>
                <w:sz w:val="16"/>
              </w:rPr>
            </w:r>
            <w:r>
              <w:rPr>
                <w:rFonts w:ascii="Aptos" w:hAnsi="Aptos"/>
                <w:b w:val="0"/>
                <w:sz w:val="16"/>
              </w:rPr>
              <w:t>Hyperloop cargo launch services</w:t>
            </w:r>
          </w:p>
        </w:tc>
        <w:tc>
          <w:tcPr>
            <w:tcW w:type="dxa" w:w="5040"/>
            <w:vAlign w:val="top"/>
          </w:tcPr>
          <w:p>
            <w:pPr>
              <w:spacing w:after="0"/>
              <w:jc w:val="left"/>
            </w:pPr>
            <w:r>
              <w:rPr>
                <w:rFonts w:ascii="Aptos" w:hAnsi="Aptos"/>
                <w:sz w:val="16"/>
              </w:rPr>
            </w:r>
            <w:r>
              <w:rPr>
                <w:rFonts w:ascii="Aptos" w:hAnsi="Aptos"/>
                <w:b w:val="0"/>
                <w:sz w:val="16"/>
              </w:rPr>
              <w:t>Bulk cargo to orbital logistics, mineral export, propellant pod support, and depot replenishment. Base mature planning contribution, 2.0 to 5.0 billion USD per year after launch rail certification.</w:t>
            </w:r>
          </w:p>
        </w:tc>
      </w:tr>
      <w:tr>
        <w:tc>
          <w:tcPr>
            <w:tcW w:type="dxa" w:w="5040"/>
            <w:vAlign w:val="top"/>
          </w:tcPr>
          <w:p>
            <w:pPr>
              <w:spacing w:after="0"/>
              <w:jc w:val="left"/>
            </w:pPr>
            <w:r>
              <w:rPr>
                <w:rFonts w:ascii="Aptos" w:hAnsi="Aptos"/>
                <w:sz w:val="16"/>
              </w:rPr>
            </w:r>
            <w:r>
              <w:rPr>
                <w:rFonts w:ascii="Aptos" w:hAnsi="Aptos"/>
                <w:b w:val="0"/>
                <w:sz w:val="16"/>
              </w:rPr>
              <w:t>Mineral processing products</w:t>
            </w:r>
          </w:p>
        </w:tc>
        <w:tc>
          <w:tcPr>
            <w:tcW w:type="dxa" w:w="5040"/>
            <w:vAlign w:val="top"/>
          </w:tcPr>
          <w:p>
            <w:pPr>
              <w:spacing w:after="0"/>
              <w:jc w:val="left"/>
            </w:pPr>
            <w:r>
              <w:rPr>
                <w:rFonts w:ascii="Aptos" w:hAnsi="Aptos"/>
                <w:sz w:val="16"/>
              </w:rPr>
            </w:r>
            <w:r>
              <w:rPr>
                <w:rFonts w:ascii="Aptos" w:hAnsi="Aptos"/>
                <w:b w:val="0"/>
                <w:sz w:val="16"/>
              </w:rPr>
              <w:t>Construction feedstock, refined oxides, metals, ceramic feedstock, glass feedstock, and export concentrates. Base mature planning contribution, 1.5 to 4.0 billion USD per year.</w:t>
            </w:r>
          </w:p>
        </w:tc>
      </w:tr>
      <w:tr>
        <w:tc>
          <w:tcPr>
            <w:tcW w:type="dxa" w:w="5040"/>
            <w:vAlign w:val="top"/>
          </w:tcPr>
          <w:p>
            <w:pPr>
              <w:spacing w:after="0"/>
              <w:jc w:val="left"/>
            </w:pPr>
            <w:r>
              <w:rPr>
                <w:rFonts w:ascii="Aptos" w:hAnsi="Aptos"/>
                <w:sz w:val="16"/>
              </w:rPr>
            </w:r>
            <w:r>
              <w:rPr>
                <w:rFonts w:ascii="Aptos" w:hAnsi="Aptos"/>
                <w:b w:val="0"/>
                <w:sz w:val="16"/>
              </w:rPr>
              <w:t>Power and microwave reception services</w:t>
            </w:r>
          </w:p>
        </w:tc>
        <w:tc>
          <w:tcPr>
            <w:tcW w:type="dxa" w:w="5040"/>
            <w:vAlign w:val="top"/>
          </w:tcPr>
          <w:p>
            <w:pPr>
              <w:spacing w:after="0"/>
              <w:jc w:val="left"/>
            </w:pPr>
            <w:r>
              <w:rPr>
                <w:rFonts w:ascii="Aptos" w:hAnsi="Aptos"/>
                <w:sz w:val="16"/>
              </w:rPr>
            </w:r>
            <w:r>
              <w:rPr>
                <w:rFonts w:ascii="Aptos" w:hAnsi="Aptos"/>
                <w:b w:val="0"/>
                <w:sz w:val="16"/>
              </w:rPr>
              <w:t>Solar power, remote microwave reception, peak shaving, and partner facility energy services. Base mature planning contribution, 0.5 to 1.5 billion USD per year.</w:t>
            </w:r>
          </w:p>
        </w:tc>
      </w:tr>
      <w:tr>
        <w:tc>
          <w:tcPr>
            <w:tcW w:type="dxa" w:w="5040"/>
            <w:vAlign w:val="top"/>
          </w:tcPr>
          <w:p>
            <w:pPr>
              <w:spacing w:after="0"/>
              <w:jc w:val="left"/>
            </w:pPr>
            <w:r>
              <w:rPr>
                <w:rFonts w:ascii="Aptos" w:hAnsi="Aptos"/>
                <w:sz w:val="16"/>
              </w:rPr>
            </w:r>
            <w:r>
              <w:rPr>
                <w:rFonts w:ascii="Aptos" w:hAnsi="Aptos"/>
                <w:b w:val="0"/>
                <w:sz w:val="16"/>
              </w:rPr>
              <w:t>Seismic and structural assurance services</w:t>
            </w:r>
          </w:p>
        </w:tc>
        <w:tc>
          <w:tcPr>
            <w:tcW w:type="dxa" w:w="5040"/>
            <w:vAlign w:val="top"/>
          </w:tcPr>
          <w:p>
            <w:pPr>
              <w:spacing w:after="0"/>
              <w:jc w:val="left"/>
            </w:pPr>
            <w:r>
              <w:rPr>
                <w:rFonts w:ascii="Aptos" w:hAnsi="Aptos"/>
                <w:sz w:val="16"/>
              </w:rPr>
            </w:r>
            <w:r>
              <w:rPr>
                <w:rFonts w:ascii="Aptos" w:hAnsi="Aptos"/>
                <w:b w:val="0"/>
                <w:sz w:val="16"/>
              </w:rPr>
              <w:t>Site assurance, geophysical data, tenant safety certification support, and infrastructure risk analytics. Base mature planning contribution, 0.05 to 0.25 billion USD per year.</w:t>
            </w:r>
          </w:p>
        </w:tc>
      </w:tr>
    </w:tbl>
    <w:p>
      <w:pPr>
        <w:spacing w:after="120"/>
      </w:pPr>
    </w:p>
    <w:p>
      <w:pPr>
        <w:pStyle w:val="Heading2"/>
        <w:spacing w:before="200" w:after="120"/>
      </w:pPr>
      <w:r>
        <w:rPr>
          <w:rFonts w:ascii="Aptos" w:hAnsi="Aptos"/>
          <w:b/>
          <w:sz w:val="24"/>
        </w:rPr>
        <w:t>12.4 Commercial approval conditions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2304"/>
            <w:shd w:fill="D9EAF7"/>
            <w:tcMar>
              <w:top w:w="90" w:type="dxa"/>
              <w:start w:w="90" w:type="dxa"/>
              <w:bottom w:w="90" w:type="dxa"/>
              <w:end w:w="90" w:type="dxa"/>
            </w:tcMar>
            <w:vAlign w:val="top"/>
          </w:tcPr>
          <w:p>
            <w:pPr>
              <w:spacing w:after="0"/>
            </w:pPr>
            <w:r>
              <w:rPr>
                <w:rFonts w:ascii="Aptos" w:hAnsi="Aptos"/>
                <w:b/>
                <w:color w:val="FFFFFF"/>
                <w:sz w:val="16"/>
              </w:rPr>
              <w:t>Before gate</w:t>
            </w:r>
          </w:p>
        </w:tc>
        <w:tc>
          <w:tcPr>
            <w:tcW w:type="dxa" w:w="8352"/>
            <w:shd w:fill="D9EAF7"/>
            <w:tcMar>
              <w:top w:w="90" w:type="dxa"/>
              <w:start w:w="90" w:type="dxa"/>
              <w:bottom w:w="90" w:type="dxa"/>
              <w:end w:w="90" w:type="dxa"/>
            </w:tcMar>
            <w:vAlign w:val="top"/>
          </w:tcPr>
          <w:p>
            <w:pPr>
              <w:spacing w:after="0"/>
            </w:pPr>
            <w:r>
              <w:rPr>
                <w:rFonts w:ascii="Aptos" w:hAnsi="Aptos"/>
                <w:b/>
                <w:color w:val="FFFFFF"/>
                <w:sz w:val="16"/>
              </w:rPr>
              <w:t>Required commercial condition</w:t>
            </w:r>
          </w:p>
        </w:tc>
      </w:tr>
      <w:tr>
        <w:tc>
          <w:tcPr>
            <w:tcW w:type="dxa" w:w="2304"/>
            <w:tcMar>
              <w:top w:w="90" w:type="dxa"/>
              <w:start w:w="90" w:type="dxa"/>
              <w:bottom w:w="90" w:type="dxa"/>
              <w:end w:w="90" w:type="dxa"/>
            </w:tcMar>
            <w:vAlign w:val="top"/>
          </w:tcPr>
          <w:p>
            <w:pPr>
              <w:spacing w:after="0"/>
            </w:pPr>
            <w:r>
              <w:rPr>
                <w:rFonts w:ascii="Aptos" w:hAnsi="Aptos"/>
                <w:sz w:val="16"/>
              </w:rPr>
              <w:t>F3</w:t>
            </w:r>
          </w:p>
        </w:tc>
        <w:tc>
          <w:tcPr>
            <w:tcW w:type="dxa" w:w="8352"/>
            <w:tcMar>
              <w:top w:w="90" w:type="dxa"/>
              <w:start w:w="90" w:type="dxa"/>
              <w:bottom w:w="90" w:type="dxa"/>
              <w:end w:w="90" w:type="dxa"/>
            </w:tcMar>
            <w:vAlign w:val="top"/>
          </w:tcPr>
          <w:p>
            <w:pPr>
              <w:spacing w:after="0"/>
            </w:pPr>
            <w:r>
              <w:rPr>
                <w:rFonts w:ascii="Aptos" w:hAnsi="Aptos"/>
                <w:sz w:val="16"/>
              </w:rPr>
              <w:t>At least 5 billion USD in strategic partner commitments or cost share.</w:t>
            </w:r>
          </w:p>
        </w:tc>
      </w:tr>
      <w:tr>
        <w:tc>
          <w:tcPr>
            <w:tcW w:type="dxa" w:w="2304"/>
            <w:tcMar>
              <w:top w:w="90" w:type="dxa"/>
              <w:start w:w="90" w:type="dxa"/>
              <w:bottom w:w="90" w:type="dxa"/>
              <w:end w:w="90" w:type="dxa"/>
            </w:tcMar>
            <w:vAlign w:val="top"/>
          </w:tcPr>
          <w:p>
            <w:pPr>
              <w:spacing w:after="0"/>
            </w:pPr>
            <w:r>
              <w:rPr>
                <w:rFonts w:ascii="Aptos" w:hAnsi="Aptos"/>
                <w:sz w:val="16"/>
              </w:rPr>
              <w:t>F4</w:t>
            </w:r>
          </w:p>
        </w:tc>
        <w:tc>
          <w:tcPr>
            <w:tcW w:type="dxa" w:w="8352"/>
            <w:tcMar>
              <w:top w:w="90" w:type="dxa"/>
              <w:start w:w="90" w:type="dxa"/>
              <w:bottom w:w="90" w:type="dxa"/>
              <w:end w:w="90" w:type="dxa"/>
            </w:tcMar>
            <w:vAlign w:val="top"/>
          </w:tcPr>
          <w:p>
            <w:pPr>
              <w:spacing w:after="0"/>
            </w:pPr>
            <w:r>
              <w:rPr>
                <w:rFonts w:ascii="Aptos" w:hAnsi="Aptos"/>
                <w:sz w:val="16"/>
              </w:rPr>
              <w:t>At least 10 billion USD in cumulative contracted or conditionally awarded revenue.</w:t>
            </w:r>
          </w:p>
        </w:tc>
      </w:tr>
      <w:tr>
        <w:tc>
          <w:tcPr>
            <w:tcW w:type="dxa" w:w="2304"/>
            <w:tcMar>
              <w:top w:w="90" w:type="dxa"/>
              <w:start w:w="90" w:type="dxa"/>
              <w:bottom w:w="90" w:type="dxa"/>
              <w:end w:w="90" w:type="dxa"/>
            </w:tcMar>
            <w:vAlign w:val="top"/>
          </w:tcPr>
          <w:p>
            <w:pPr>
              <w:spacing w:after="0"/>
            </w:pPr>
            <w:r>
              <w:rPr>
                <w:rFonts w:ascii="Aptos" w:hAnsi="Aptos"/>
                <w:sz w:val="16"/>
              </w:rPr>
              <w:t>F5</w:t>
            </w:r>
          </w:p>
        </w:tc>
        <w:tc>
          <w:tcPr>
            <w:tcW w:type="dxa" w:w="8352"/>
            <w:tcMar>
              <w:top w:w="90" w:type="dxa"/>
              <w:start w:w="90" w:type="dxa"/>
              <w:bottom w:w="90" w:type="dxa"/>
              <w:end w:w="90" w:type="dxa"/>
            </w:tcMar>
            <w:vAlign w:val="top"/>
          </w:tcPr>
          <w:p>
            <w:pPr>
              <w:spacing w:after="0"/>
            </w:pPr>
            <w:r>
              <w:rPr>
                <w:rFonts w:ascii="Aptos" w:hAnsi="Aptos"/>
                <w:sz w:val="16"/>
              </w:rPr>
              <w:t>At least 25 billion USD in offtake, availability payments, partner commitments, or government furnished systems.</w:t>
            </w:r>
          </w:p>
        </w:tc>
      </w:tr>
      <w:tr>
        <w:tc>
          <w:tcPr>
            <w:tcW w:type="dxa" w:w="2304"/>
            <w:tcMar>
              <w:top w:w="90" w:type="dxa"/>
              <w:start w:w="90" w:type="dxa"/>
              <w:bottom w:w="90" w:type="dxa"/>
              <w:end w:w="90" w:type="dxa"/>
            </w:tcMar>
            <w:vAlign w:val="top"/>
          </w:tcPr>
          <w:p>
            <w:pPr>
              <w:spacing w:after="0"/>
            </w:pPr>
            <w:r>
              <w:rPr>
                <w:rFonts w:ascii="Aptos" w:hAnsi="Aptos"/>
                <w:sz w:val="16"/>
              </w:rPr>
              <w:t>F6</w:t>
            </w:r>
          </w:p>
        </w:tc>
        <w:tc>
          <w:tcPr>
            <w:tcW w:type="dxa" w:w="8352"/>
            <w:tcMar>
              <w:top w:w="90" w:type="dxa"/>
              <w:start w:w="90" w:type="dxa"/>
              <w:bottom w:w="90" w:type="dxa"/>
              <w:end w:w="90" w:type="dxa"/>
            </w:tcMar>
            <w:vAlign w:val="top"/>
          </w:tcPr>
          <w:p>
            <w:pPr>
              <w:spacing w:after="0"/>
            </w:pPr>
            <w:r>
              <w:rPr>
                <w:rFonts w:ascii="Aptos" w:hAnsi="Aptos"/>
                <w:sz w:val="16"/>
              </w:rPr>
              <w:t>At least 40 percent of base case mature annual revenue contracted, reserved, or covered by framework agreements.</w:t>
            </w:r>
          </w:p>
        </w:tc>
      </w:tr>
      <w:tr>
        <w:tc>
          <w:tcPr>
            <w:tcW w:type="dxa" w:w="2304"/>
            <w:tcMar>
              <w:top w:w="90" w:type="dxa"/>
              <w:start w:w="90" w:type="dxa"/>
              <w:bottom w:w="90" w:type="dxa"/>
              <w:end w:w="90" w:type="dxa"/>
            </w:tcMar>
            <w:vAlign w:val="top"/>
          </w:tcPr>
          <w:p>
            <w:pPr>
              <w:spacing w:after="0"/>
            </w:pPr>
            <w:r>
              <w:rPr>
                <w:rFonts w:ascii="Aptos" w:hAnsi="Aptos"/>
                <w:sz w:val="16"/>
              </w:rPr>
              <w:t>Full 1000 certification</w:t>
            </w:r>
          </w:p>
        </w:tc>
        <w:tc>
          <w:tcPr>
            <w:tcW w:type="dxa" w:w="8352"/>
            <w:tcMar>
              <w:top w:w="90" w:type="dxa"/>
              <w:start w:w="90" w:type="dxa"/>
              <w:bottom w:w="90" w:type="dxa"/>
              <w:end w:w="90" w:type="dxa"/>
            </w:tcMar>
            <w:vAlign w:val="top"/>
          </w:tcPr>
          <w:p>
            <w:pPr>
              <w:spacing w:after="0"/>
            </w:pPr>
            <w:r>
              <w:rPr>
                <w:rFonts w:ascii="Aptos" w:hAnsi="Aptos"/>
                <w:sz w:val="16"/>
              </w:rPr>
              <w:t>At least 60 percent of Year 10 revenue plan under contract, framework, or funded customer pathway.</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13. Risk Register, Decision Gates, and Next Design Actions</w:t>
      </w:r>
    </w:p>
    <w:p>
      <w:pPr>
        <w:pStyle w:val="Heading2"/>
        <w:spacing w:before="200" w:after="120"/>
      </w:pPr>
      <w:r>
        <w:rPr>
          <w:rFonts w:ascii="Aptos" w:hAnsi="Aptos"/>
          <w:b/>
          <w:sz w:val="24"/>
        </w:rPr>
        <w:t>13.1 Integrated risk register</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Risk</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Impact</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Mitigation</w:t>
            </w:r>
          </w:p>
        </w:tc>
      </w:tr>
      <w:tr>
        <w:tc>
          <w:tcPr>
            <w:tcW w:type="dxa" w:w="2880"/>
            <w:tcMar>
              <w:top w:w="90" w:type="dxa"/>
              <w:start w:w="90" w:type="dxa"/>
              <w:bottom w:w="90" w:type="dxa"/>
              <w:end w:w="90" w:type="dxa"/>
            </w:tcMar>
            <w:vAlign w:val="top"/>
          </w:tcPr>
          <w:p>
            <w:pPr>
              <w:spacing w:after="0"/>
            </w:pPr>
            <w:r>
              <w:rPr>
                <w:rFonts w:ascii="Aptos" w:hAnsi="Aptos"/>
                <w:sz w:val="16"/>
              </w:rPr>
              <w:t>Dependable power delay</w:t>
            </w:r>
          </w:p>
        </w:tc>
        <w:tc>
          <w:tcPr>
            <w:tcW w:type="dxa" w:w="4320"/>
            <w:tcMar>
              <w:top w:w="90" w:type="dxa"/>
              <w:start w:w="90" w:type="dxa"/>
              <w:bottom w:w="90" w:type="dxa"/>
              <w:end w:w="90" w:type="dxa"/>
            </w:tcMar>
            <w:vAlign w:val="top"/>
          </w:tcPr>
          <w:p>
            <w:pPr>
              <w:spacing w:after="0"/>
            </w:pPr>
            <w:r>
              <w:rPr>
                <w:rFonts w:ascii="Aptos" w:hAnsi="Aptos"/>
                <w:sz w:val="16"/>
              </w:rPr>
              <w:t>Delays excavation, utility corridors, and occupancy gates.</w:t>
            </w:r>
          </w:p>
        </w:tc>
        <w:tc>
          <w:tcPr>
            <w:tcW w:type="dxa" w:w="5040"/>
            <w:tcMar>
              <w:top w:w="90" w:type="dxa"/>
              <w:start w:w="90" w:type="dxa"/>
              <w:bottom w:w="90" w:type="dxa"/>
              <w:end w:w="90" w:type="dxa"/>
            </w:tcMar>
            <w:vAlign w:val="top"/>
          </w:tcPr>
          <w:p>
            <w:pPr>
              <w:spacing w:after="0"/>
            </w:pPr>
            <w:r>
              <w:rPr>
                <w:rFonts w:ascii="Aptos" w:hAnsi="Aptos"/>
                <w:sz w:val="16"/>
              </w:rPr>
              <w:t>Stage power first, maintain backup power packages, hold population gates hard.</w:t>
            </w:r>
          </w:p>
        </w:tc>
      </w:tr>
      <w:tr>
        <w:tc>
          <w:tcPr>
            <w:tcW w:type="dxa" w:w="2880"/>
            <w:tcMar>
              <w:top w:w="90" w:type="dxa"/>
              <w:start w:w="90" w:type="dxa"/>
              <w:bottom w:w="90" w:type="dxa"/>
              <w:end w:w="90" w:type="dxa"/>
            </w:tcMar>
            <w:vAlign w:val="top"/>
          </w:tcPr>
          <w:p>
            <w:pPr>
              <w:spacing w:after="0"/>
            </w:pPr>
            <w:r>
              <w:rPr>
                <w:rFonts w:ascii="Aptos" w:hAnsi="Aptos"/>
                <w:sz w:val="16"/>
              </w:rPr>
              <w:t>Subsurface instability</w:t>
            </w:r>
          </w:p>
        </w:tc>
        <w:tc>
          <w:tcPr>
            <w:tcW w:type="dxa" w:w="4320"/>
            <w:tcMar>
              <w:top w:w="90" w:type="dxa"/>
              <w:start w:w="90" w:type="dxa"/>
              <w:bottom w:w="90" w:type="dxa"/>
              <w:end w:w="90" w:type="dxa"/>
            </w:tcMar>
            <w:vAlign w:val="top"/>
          </w:tcPr>
          <w:p>
            <w:pPr>
              <w:spacing w:after="0"/>
            </w:pPr>
            <w:r>
              <w:rPr>
                <w:rFonts w:ascii="Aptos" w:hAnsi="Aptos"/>
                <w:sz w:val="16"/>
              </w:rPr>
              <w:t>Increases excavation cost and delays protected volume.</w:t>
            </w:r>
          </w:p>
        </w:tc>
        <w:tc>
          <w:tcPr>
            <w:tcW w:type="dxa" w:w="5040"/>
            <w:tcMar>
              <w:top w:w="90" w:type="dxa"/>
              <w:start w:w="90" w:type="dxa"/>
              <w:bottom w:w="90" w:type="dxa"/>
              <w:end w:w="90" w:type="dxa"/>
            </w:tcMar>
            <w:vAlign w:val="top"/>
          </w:tcPr>
          <w:p>
            <w:pPr>
              <w:spacing w:after="0"/>
            </w:pPr>
            <w:r>
              <w:rPr>
                <w:rFonts w:ascii="Aptos" w:hAnsi="Aptos"/>
                <w:sz w:val="16"/>
              </w:rPr>
              <w:t>Front load radar, drilling, geotechnical modeling, and alternate shaft zones.</w:t>
            </w:r>
          </w:p>
        </w:tc>
      </w:tr>
      <w:tr>
        <w:tc>
          <w:tcPr>
            <w:tcW w:type="dxa" w:w="2880"/>
            <w:tcMar>
              <w:top w:w="90" w:type="dxa"/>
              <w:start w:w="90" w:type="dxa"/>
              <w:bottom w:w="90" w:type="dxa"/>
              <w:end w:w="90" w:type="dxa"/>
            </w:tcMar>
            <w:vAlign w:val="top"/>
          </w:tcPr>
          <w:p>
            <w:pPr>
              <w:spacing w:after="0"/>
            </w:pPr>
            <w:r>
              <w:rPr>
                <w:rFonts w:ascii="Aptos" w:hAnsi="Aptos"/>
                <w:sz w:val="16"/>
              </w:rPr>
              <w:t>Dust contamination</w:t>
            </w:r>
          </w:p>
        </w:tc>
        <w:tc>
          <w:tcPr>
            <w:tcW w:type="dxa" w:w="4320"/>
            <w:tcMar>
              <w:top w:w="90" w:type="dxa"/>
              <w:start w:w="90" w:type="dxa"/>
              <w:bottom w:w="90" w:type="dxa"/>
              <w:end w:w="90" w:type="dxa"/>
            </w:tcMar>
            <w:vAlign w:val="top"/>
          </w:tcPr>
          <w:p>
            <w:pPr>
              <w:spacing w:after="0"/>
            </w:pPr>
            <w:r>
              <w:rPr>
                <w:rFonts w:ascii="Aptos" w:hAnsi="Aptos"/>
                <w:sz w:val="16"/>
              </w:rPr>
              <w:t>Damages seals, optics, mechanisms, and thermal surfaces.</w:t>
            </w:r>
          </w:p>
        </w:tc>
        <w:tc>
          <w:tcPr>
            <w:tcW w:type="dxa" w:w="5040"/>
            <w:tcMar>
              <w:top w:w="90" w:type="dxa"/>
              <w:start w:w="90" w:type="dxa"/>
              <w:bottom w:w="90" w:type="dxa"/>
              <w:end w:w="90" w:type="dxa"/>
            </w:tcMar>
            <w:vAlign w:val="top"/>
          </w:tcPr>
          <w:p>
            <w:pPr>
              <w:spacing w:after="0"/>
            </w:pPr>
            <w:r>
              <w:rPr>
                <w:rFonts w:ascii="Aptos" w:hAnsi="Aptos"/>
                <w:sz w:val="16"/>
              </w:rPr>
              <w:t>Use sealed transfer interfaces, electrostatic dust control, berms, and maintenance washdown.</w:t>
            </w:r>
          </w:p>
        </w:tc>
      </w:tr>
      <w:tr>
        <w:tc>
          <w:tcPr>
            <w:tcW w:type="dxa" w:w="2880"/>
            <w:tcMar>
              <w:top w:w="90" w:type="dxa"/>
              <w:start w:w="90" w:type="dxa"/>
              <w:bottom w:w="90" w:type="dxa"/>
              <w:end w:w="90" w:type="dxa"/>
            </w:tcMar>
            <w:vAlign w:val="top"/>
          </w:tcPr>
          <w:p>
            <w:pPr>
              <w:spacing w:after="0"/>
            </w:pPr>
            <w:r>
              <w:rPr>
                <w:rFonts w:ascii="Aptos" w:hAnsi="Aptos"/>
                <w:sz w:val="16"/>
              </w:rPr>
              <w:t>Hydrogen reserve recovery slow</w:t>
            </w:r>
          </w:p>
        </w:tc>
        <w:tc>
          <w:tcPr>
            <w:tcW w:type="dxa" w:w="4320"/>
            <w:tcMar>
              <w:top w:w="90" w:type="dxa"/>
              <w:start w:w="90" w:type="dxa"/>
              <w:bottom w:w="90" w:type="dxa"/>
              <w:end w:w="90" w:type="dxa"/>
            </w:tcMar>
            <w:vAlign w:val="top"/>
          </w:tcPr>
          <w:p>
            <w:pPr>
              <w:spacing w:after="0"/>
            </w:pPr>
            <w:r>
              <w:rPr>
                <w:rFonts w:ascii="Aptos" w:hAnsi="Aptos"/>
                <w:sz w:val="16"/>
              </w:rPr>
              <w:t>Limits refuge power endurance and export resumption.</w:t>
            </w:r>
          </w:p>
        </w:tc>
        <w:tc>
          <w:tcPr>
            <w:tcW w:type="dxa" w:w="5040"/>
            <w:tcMar>
              <w:top w:w="90" w:type="dxa"/>
              <w:start w:w="90" w:type="dxa"/>
              <w:bottom w:w="90" w:type="dxa"/>
              <w:end w:w="90" w:type="dxa"/>
            </w:tcMar>
            <w:vAlign w:val="top"/>
          </w:tcPr>
          <w:p>
            <w:pPr>
              <w:spacing w:after="0"/>
            </w:pPr>
            <w:r>
              <w:rPr>
                <w:rFonts w:ascii="Aptos" w:hAnsi="Aptos"/>
                <w:sz w:val="16"/>
              </w:rPr>
              <w:t>Protect hydrogen reserve, suspend exports below trigger thresholds, increase electrolysis allocation.</w:t>
            </w:r>
          </w:p>
        </w:tc>
      </w:tr>
      <w:tr>
        <w:tc>
          <w:tcPr>
            <w:tcW w:type="dxa" w:w="2880"/>
            <w:tcMar>
              <w:top w:w="90" w:type="dxa"/>
              <w:start w:w="90" w:type="dxa"/>
              <w:bottom w:w="90" w:type="dxa"/>
              <w:end w:w="90" w:type="dxa"/>
            </w:tcMar>
            <w:vAlign w:val="top"/>
          </w:tcPr>
          <w:p>
            <w:pPr>
              <w:spacing w:after="0"/>
            </w:pPr>
            <w:r>
              <w:rPr>
                <w:rFonts w:ascii="Aptos" w:hAnsi="Aptos"/>
                <w:sz w:val="16"/>
              </w:rPr>
              <w:t>Cryogenic storage loss</w:t>
            </w:r>
          </w:p>
        </w:tc>
        <w:tc>
          <w:tcPr>
            <w:tcW w:type="dxa" w:w="4320"/>
            <w:tcMar>
              <w:top w:w="90" w:type="dxa"/>
              <w:start w:w="90" w:type="dxa"/>
              <w:bottom w:w="90" w:type="dxa"/>
              <w:end w:w="90" w:type="dxa"/>
            </w:tcMar>
            <w:vAlign w:val="top"/>
          </w:tcPr>
          <w:p>
            <w:pPr>
              <w:spacing w:after="0"/>
            </w:pPr>
            <w:r>
              <w:rPr>
                <w:rFonts w:ascii="Aptos" w:hAnsi="Aptos"/>
                <w:sz w:val="16"/>
              </w:rPr>
              <w:t>Reduces export inventory and strategic reserves.</w:t>
            </w:r>
          </w:p>
        </w:tc>
        <w:tc>
          <w:tcPr>
            <w:tcW w:type="dxa" w:w="5040"/>
            <w:tcMar>
              <w:top w:w="90" w:type="dxa"/>
              <w:start w:w="90" w:type="dxa"/>
              <w:bottom w:w="90" w:type="dxa"/>
              <w:end w:w="90" w:type="dxa"/>
            </w:tcMar>
            <w:vAlign w:val="top"/>
          </w:tcPr>
          <w:p>
            <w:pPr>
              <w:spacing w:after="0"/>
            </w:pPr>
            <w:r>
              <w:rPr>
                <w:rFonts w:ascii="Aptos" w:hAnsi="Aptos"/>
                <w:sz w:val="16"/>
              </w:rPr>
              <w:t>Tank segmentation, boil off recovery, active monitoring, protected reserve categories.</w:t>
            </w:r>
          </w:p>
        </w:tc>
      </w:tr>
      <w:tr>
        <w:tc>
          <w:tcPr>
            <w:tcW w:type="dxa" w:w="2880"/>
            <w:tcMar>
              <w:top w:w="90" w:type="dxa"/>
              <w:start w:w="90" w:type="dxa"/>
              <w:bottom w:w="90" w:type="dxa"/>
              <w:end w:w="90" w:type="dxa"/>
            </w:tcMar>
            <w:vAlign w:val="top"/>
          </w:tcPr>
          <w:p>
            <w:pPr>
              <w:spacing w:after="0"/>
            </w:pPr>
            <w:r>
              <w:rPr>
                <w:rFonts w:ascii="Aptos" w:hAnsi="Aptos"/>
                <w:sz w:val="16"/>
              </w:rPr>
              <w:t>Evacuation transport unavailable</w:t>
            </w:r>
          </w:p>
        </w:tc>
        <w:tc>
          <w:tcPr>
            <w:tcW w:type="dxa" w:w="4320"/>
            <w:tcMar>
              <w:top w:w="90" w:type="dxa"/>
              <w:start w:w="90" w:type="dxa"/>
              <w:bottom w:w="90" w:type="dxa"/>
              <w:end w:w="90" w:type="dxa"/>
            </w:tcMar>
            <w:vAlign w:val="top"/>
          </w:tcPr>
          <w:p>
            <w:pPr>
              <w:spacing w:after="0"/>
            </w:pPr>
            <w:r>
              <w:rPr>
                <w:rFonts w:ascii="Aptos" w:hAnsi="Aptos"/>
                <w:sz w:val="16"/>
              </w:rPr>
              <w:t>Threatens 72 hour clearance requirement.</w:t>
            </w:r>
          </w:p>
        </w:tc>
        <w:tc>
          <w:tcPr>
            <w:tcW w:type="dxa" w:w="5040"/>
            <w:tcMar>
              <w:top w:w="90" w:type="dxa"/>
              <w:start w:w="90" w:type="dxa"/>
              <w:bottom w:w="90" w:type="dxa"/>
              <w:end w:w="90" w:type="dxa"/>
            </w:tcMar>
            <w:vAlign w:val="top"/>
          </w:tcPr>
          <w:p>
            <w:pPr>
              <w:spacing w:after="0"/>
            </w:pPr>
            <w:r>
              <w:rPr>
                <w:rFonts w:ascii="Aptos" w:hAnsi="Aptos"/>
                <w:sz w:val="16"/>
              </w:rPr>
              <w:t>Use mixed fleet, 26.7 percent seat margin, two embarkation zones, orbital reserve layer.</w:t>
            </w:r>
          </w:p>
        </w:tc>
      </w:tr>
      <w:tr>
        <w:tc>
          <w:tcPr>
            <w:tcW w:type="dxa" w:w="2880"/>
            <w:tcMar>
              <w:top w:w="90" w:type="dxa"/>
              <w:start w:w="90" w:type="dxa"/>
              <w:bottom w:w="90" w:type="dxa"/>
              <w:end w:w="90" w:type="dxa"/>
            </w:tcMar>
            <w:vAlign w:val="top"/>
          </w:tcPr>
          <w:p>
            <w:pPr>
              <w:spacing w:after="0"/>
            </w:pPr>
            <w:r>
              <w:rPr>
                <w:rFonts w:ascii="Aptos" w:hAnsi="Aptos"/>
                <w:sz w:val="16"/>
              </w:rPr>
              <w:t>Revenue demand slower than planned</w:t>
            </w:r>
          </w:p>
        </w:tc>
        <w:tc>
          <w:tcPr>
            <w:tcW w:type="dxa" w:w="4320"/>
            <w:tcMar>
              <w:top w:w="90" w:type="dxa"/>
              <w:start w:w="90" w:type="dxa"/>
              <w:bottom w:w="90" w:type="dxa"/>
              <w:end w:w="90" w:type="dxa"/>
            </w:tcMar>
            <w:vAlign w:val="top"/>
          </w:tcPr>
          <w:p>
            <w:pPr>
              <w:spacing w:after="0"/>
            </w:pPr>
            <w:r>
              <w:rPr>
                <w:rFonts w:ascii="Aptos" w:hAnsi="Aptos"/>
                <w:sz w:val="16"/>
              </w:rPr>
              <w:t>Delays operating break even and capital recovery.</w:t>
            </w:r>
          </w:p>
        </w:tc>
        <w:tc>
          <w:tcPr>
            <w:tcW w:type="dxa" w:w="5040"/>
            <w:tcMar>
              <w:top w:w="90" w:type="dxa"/>
              <w:start w:w="90" w:type="dxa"/>
              <w:bottom w:w="90" w:type="dxa"/>
              <w:end w:w="90" w:type="dxa"/>
            </w:tcMar>
            <w:vAlign w:val="top"/>
          </w:tcPr>
          <w:p>
            <w:pPr>
              <w:spacing w:after="0"/>
            </w:pPr>
            <w:r>
              <w:rPr>
                <w:rFonts w:ascii="Aptos" w:hAnsi="Aptos"/>
                <w:sz w:val="16"/>
              </w:rPr>
              <w:t>Secure availability contracts, offtake, tenancy, and government or partner cost share before full release.</w:t>
            </w:r>
          </w:p>
        </w:tc>
      </w:tr>
      <w:tr>
        <w:tc>
          <w:tcPr>
            <w:tcW w:type="dxa" w:w="2880"/>
            <w:tcMar>
              <w:top w:w="90" w:type="dxa"/>
              <w:start w:w="90" w:type="dxa"/>
              <w:bottom w:w="90" w:type="dxa"/>
              <w:end w:w="90" w:type="dxa"/>
            </w:tcMar>
            <w:vAlign w:val="top"/>
          </w:tcPr>
          <w:p>
            <w:pPr>
              <w:spacing w:after="0"/>
            </w:pPr>
            <w:r>
              <w:rPr>
                <w:rFonts w:ascii="Aptos" w:hAnsi="Aptos"/>
                <w:sz w:val="16"/>
              </w:rPr>
              <w:t>Cost growth</w:t>
            </w:r>
          </w:p>
        </w:tc>
        <w:tc>
          <w:tcPr>
            <w:tcW w:type="dxa" w:w="4320"/>
            <w:tcMar>
              <w:top w:w="90" w:type="dxa"/>
              <w:start w:w="90" w:type="dxa"/>
              <w:bottom w:w="90" w:type="dxa"/>
              <w:end w:w="90" w:type="dxa"/>
            </w:tcMar>
            <w:vAlign w:val="top"/>
          </w:tcPr>
          <w:p>
            <w:pPr>
              <w:spacing w:after="0"/>
            </w:pPr>
            <w:r>
              <w:rPr>
                <w:rFonts w:ascii="Aptos" w:hAnsi="Aptos"/>
                <w:sz w:val="16"/>
              </w:rPr>
              <w:t>Increases capital baseline and financing stress.</w:t>
            </w:r>
          </w:p>
        </w:tc>
        <w:tc>
          <w:tcPr>
            <w:tcW w:type="dxa" w:w="5040"/>
            <w:tcMar>
              <w:top w:w="90" w:type="dxa"/>
              <w:start w:w="90" w:type="dxa"/>
              <w:bottom w:w="90" w:type="dxa"/>
              <w:end w:w="90" w:type="dxa"/>
            </w:tcMar>
            <w:vAlign w:val="top"/>
          </w:tcPr>
          <w:p>
            <w:pPr>
              <w:spacing w:after="0"/>
            </w:pPr>
            <w:r>
              <w:rPr>
                <w:rFonts w:ascii="Aptos" w:hAnsi="Aptos"/>
                <w:sz w:val="16"/>
              </w:rPr>
              <w:t>Local material substitution, modular design, strict work package controls, staged funding gates.</w:t>
            </w:r>
          </w:p>
        </w:tc>
      </w:tr>
    </w:tbl>
    <w:p>
      <w:pPr>
        <w:spacing w:after="120"/>
      </w:pPr>
    </w:p>
    <w:p>
      <w:pPr>
        <w:pStyle w:val="Heading2"/>
        <w:spacing w:before="200" w:after="120"/>
      </w:pPr>
      <w:r>
        <w:rPr>
          <w:rFonts w:ascii="Aptos" w:hAnsi="Aptos"/>
          <w:b/>
          <w:sz w:val="24"/>
        </w:rPr>
        <w:t>13.2 Board decision gates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Gate</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Board decision</w:t>
            </w:r>
          </w:p>
        </w:tc>
        <w:tc>
          <w:tcPr>
            <w:tcW w:type="dxa" w:w="6912"/>
            <w:shd w:fill="D9EAF7"/>
            <w:tcMar>
              <w:top w:w="90" w:type="dxa"/>
              <w:start w:w="90" w:type="dxa"/>
              <w:bottom w:w="90" w:type="dxa"/>
              <w:end w:w="90" w:type="dxa"/>
            </w:tcMar>
            <w:vAlign w:val="top"/>
          </w:tcPr>
          <w:p>
            <w:pPr>
              <w:spacing w:after="0"/>
            </w:pPr>
            <w:r>
              <w:rPr>
                <w:rFonts w:ascii="Aptos" w:hAnsi="Aptos"/>
                <w:b/>
                <w:color w:val="FFFFFF"/>
                <w:sz w:val="16"/>
              </w:rPr>
              <w:t>Required evidence</w:t>
            </w:r>
          </w:p>
        </w:tc>
      </w:tr>
      <w:tr>
        <w:tc>
          <w:tcPr>
            <w:tcW w:type="dxa" w:w="1152"/>
            <w:tcMar>
              <w:top w:w="90" w:type="dxa"/>
              <w:start w:w="90" w:type="dxa"/>
              <w:bottom w:w="90" w:type="dxa"/>
              <w:end w:w="90" w:type="dxa"/>
            </w:tcMar>
            <w:vAlign w:val="top"/>
          </w:tcPr>
          <w:p>
            <w:pPr>
              <w:spacing w:after="0"/>
            </w:pPr>
            <w:r>
              <w:rPr>
                <w:rFonts w:ascii="Aptos" w:hAnsi="Aptos"/>
                <w:sz w:val="16"/>
              </w:rPr>
              <w:t>B0</w:t>
            </w:r>
          </w:p>
        </w:tc>
        <w:tc>
          <w:tcPr>
            <w:tcW w:type="dxa" w:w="3168"/>
            <w:tcMar>
              <w:top w:w="90" w:type="dxa"/>
              <w:start w:w="90" w:type="dxa"/>
              <w:bottom w:w="90" w:type="dxa"/>
              <w:end w:w="90" w:type="dxa"/>
            </w:tcMar>
            <w:vAlign w:val="top"/>
          </w:tcPr>
          <w:p>
            <w:pPr>
              <w:spacing w:after="0"/>
            </w:pPr>
            <w:r>
              <w:rPr>
                <w:rFonts w:ascii="Aptos" w:hAnsi="Aptos"/>
                <w:sz w:val="16"/>
              </w:rPr>
              <w:t>Program launch</w:t>
            </w:r>
          </w:p>
        </w:tc>
        <w:tc>
          <w:tcPr>
            <w:tcW w:type="dxa" w:w="6912"/>
            <w:tcMar>
              <w:top w:w="90" w:type="dxa"/>
              <w:start w:w="90" w:type="dxa"/>
              <w:bottom w:w="90" w:type="dxa"/>
              <w:end w:w="90" w:type="dxa"/>
            </w:tcMar>
            <w:vAlign w:val="top"/>
          </w:tcPr>
          <w:p>
            <w:pPr>
              <w:spacing w:after="0"/>
            </w:pPr>
            <w:r>
              <w:rPr>
                <w:rFonts w:ascii="Aptos" w:hAnsi="Aptos"/>
                <w:sz w:val="16"/>
              </w:rPr>
              <w:t>Charter, requirements, initial funding, risk register.</w:t>
            </w:r>
          </w:p>
        </w:tc>
      </w:tr>
      <w:tr>
        <w:tc>
          <w:tcPr>
            <w:tcW w:type="dxa" w:w="1152"/>
            <w:tcMar>
              <w:top w:w="90" w:type="dxa"/>
              <w:start w:w="90" w:type="dxa"/>
              <w:bottom w:w="90" w:type="dxa"/>
              <w:end w:w="90" w:type="dxa"/>
            </w:tcMar>
            <w:vAlign w:val="top"/>
          </w:tcPr>
          <w:p>
            <w:pPr>
              <w:spacing w:after="0"/>
            </w:pPr>
            <w:r>
              <w:rPr>
                <w:rFonts w:ascii="Aptos" w:hAnsi="Aptos"/>
                <w:sz w:val="16"/>
              </w:rPr>
              <w:t>B1</w:t>
            </w:r>
          </w:p>
        </w:tc>
        <w:tc>
          <w:tcPr>
            <w:tcW w:type="dxa" w:w="3168"/>
            <w:tcMar>
              <w:top w:w="90" w:type="dxa"/>
              <w:start w:w="90" w:type="dxa"/>
              <w:bottom w:w="90" w:type="dxa"/>
              <w:end w:w="90" w:type="dxa"/>
            </w:tcMar>
            <w:vAlign w:val="top"/>
          </w:tcPr>
          <w:p>
            <w:pPr>
              <w:spacing w:after="0"/>
            </w:pPr>
            <w:r>
              <w:rPr>
                <w:rFonts w:ascii="Aptos" w:hAnsi="Aptos"/>
                <w:sz w:val="16"/>
              </w:rPr>
              <w:t>Site confirmation</w:t>
            </w:r>
          </w:p>
        </w:tc>
        <w:tc>
          <w:tcPr>
            <w:tcW w:type="dxa" w:w="6912"/>
            <w:tcMar>
              <w:top w:w="90" w:type="dxa"/>
              <w:start w:w="90" w:type="dxa"/>
              <w:bottom w:w="90" w:type="dxa"/>
              <w:end w:w="90" w:type="dxa"/>
            </w:tcMar>
            <w:vAlign w:val="top"/>
          </w:tcPr>
          <w:p>
            <w:pPr>
              <w:spacing w:after="0"/>
            </w:pPr>
            <w:r>
              <w:rPr>
                <w:rFonts w:ascii="Aptos" w:hAnsi="Aptos"/>
                <w:sz w:val="16"/>
              </w:rPr>
              <w:t>Geotechnical model, volatile confirmation, district freeze.</w:t>
            </w:r>
          </w:p>
        </w:tc>
      </w:tr>
      <w:tr>
        <w:tc>
          <w:tcPr>
            <w:tcW w:type="dxa" w:w="1152"/>
            <w:tcMar>
              <w:top w:w="90" w:type="dxa"/>
              <w:start w:w="90" w:type="dxa"/>
              <w:bottom w:w="90" w:type="dxa"/>
              <w:end w:w="90" w:type="dxa"/>
            </w:tcMar>
            <w:vAlign w:val="top"/>
          </w:tcPr>
          <w:p>
            <w:pPr>
              <w:spacing w:after="0"/>
            </w:pPr>
            <w:r>
              <w:rPr>
                <w:rFonts w:ascii="Aptos" w:hAnsi="Aptos"/>
                <w:sz w:val="16"/>
              </w:rPr>
              <w:t>B2</w:t>
            </w:r>
          </w:p>
        </w:tc>
        <w:tc>
          <w:tcPr>
            <w:tcW w:type="dxa" w:w="3168"/>
            <w:tcMar>
              <w:top w:w="90" w:type="dxa"/>
              <w:start w:w="90" w:type="dxa"/>
              <w:bottom w:w="90" w:type="dxa"/>
              <w:end w:w="90" w:type="dxa"/>
            </w:tcMar>
            <w:vAlign w:val="top"/>
          </w:tcPr>
          <w:p>
            <w:pPr>
              <w:spacing w:after="0"/>
            </w:pPr>
            <w:r>
              <w:rPr>
                <w:rFonts w:ascii="Aptos" w:hAnsi="Aptos"/>
                <w:sz w:val="16"/>
              </w:rPr>
              <w:t>Dependable infrastructure</w:t>
            </w:r>
          </w:p>
        </w:tc>
        <w:tc>
          <w:tcPr>
            <w:tcW w:type="dxa" w:w="6912"/>
            <w:tcMar>
              <w:top w:w="90" w:type="dxa"/>
              <w:start w:w="90" w:type="dxa"/>
              <w:bottom w:w="90" w:type="dxa"/>
              <w:end w:w="90" w:type="dxa"/>
            </w:tcMar>
            <w:vAlign w:val="top"/>
          </w:tcPr>
          <w:p>
            <w:pPr>
              <w:spacing w:after="0"/>
            </w:pPr>
            <w:r>
              <w:rPr>
                <w:rFonts w:ascii="Aptos" w:hAnsi="Aptos"/>
                <w:sz w:val="16"/>
              </w:rPr>
              <w:t>Landing pad, construction microgrid, site logistics stability.</w:t>
            </w:r>
          </w:p>
        </w:tc>
      </w:tr>
      <w:tr>
        <w:tc>
          <w:tcPr>
            <w:tcW w:type="dxa" w:w="1152"/>
            <w:tcMar>
              <w:top w:w="90" w:type="dxa"/>
              <w:start w:w="90" w:type="dxa"/>
              <w:bottom w:w="90" w:type="dxa"/>
              <w:end w:w="90" w:type="dxa"/>
            </w:tcMar>
            <w:vAlign w:val="top"/>
          </w:tcPr>
          <w:p>
            <w:pPr>
              <w:spacing w:after="0"/>
            </w:pPr>
            <w:r>
              <w:rPr>
                <w:rFonts w:ascii="Aptos" w:hAnsi="Aptos"/>
                <w:sz w:val="16"/>
              </w:rPr>
              <w:t>B3</w:t>
            </w:r>
          </w:p>
        </w:tc>
        <w:tc>
          <w:tcPr>
            <w:tcW w:type="dxa" w:w="3168"/>
            <w:tcMar>
              <w:top w:w="90" w:type="dxa"/>
              <w:start w:w="90" w:type="dxa"/>
              <w:bottom w:w="90" w:type="dxa"/>
              <w:end w:w="90" w:type="dxa"/>
            </w:tcMar>
            <w:vAlign w:val="top"/>
          </w:tcPr>
          <w:p>
            <w:pPr>
              <w:spacing w:after="0"/>
            </w:pPr>
            <w:r>
              <w:rPr>
                <w:rFonts w:ascii="Aptos" w:hAnsi="Aptos"/>
                <w:sz w:val="16"/>
              </w:rPr>
              <w:t>Deep excavation</w:t>
            </w:r>
          </w:p>
        </w:tc>
        <w:tc>
          <w:tcPr>
            <w:tcW w:type="dxa" w:w="6912"/>
            <w:tcMar>
              <w:top w:w="90" w:type="dxa"/>
              <w:start w:w="90" w:type="dxa"/>
              <w:bottom w:w="90" w:type="dxa"/>
              <w:end w:w="90" w:type="dxa"/>
            </w:tcMar>
            <w:vAlign w:val="top"/>
          </w:tcPr>
          <w:p>
            <w:pPr>
              <w:spacing w:after="0"/>
            </w:pPr>
            <w:r>
              <w:rPr>
                <w:rFonts w:ascii="Aptos" w:hAnsi="Aptos"/>
                <w:sz w:val="16"/>
              </w:rPr>
              <w:t>Power island, switchyard, black start, utility corridor progress.</w:t>
            </w:r>
          </w:p>
        </w:tc>
      </w:tr>
      <w:tr>
        <w:tc>
          <w:tcPr>
            <w:tcW w:type="dxa" w:w="1152"/>
            <w:tcMar>
              <w:top w:w="90" w:type="dxa"/>
              <w:start w:w="90" w:type="dxa"/>
              <w:bottom w:w="90" w:type="dxa"/>
              <w:end w:w="90" w:type="dxa"/>
            </w:tcMar>
            <w:vAlign w:val="top"/>
          </w:tcPr>
          <w:p>
            <w:pPr>
              <w:spacing w:after="0"/>
            </w:pPr>
            <w:r>
              <w:rPr>
                <w:rFonts w:ascii="Aptos" w:hAnsi="Aptos"/>
                <w:sz w:val="16"/>
              </w:rPr>
              <w:t>B4</w:t>
            </w:r>
          </w:p>
        </w:tc>
        <w:tc>
          <w:tcPr>
            <w:tcW w:type="dxa" w:w="3168"/>
            <w:tcMar>
              <w:top w:w="90" w:type="dxa"/>
              <w:start w:w="90" w:type="dxa"/>
              <w:bottom w:w="90" w:type="dxa"/>
              <w:end w:w="90" w:type="dxa"/>
            </w:tcMar>
            <w:vAlign w:val="top"/>
          </w:tcPr>
          <w:p>
            <w:pPr>
              <w:spacing w:after="0"/>
            </w:pPr>
            <w:r>
              <w:rPr>
                <w:rFonts w:ascii="Aptos" w:hAnsi="Aptos"/>
                <w:sz w:val="16"/>
              </w:rPr>
              <w:t>Protected occupancy</w:t>
            </w:r>
          </w:p>
        </w:tc>
        <w:tc>
          <w:tcPr>
            <w:tcW w:type="dxa" w:w="6912"/>
            <w:tcMar>
              <w:top w:w="90" w:type="dxa"/>
              <w:start w:w="90" w:type="dxa"/>
              <w:bottom w:w="90" w:type="dxa"/>
              <w:end w:w="90" w:type="dxa"/>
            </w:tcMar>
            <w:vAlign w:val="top"/>
          </w:tcPr>
          <w:p>
            <w:pPr>
              <w:spacing w:after="0"/>
            </w:pPr>
            <w:r>
              <w:rPr>
                <w:rFonts w:ascii="Aptos" w:hAnsi="Aptos"/>
                <w:sz w:val="16"/>
              </w:rPr>
              <w:t>Underground shell, R1, pressure integrity, early life support.</w:t>
            </w:r>
          </w:p>
        </w:tc>
      </w:tr>
      <w:tr>
        <w:tc>
          <w:tcPr>
            <w:tcW w:type="dxa" w:w="1152"/>
            <w:tcMar>
              <w:top w:w="90" w:type="dxa"/>
              <w:start w:w="90" w:type="dxa"/>
              <w:bottom w:w="90" w:type="dxa"/>
              <w:end w:w="90" w:type="dxa"/>
            </w:tcMar>
            <w:vAlign w:val="top"/>
          </w:tcPr>
          <w:p>
            <w:pPr>
              <w:spacing w:after="0"/>
            </w:pPr>
            <w:r>
              <w:rPr>
                <w:rFonts w:ascii="Aptos" w:hAnsi="Aptos"/>
                <w:sz w:val="16"/>
              </w:rPr>
              <w:t>B5</w:t>
            </w:r>
          </w:p>
        </w:tc>
        <w:tc>
          <w:tcPr>
            <w:tcW w:type="dxa" w:w="3168"/>
            <w:tcMar>
              <w:top w:w="90" w:type="dxa"/>
              <w:start w:w="90" w:type="dxa"/>
              <w:bottom w:w="90" w:type="dxa"/>
              <w:end w:w="90" w:type="dxa"/>
            </w:tcMar>
            <w:vAlign w:val="top"/>
          </w:tcPr>
          <w:p>
            <w:pPr>
              <w:spacing w:after="0"/>
            </w:pPr>
            <w:r>
              <w:rPr>
                <w:rFonts w:ascii="Aptos" w:hAnsi="Aptos"/>
                <w:sz w:val="16"/>
              </w:rPr>
              <w:t>500 occupancy</w:t>
            </w:r>
          </w:p>
        </w:tc>
        <w:tc>
          <w:tcPr>
            <w:tcW w:type="dxa" w:w="6912"/>
            <w:tcMar>
              <w:top w:w="90" w:type="dxa"/>
              <w:start w:w="90" w:type="dxa"/>
              <w:bottom w:w="90" w:type="dxa"/>
              <w:end w:w="90" w:type="dxa"/>
            </w:tcMar>
            <w:vAlign w:val="top"/>
          </w:tcPr>
          <w:p>
            <w:pPr>
              <w:spacing w:after="0"/>
            </w:pPr>
            <w:r>
              <w:rPr>
                <w:rFonts w:ascii="Aptos" w:hAnsi="Aptos"/>
                <w:sz w:val="16"/>
              </w:rPr>
              <w:t>R1, R2, command, medical, life support, first embarkation path.</w:t>
            </w:r>
          </w:p>
        </w:tc>
      </w:tr>
      <w:tr>
        <w:tc>
          <w:tcPr>
            <w:tcW w:type="dxa" w:w="1152"/>
            <w:tcMar>
              <w:top w:w="90" w:type="dxa"/>
              <w:start w:w="90" w:type="dxa"/>
              <w:bottom w:w="90" w:type="dxa"/>
              <w:end w:w="90" w:type="dxa"/>
            </w:tcMar>
            <w:vAlign w:val="top"/>
          </w:tcPr>
          <w:p>
            <w:pPr>
              <w:spacing w:after="0"/>
            </w:pPr>
            <w:r>
              <w:rPr>
                <w:rFonts w:ascii="Aptos" w:hAnsi="Aptos"/>
                <w:sz w:val="16"/>
              </w:rPr>
              <w:t>B6</w:t>
            </w:r>
          </w:p>
        </w:tc>
        <w:tc>
          <w:tcPr>
            <w:tcW w:type="dxa" w:w="3168"/>
            <w:tcMar>
              <w:top w:w="90" w:type="dxa"/>
              <w:start w:w="90" w:type="dxa"/>
              <w:bottom w:w="90" w:type="dxa"/>
              <w:end w:w="90" w:type="dxa"/>
            </w:tcMar>
            <w:vAlign w:val="top"/>
          </w:tcPr>
          <w:p>
            <w:pPr>
              <w:spacing w:after="0"/>
            </w:pPr>
            <w:r>
              <w:rPr>
                <w:rFonts w:ascii="Aptos" w:hAnsi="Aptos"/>
                <w:sz w:val="16"/>
              </w:rPr>
              <w:t>Industrial reserve build</w:t>
            </w:r>
          </w:p>
        </w:tc>
        <w:tc>
          <w:tcPr>
            <w:tcW w:type="dxa" w:w="6912"/>
            <w:tcMar>
              <w:top w:w="90" w:type="dxa"/>
              <w:start w:w="90" w:type="dxa"/>
              <w:bottom w:w="90" w:type="dxa"/>
              <w:end w:w="90" w:type="dxa"/>
            </w:tcMar>
            <w:vAlign w:val="top"/>
          </w:tcPr>
          <w:p>
            <w:pPr>
              <w:spacing w:after="0"/>
            </w:pPr>
            <w:r>
              <w:rPr>
                <w:rFonts w:ascii="Aptos" w:hAnsi="Aptos"/>
                <w:sz w:val="16"/>
              </w:rPr>
              <w:t>Water and oxygen production, protected reserves green.</w:t>
            </w:r>
          </w:p>
        </w:tc>
      </w:tr>
      <w:tr>
        <w:tc>
          <w:tcPr>
            <w:tcW w:type="dxa" w:w="1152"/>
            <w:tcMar>
              <w:top w:w="90" w:type="dxa"/>
              <w:start w:w="90" w:type="dxa"/>
              <w:bottom w:w="90" w:type="dxa"/>
              <w:end w:w="90" w:type="dxa"/>
            </w:tcMar>
            <w:vAlign w:val="top"/>
          </w:tcPr>
          <w:p>
            <w:pPr>
              <w:spacing w:after="0"/>
            </w:pPr>
            <w:r>
              <w:rPr>
                <w:rFonts w:ascii="Aptos" w:hAnsi="Aptos"/>
                <w:sz w:val="16"/>
              </w:rPr>
              <w:t>B7</w:t>
            </w:r>
          </w:p>
        </w:tc>
        <w:tc>
          <w:tcPr>
            <w:tcW w:type="dxa" w:w="3168"/>
            <w:tcMar>
              <w:top w:w="90" w:type="dxa"/>
              <w:start w:w="90" w:type="dxa"/>
              <w:bottom w:w="90" w:type="dxa"/>
              <w:end w:w="90" w:type="dxa"/>
            </w:tcMar>
            <w:vAlign w:val="top"/>
          </w:tcPr>
          <w:p>
            <w:pPr>
              <w:spacing w:after="0"/>
            </w:pPr>
            <w:r>
              <w:rPr>
                <w:rFonts w:ascii="Aptos" w:hAnsi="Aptos"/>
                <w:sz w:val="16"/>
              </w:rPr>
              <w:t>1000 occupancy review</w:t>
            </w:r>
          </w:p>
        </w:tc>
        <w:tc>
          <w:tcPr>
            <w:tcW w:type="dxa" w:w="6912"/>
            <w:tcMar>
              <w:top w:w="90" w:type="dxa"/>
              <w:start w:w="90" w:type="dxa"/>
              <w:bottom w:w="90" w:type="dxa"/>
              <w:end w:w="90" w:type="dxa"/>
            </w:tcMar>
            <w:vAlign w:val="top"/>
          </w:tcPr>
          <w:p>
            <w:pPr>
              <w:spacing w:after="0"/>
            </w:pPr>
            <w:r>
              <w:rPr>
                <w:rFonts w:ascii="Aptos" w:hAnsi="Aptos"/>
                <w:sz w:val="16"/>
              </w:rPr>
              <w:t>R1 through R4, both spines, both embarkation zones, cryogenic reserve support.</w:t>
            </w:r>
          </w:p>
        </w:tc>
      </w:tr>
      <w:tr>
        <w:tc>
          <w:tcPr>
            <w:tcW w:type="dxa" w:w="1152"/>
            <w:tcMar>
              <w:top w:w="90" w:type="dxa"/>
              <w:start w:w="90" w:type="dxa"/>
              <w:bottom w:w="90" w:type="dxa"/>
              <w:end w:w="90" w:type="dxa"/>
            </w:tcMar>
            <w:vAlign w:val="top"/>
          </w:tcPr>
          <w:p>
            <w:pPr>
              <w:spacing w:after="0"/>
            </w:pPr>
            <w:r>
              <w:rPr>
                <w:rFonts w:ascii="Aptos" w:hAnsi="Aptos"/>
                <w:sz w:val="16"/>
              </w:rPr>
              <w:t>B8</w:t>
            </w:r>
          </w:p>
        </w:tc>
        <w:tc>
          <w:tcPr>
            <w:tcW w:type="dxa" w:w="3168"/>
            <w:tcMar>
              <w:top w:w="90" w:type="dxa"/>
              <w:start w:w="90" w:type="dxa"/>
              <w:bottom w:w="90" w:type="dxa"/>
              <w:end w:w="90" w:type="dxa"/>
            </w:tcMar>
            <w:vAlign w:val="top"/>
          </w:tcPr>
          <w:p>
            <w:pPr>
              <w:spacing w:after="0"/>
            </w:pPr>
            <w:r>
              <w:rPr>
                <w:rFonts w:ascii="Aptos" w:hAnsi="Aptos"/>
                <w:sz w:val="16"/>
              </w:rPr>
              <w:t>Mature operations</w:t>
            </w:r>
          </w:p>
        </w:tc>
        <w:tc>
          <w:tcPr>
            <w:tcW w:type="dxa" w:w="6912"/>
            <w:tcMar>
              <w:top w:w="90" w:type="dxa"/>
              <w:start w:w="90" w:type="dxa"/>
              <w:bottom w:w="90" w:type="dxa"/>
              <w:end w:w="90" w:type="dxa"/>
            </w:tcMar>
            <w:vAlign w:val="top"/>
          </w:tcPr>
          <w:p>
            <w:pPr>
              <w:spacing w:after="0"/>
            </w:pPr>
            <w:r>
              <w:rPr>
                <w:rFonts w:ascii="Aptos" w:hAnsi="Aptos"/>
                <w:sz w:val="16"/>
              </w:rPr>
              <w:t>Integrated endurance test and 72 hour evacuation certification.</w:t>
            </w:r>
          </w:p>
        </w:tc>
      </w:tr>
    </w:tbl>
    <w:p>
      <w:pPr>
        <w:spacing w:after="120"/>
      </w:pPr>
    </w:p>
    <w:p>
      <w:pPr>
        <w:pStyle w:val="Heading2"/>
        <w:spacing w:before="200" w:after="120"/>
      </w:pPr>
      <w:r>
        <w:rPr>
          <w:rFonts w:ascii="Aptos" w:hAnsi="Aptos"/>
          <w:b/>
          <w:sz w:val="24"/>
        </w:rPr>
        <w:t>13.3 Immediate next design actions</w:t>
      </w:r>
    </w:p>
    <w:p>
      <w:pPr>
        <w:pStyle w:val="ListNumber"/>
      </w:pPr>
      <w:r>
        <w:rPr>
          <w:rFonts w:ascii="Aptos" w:hAnsi="Aptos"/>
        </w:rPr>
        <w:t>Freeze district boundaries, standoff distances, shaft endpoints, utility corridors, and embarkation zone sites.</w:t>
      </w:r>
    </w:p>
    <w:p>
      <w:pPr>
        <w:pStyle w:val="ListNumber"/>
      </w:pPr>
      <w:r>
        <w:rPr>
          <w:rFonts w:ascii="Aptos" w:hAnsi="Aptos"/>
        </w:rPr>
        <w:t>Develop the electrical stability study for dual ring HVDC operation and refuge islanding.</w:t>
      </w:r>
    </w:p>
    <w:p>
      <w:pPr>
        <w:pStyle w:val="ListNumber"/>
      </w:pPr>
      <w:r>
        <w:rPr>
          <w:rFonts w:ascii="Aptos" w:hAnsi="Aptos"/>
        </w:rPr>
        <w:t>Build the water, oxygen, hydrogen, and emergency power mass balance model at equipment level.</w:t>
      </w:r>
    </w:p>
    <w:p>
      <w:pPr>
        <w:pStyle w:val="ListNumber"/>
      </w:pPr>
      <w:r>
        <w:rPr>
          <w:rFonts w:ascii="Aptos" w:hAnsi="Aptos"/>
        </w:rPr>
        <w:t>Translate the facility matrix into schematic CAD blocking and adjacency drawings.</w:t>
      </w:r>
    </w:p>
    <w:p>
      <w:pPr>
        <w:pStyle w:val="ListNumber"/>
      </w:pPr>
      <w:r>
        <w:rPr>
          <w:rFonts w:ascii="Aptos" w:hAnsi="Aptos"/>
        </w:rPr>
        <w:t>Generate a detailed procurement package for long lead power, pressure shell, life support, electrolysis, cryogenic, and medical systems.</w:t>
      </w:r>
    </w:p>
    <w:p>
      <w:pPr>
        <w:pStyle w:val="ListNumber"/>
      </w:pPr>
      <w:r>
        <w:rPr>
          <w:rFonts w:ascii="Aptos" w:hAnsi="Aptos"/>
        </w:rPr>
        <w:t>Build the updated XLSX program model linking capital, schedule, production, reserves, revenue, and financing gates.</w:t>
      </w:r>
    </w:p>
    <w:p>
      <w:pPr>
        <w:pStyle w:val="ListNumber"/>
      </w:pPr>
      <w:r>
        <w:rPr>
          <w:rFonts w:ascii="Aptos" w:hAnsi="Aptos"/>
        </w:rPr>
        <w:t>Prepare board investment decision memo for Funding Gate F1.</w:t>
      </w:r>
    </w:p>
    <w:p>
      <w:pPr>
        <w:spacing w:after="120"/>
        <w:jc w:val="center"/>
      </w:pPr>
      <w:r>
        <w:rPr>
          <w:rFonts w:ascii="Aptos" w:hAnsi="Aptos"/>
          <w:b/>
          <w:sz w:val="21"/>
        </w:rPr>
        <w:t xml:space="preserve">Rev 2.6 financing update note: </w:t>
      </w:r>
      <w:r>
        <w:rPr>
          <w:rFonts w:ascii="Aptos" w:hAnsi="Aptos"/>
          <w:b/>
          <w:sz w:val="21"/>
        </w:rPr>
        <w:t>Before Funding Gate F3, convert the Section 16 capital stack into binding term sheets, cost share letters, and preliminary offtake or availability agreements. Full build authorization should remain conditional on the commercial approval conditions in Sections 12, 15, and 16.</w:t>
      </w:r>
    </w:p>
    <w:p>
      <w:pPr>
        <w:pStyle w:val="Heading1"/>
        <w:spacing w:before="200" w:after="120"/>
      </w:pPr>
      <w:r>
        <w:rPr>
          <w:rFonts w:ascii="Aptos" w:hAnsi="Aptos"/>
          <w:b/>
          <w:sz w:val="28"/>
        </w:rPr>
        <w:t>14. Reference Basis</w:t>
      </w:r>
    </w:p>
    <w:p>
      <w:pPr>
        <w:spacing w:after="120"/>
      </w:pPr>
      <w:r>
        <w:rPr>
          <w:rFonts w:ascii="Aptos" w:hAnsi="Aptos"/>
          <w:sz w:val="21"/>
        </w:rPr>
        <w:t>The following sources were used to refresh the technical and market context. Detailed design values in this master document remain concept engineering estimates and require Phase A or equivalent engineering validation.</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4320"/>
            <w:shd w:fill="D9EAF7"/>
            <w:tcMar>
              <w:top w:w="90" w:type="dxa"/>
              <w:start w:w="90" w:type="dxa"/>
              <w:bottom w:w="90" w:type="dxa"/>
              <w:end w:w="90" w:type="dxa"/>
            </w:tcMar>
            <w:vAlign w:val="top"/>
          </w:tcPr>
          <w:p>
            <w:pPr>
              <w:spacing w:after="0"/>
            </w:pPr>
            <w:r>
              <w:rPr>
                <w:rFonts w:ascii="Aptos" w:hAnsi="Aptos"/>
                <w:b/>
                <w:color w:val="FFFFFF"/>
                <w:sz w:val="16"/>
              </w:rPr>
              <w:t>Source</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Use in master baseline</w:t>
            </w:r>
          </w:p>
        </w:tc>
      </w:tr>
      <w:tr>
        <w:tc>
          <w:tcPr>
            <w:tcW w:type="dxa" w:w="4320"/>
            <w:tcMar>
              <w:top w:w="90" w:type="dxa"/>
              <w:start w:w="90" w:type="dxa"/>
              <w:bottom w:w="90" w:type="dxa"/>
              <w:end w:w="90" w:type="dxa"/>
            </w:tcMar>
            <w:vAlign w:val="top"/>
          </w:tcPr>
          <w:p>
            <w:pPr>
              <w:spacing w:after="0"/>
            </w:pPr>
            <w:r>
              <w:rPr>
                <w:rFonts w:ascii="Aptos" w:hAnsi="Aptos"/>
                <w:sz w:val="16"/>
              </w:rPr>
              <w:t>NASA Moon Water and Ices</w:t>
            </w:r>
          </w:p>
        </w:tc>
        <w:tc>
          <w:tcPr>
            <w:tcW w:type="dxa" w:w="6480"/>
            <w:tcMar>
              <w:top w:w="90" w:type="dxa"/>
              <w:start w:w="90" w:type="dxa"/>
              <w:bottom w:w="90" w:type="dxa"/>
              <w:end w:w="90" w:type="dxa"/>
            </w:tcMar>
            <w:vAlign w:val="top"/>
          </w:tcPr>
          <w:p>
            <w:pPr>
              <w:spacing w:after="0"/>
            </w:pPr>
            <w:r>
              <w:rPr>
                <w:rFonts w:ascii="Aptos" w:hAnsi="Aptos"/>
                <w:sz w:val="16"/>
              </w:rPr>
              <w:t>Reference for lunar water, permanently shadowed regions, and Shackleton crater context.</w:t>
            </w:r>
          </w:p>
        </w:tc>
      </w:tr>
      <w:tr>
        <w:tc>
          <w:tcPr>
            <w:tcW w:type="dxa" w:w="4320"/>
            <w:tcMar>
              <w:top w:w="90" w:type="dxa"/>
              <w:start w:w="90" w:type="dxa"/>
              <w:bottom w:w="90" w:type="dxa"/>
              <w:end w:w="90" w:type="dxa"/>
            </w:tcMar>
            <w:vAlign w:val="top"/>
          </w:tcPr>
          <w:p>
            <w:pPr>
              <w:spacing w:after="0"/>
            </w:pPr>
            <w:r>
              <w:rPr>
                <w:rFonts w:ascii="Aptos" w:hAnsi="Aptos"/>
                <w:sz w:val="16"/>
              </w:rPr>
              <w:t>NASA Shackleton Crater Illuminated Rim and Shadowed Interior</w:t>
            </w:r>
          </w:p>
        </w:tc>
        <w:tc>
          <w:tcPr>
            <w:tcW w:type="dxa" w:w="6480"/>
            <w:tcMar>
              <w:top w:w="90" w:type="dxa"/>
              <w:start w:w="90" w:type="dxa"/>
              <w:bottom w:w="90" w:type="dxa"/>
              <w:end w:w="90" w:type="dxa"/>
            </w:tcMar>
            <w:vAlign w:val="top"/>
          </w:tcPr>
          <w:p>
            <w:pPr>
              <w:spacing w:after="0"/>
            </w:pPr>
            <w:r>
              <w:rPr>
                <w:rFonts w:ascii="Aptos" w:hAnsi="Aptos"/>
                <w:sz w:val="16"/>
              </w:rPr>
              <w:t>Reference for south pole illumination, base camp relevance, and communication geometry.</w:t>
            </w:r>
          </w:p>
        </w:tc>
      </w:tr>
      <w:tr>
        <w:tc>
          <w:tcPr>
            <w:tcW w:type="dxa" w:w="4320"/>
            <w:tcMar>
              <w:top w:w="90" w:type="dxa"/>
              <w:start w:w="90" w:type="dxa"/>
              <w:bottom w:w="90" w:type="dxa"/>
              <w:end w:w="90" w:type="dxa"/>
            </w:tcMar>
            <w:vAlign w:val="top"/>
          </w:tcPr>
          <w:p>
            <w:pPr>
              <w:spacing w:after="0"/>
            </w:pPr>
            <w:r>
              <w:rPr>
                <w:rFonts w:ascii="Aptos" w:hAnsi="Aptos"/>
                <w:sz w:val="16"/>
              </w:rPr>
              <w:t>NASA Moon to Mars Architecture</w:t>
            </w:r>
          </w:p>
        </w:tc>
        <w:tc>
          <w:tcPr>
            <w:tcW w:type="dxa" w:w="6480"/>
            <w:tcMar>
              <w:top w:w="90" w:type="dxa"/>
              <w:start w:w="90" w:type="dxa"/>
              <w:bottom w:w="90" w:type="dxa"/>
              <w:end w:w="90" w:type="dxa"/>
            </w:tcMar>
            <w:vAlign w:val="top"/>
          </w:tcPr>
          <w:p>
            <w:pPr>
              <w:spacing w:after="0"/>
            </w:pPr>
            <w:r>
              <w:rPr>
                <w:rFonts w:ascii="Aptos" w:hAnsi="Aptos"/>
                <w:sz w:val="16"/>
              </w:rPr>
              <w:t>Reference for long duration human exploration architecture and capability framing.</w:t>
            </w:r>
          </w:p>
        </w:tc>
      </w:tr>
      <w:tr>
        <w:tc>
          <w:tcPr>
            <w:tcW w:type="dxa" w:w="4320"/>
            <w:tcMar>
              <w:top w:w="90" w:type="dxa"/>
              <w:start w:w="90" w:type="dxa"/>
              <w:bottom w:w="90" w:type="dxa"/>
              <w:end w:w="90" w:type="dxa"/>
            </w:tcMar>
            <w:vAlign w:val="top"/>
          </w:tcPr>
          <w:p>
            <w:pPr>
              <w:spacing w:after="0"/>
            </w:pPr>
            <w:r>
              <w:rPr>
                <w:rFonts w:ascii="Aptos" w:hAnsi="Aptos"/>
                <w:sz w:val="16"/>
              </w:rPr>
              <w:t>NASA 2025 Architecture Update</w:t>
            </w:r>
          </w:p>
        </w:tc>
        <w:tc>
          <w:tcPr>
            <w:tcW w:type="dxa" w:w="6480"/>
            <w:tcMar>
              <w:top w:w="90" w:type="dxa"/>
              <w:start w:w="90" w:type="dxa"/>
              <w:bottom w:w="90" w:type="dxa"/>
              <w:end w:w="90" w:type="dxa"/>
            </w:tcMar>
            <w:vAlign w:val="top"/>
          </w:tcPr>
          <w:p>
            <w:pPr>
              <w:spacing w:after="0"/>
            </w:pPr>
            <w:r>
              <w:rPr>
                <w:rFonts w:ascii="Aptos" w:hAnsi="Aptos"/>
                <w:sz w:val="16"/>
              </w:rPr>
              <w:t>Reference for lunar exploration element evolution, including surface infrastructure and fission power context.</w:t>
            </w:r>
          </w:p>
        </w:tc>
      </w:tr>
      <w:tr>
        <w:tc>
          <w:tcPr>
            <w:tcW w:type="dxa" w:w="4320"/>
            <w:tcMar>
              <w:top w:w="90" w:type="dxa"/>
              <w:start w:w="90" w:type="dxa"/>
              <w:bottom w:w="90" w:type="dxa"/>
              <w:end w:w="90" w:type="dxa"/>
            </w:tcMar>
            <w:vAlign w:val="top"/>
          </w:tcPr>
          <w:p>
            <w:pPr>
              <w:spacing w:after="0"/>
            </w:pPr>
            <w:r>
              <w:rPr>
                <w:rFonts w:ascii="Aptos" w:hAnsi="Aptos"/>
                <w:sz w:val="16"/>
              </w:rPr>
              <w:t>NASA Lunar Surface Innovation Initiative ISRU overview</w:t>
            </w:r>
          </w:p>
        </w:tc>
        <w:tc>
          <w:tcPr>
            <w:tcW w:type="dxa" w:w="6480"/>
            <w:tcMar>
              <w:top w:w="90" w:type="dxa"/>
              <w:start w:w="90" w:type="dxa"/>
              <w:bottom w:w="90" w:type="dxa"/>
              <w:end w:w="90" w:type="dxa"/>
            </w:tcMar>
            <w:vAlign w:val="top"/>
          </w:tcPr>
          <w:p>
            <w:pPr>
              <w:spacing w:after="0"/>
            </w:pPr>
            <w:r>
              <w:rPr>
                <w:rFonts w:ascii="Aptos" w:hAnsi="Aptos"/>
                <w:sz w:val="16"/>
              </w:rPr>
              <w:t>Reference for ISRU goals involving water, fuel, oxygen, construction materials, excavation, and lunar structures.</w:t>
            </w:r>
          </w:p>
        </w:tc>
      </w:tr>
      <w:tr>
        <w:tc>
          <w:tcPr>
            <w:tcW w:type="dxa" w:w="4320"/>
            <w:tcMar>
              <w:top w:w="90" w:type="dxa"/>
              <w:start w:w="90" w:type="dxa"/>
              <w:bottom w:w="90" w:type="dxa"/>
              <w:end w:w="90" w:type="dxa"/>
            </w:tcMar>
            <w:vAlign w:val="top"/>
          </w:tcPr>
          <w:p>
            <w:pPr>
              <w:spacing w:after="0"/>
            </w:pPr>
            <w:r>
              <w:rPr>
                <w:rFonts w:ascii="Aptos" w:hAnsi="Aptos"/>
                <w:sz w:val="16"/>
              </w:rPr>
              <w:t>NASA JSC ISRU overview</w:t>
            </w:r>
          </w:p>
        </w:tc>
        <w:tc>
          <w:tcPr>
            <w:tcW w:type="dxa" w:w="6480"/>
            <w:tcMar>
              <w:top w:w="90" w:type="dxa"/>
              <w:start w:w="90" w:type="dxa"/>
              <w:bottom w:w="90" w:type="dxa"/>
              <w:end w:w="90" w:type="dxa"/>
            </w:tcMar>
            <w:vAlign w:val="top"/>
          </w:tcPr>
          <w:p>
            <w:pPr>
              <w:spacing w:after="0"/>
            </w:pPr>
            <w:r>
              <w:rPr>
                <w:rFonts w:ascii="Aptos" w:hAnsi="Aptos"/>
                <w:sz w:val="16"/>
              </w:rPr>
              <w:t>Reference for system engineering and integration of ISRU systems, excavation, transfer, chemical process modeling, and field testing.</w:t>
            </w:r>
          </w:p>
        </w:tc>
      </w:tr>
      <w:tr>
        <w:tc>
          <w:tcPr>
            <w:tcW w:type="dxa" w:w="4320"/>
            <w:tcMar>
              <w:top w:w="90" w:type="dxa"/>
              <w:start w:w="90" w:type="dxa"/>
              <w:bottom w:w="90" w:type="dxa"/>
              <w:end w:w="90" w:type="dxa"/>
            </w:tcMar>
            <w:vAlign w:val="top"/>
          </w:tcPr>
          <w:p>
            <w:pPr>
              <w:spacing w:after="0"/>
            </w:pPr>
            <w:r>
              <w:rPr>
                <w:rFonts w:ascii="Aptos" w:hAnsi="Aptos"/>
                <w:sz w:val="16"/>
              </w:rPr>
              <w:t>NASA lunar night power challenge material</w:t>
            </w:r>
          </w:p>
        </w:tc>
        <w:tc>
          <w:tcPr>
            <w:tcW w:type="dxa" w:w="6480"/>
            <w:tcMar>
              <w:top w:w="90" w:type="dxa"/>
              <w:start w:w="90" w:type="dxa"/>
              <w:bottom w:w="90" w:type="dxa"/>
              <w:end w:w="90" w:type="dxa"/>
            </w:tcMar>
            <w:vAlign w:val="top"/>
          </w:tcPr>
          <w:p>
            <w:pPr>
              <w:spacing w:after="0"/>
            </w:pPr>
            <w:r>
              <w:rPr>
                <w:rFonts w:ascii="Aptos" w:hAnsi="Aptos"/>
                <w:sz w:val="16"/>
              </w:rPr>
              <w:t>Reference for 14 Earth day lunar night planning basis.</w:t>
            </w:r>
          </w:p>
        </w:tc>
      </w:tr>
      <w:tr>
        <w:tc>
          <w:tcPr>
            <w:tcW w:type="dxa" w:w="4320"/>
            <w:tcMar>
              <w:top w:w="90" w:type="dxa"/>
              <w:start w:w="90" w:type="dxa"/>
              <w:bottom w:w="90" w:type="dxa"/>
              <w:end w:w="90" w:type="dxa"/>
            </w:tcMar>
            <w:vAlign w:val="top"/>
          </w:tcPr>
          <w:p>
            <w:pPr>
              <w:spacing w:after="0"/>
            </w:pPr>
            <w:r>
              <w:rPr>
                <w:rFonts w:ascii="Aptos" w:hAnsi="Aptos"/>
                <w:sz w:val="16"/>
              </w:rPr>
              <w:t>NASA CLPS and Artemis public materials</w:t>
            </w:r>
          </w:p>
        </w:tc>
        <w:tc>
          <w:tcPr>
            <w:tcW w:type="dxa" w:w="6480"/>
            <w:tcMar>
              <w:top w:w="90" w:type="dxa"/>
              <w:start w:w="90" w:type="dxa"/>
              <w:bottom w:w="90" w:type="dxa"/>
              <w:end w:w="90" w:type="dxa"/>
            </w:tcMar>
            <w:vAlign w:val="top"/>
          </w:tcPr>
          <w:p>
            <w:pPr>
              <w:spacing w:after="0"/>
            </w:pPr>
            <w:r>
              <w:rPr>
                <w:rFonts w:ascii="Aptos" w:hAnsi="Aptos"/>
                <w:sz w:val="16"/>
              </w:rPr>
              <w:t>Reference for commercial lunar delivery, industry participation, and Artemis lunar surface operations context.</w:t>
            </w:r>
          </w:p>
        </w:tc>
      </w:tr>
      <w:tr>
        <w:tc>
          <w:tcPr>
            <w:tcW w:type="dxa" w:w="5040"/>
            <w:vAlign w:val="top"/>
          </w:tcPr>
          <w:p>
            <w:pPr>
              <w:spacing w:after="0"/>
            </w:pPr>
            <w:r>
              <w:rPr>
                <w:sz w:val="16"/>
              </w:rPr>
              <w:t>NASA MOXIE oxygen production</w:t>
            </w:r>
          </w:p>
        </w:tc>
        <w:tc>
          <w:tcPr>
            <w:tcW w:type="dxa" w:w="5040"/>
            <w:vAlign w:val="top"/>
          </w:tcPr>
          <w:p>
            <w:pPr>
              <w:spacing w:after="0"/>
            </w:pPr>
            <w:r>
              <w:rPr>
                <w:sz w:val="16"/>
              </w:rPr>
              <w:t>Reference for Mars atmospheric oxygen ISRU precedent and scaling rationale.</w:t>
            </w:r>
          </w:p>
        </w:tc>
      </w:tr>
      <w:tr>
        <w:tc>
          <w:tcPr>
            <w:tcW w:type="dxa" w:w="5040"/>
            <w:vAlign w:val="top"/>
          </w:tcPr>
          <w:p>
            <w:pPr>
              <w:spacing w:after="0"/>
            </w:pPr>
            <w:r>
              <w:rPr>
                <w:sz w:val="16"/>
              </w:rPr>
              <w:t>NASA Dawn at Ceres and Ceres organic and brine findings</w:t>
            </w:r>
          </w:p>
        </w:tc>
        <w:tc>
          <w:tcPr>
            <w:tcW w:type="dxa" w:w="5040"/>
            <w:vAlign w:val="top"/>
          </w:tcPr>
          <w:p>
            <w:pPr>
              <w:spacing w:after="0"/>
            </w:pPr>
            <w:r>
              <w:rPr>
                <w:sz w:val="16"/>
              </w:rPr>
              <w:t>Reference for Ceres water, hydrated minerals, carbonates, salts, ammoniated clays, and organics context.</w:t>
            </w:r>
          </w:p>
        </w:tc>
      </w:tr>
      <w:tr>
        <w:tc>
          <w:tcPr>
            <w:tcW w:type="dxa" w:w="5040"/>
            <w:vAlign w:val="top"/>
          </w:tcPr>
          <w:p>
            <w:pPr>
              <w:spacing w:after="0"/>
            </w:pPr>
            <w:r>
              <w:rPr>
                <w:sz w:val="16"/>
              </w:rPr>
              <w:t>NASA HAVOC and Venus facts</w:t>
            </w:r>
          </w:p>
        </w:tc>
        <w:tc>
          <w:tcPr>
            <w:tcW w:type="dxa" w:w="5040"/>
            <w:vAlign w:val="top"/>
          </w:tcPr>
          <w:p>
            <w:pPr>
              <w:spacing w:after="0"/>
            </w:pPr>
            <w:r>
              <w:rPr>
                <w:sz w:val="16"/>
              </w:rPr>
              <w:t>Reference for upper atmosphere Venus operating envelope near 50 km and conceptual floating platform precedent.</w:t>
            </w:r>
          </w:p>
        </w:tc>
      </w:tr>
      <w:tr>
        <w:tc>
          <w:tcPr>
            <w:tcW w:type="dxa" w:w="5040"/>
            <w:vAlign w:val="top"/>
          </w:tcPr>
          <w:p>
            <w:pPr>
              <w:spacing w:after="0"/>
            </w:pPr>
            <w:r>
              <w:rPr>
                <w:sz w:val="16"/>
              </w:rPr>
              <w:t>NASA LEMS lunar seismic monitoring</w:t>
            </w:r>
          </w:p>
        </w:tc>
        <w:tc>
          <w:tcPr>
            <w:tcW w:type="dxa" w:w="5040"/>
            <w:vAlign w:val="top"/>
          </w:tcPr>
          <w:p>
            <w:pPr>
              <w:spacing w:after="0"/>
            </w:pPr>
            <w:r>
              <w:rPr>
                <w:sz w:val="16"/>
              </w:rPr>
              <w:t>Reference for lunar south pole seismic monitoring and long duration surface motion detection.</w:t>
            </w:r>
          </w:p>
        </w:tc>
      </w:tr>
      <w:tr>
        <w:tc>
          <w:tcPr>
            <w:tcW w:type="dxa" w:w="5040"/>
            <w:vAlign w:val="top"/>
          </w:tcPr>
          <w:p>
            <w:pPr>
              <w:spacing w:after="0"/>
            </w:pPr>
            <w:r>
              <w:rPr>
                <w:sz w:val="16"/>
              </w:rPr>
              <w:t>NASA lunar caves and protected subsurface features</w:t>
            </w:r>
          </w:p>
        </w:tc>
        <w:tc>
          <w:tcPr>
            <w:tcW w:type="dxa" w:w="5040"/>
            <w:vAlign w:val="top"/>
          </w:tcPr>
          <w:p>
            <w:pPr>
              <w:spacing w:after="0"/>
            </w:pPr>
            <w:r>
              <w:rPr>
                <w:sz w:val="16"/>
              </w:rPr>
              <w:t>Reference for protected cold and underground vault siting rationale.</w:t>
            </w:r>
          </w:p>
        </w:tc>
      </w:tr>
    </w:tbl>
    <w:p>
      <w:pPr>
        <w:spacing w:after="120"/>
      </w:pPr>
    </w:p>
    <w:p>
      <w:pPr>
        <w:spacing w:after="120"/>
      </w:pPr>
      <w:r>
        <w:rPr>
          <w:rFonts w:ascii="Aptos" w:hAnsi="Aptos"/>
          <w:sz w:val="21"/>
        </w:rPr>
        <w:t>Reference links are embedded below. These sources ground the public context. Detailed engineering values remain internal concept estimates pending Phase A validation.</w:t>
      </w:r>
    </w:p>
    <w:p>
      <w:pPr>
        <w:pStyle w:val="Heading2"/>
        <w:spacing w:before="200" w:after="120"/>
      </w:pPr>
      <w:r>
        <w:rPr>
          <w:rFonts w:ascii="Aptos" w:hAnsi="Aptos"/>
          <w:b/>
          <w:sz w:val="24"/>
        </w:rPr>
        <w:t>Source Links</w:t>
      </w:r>
    </w:p>
    <w:tbl>
      <w:tblPr>
        <w:tblStyle w:val="TableGrid"/>
        <w:tblW w:type="auto" w:w="0"/>
        <w:jc w:val="center"/>
        <w:tblLook w:firstColumn="1" w:firstRow="1" w:lastColumn="0" w:lastRow="0" w:noHBand="0" w:noVBand="1" w:val="04A0"/>
      </w:tblPr>
      <w:tblGrid>
        <w:gridCol w:w="5040"/>
        <w:gridCol w:w="5040"/>
      </w:tblGrid>
      <w:tr>
        <w:tc>
          <w:tcPr>
            <w:tcW w:type="dxa" w:w="5040"/>
            <w:shd w:fill="D9EAF7"/>
            <w:vAlign w:val="top"/>
          </w:tcPr>
          <w:p>
            <w:pPr>
              <w:spacing w:after="0"/>
            </w:pPr>
            <w:r>
              <w:rPr>
                <w:rFonts w:ascii="Aptos" w:hAnsi="Aptos"/>
                <w:b/>
                <w:color w:val="FFFFFF"/>
                <w:sz w:val="16"/>
              </w:rPr>
              <w:t>Source link</w:t>
            </w:r>
          </w:p>
        </w:tc>
        <w:tc>
          <w:tcPr>
            <w:tcW w:type="dxa" w:w="5040"/>
            <w:shd w:fill="D9EAF7"/>
            <w:vAlign w:val="top"/>
          </w:tcPr>
          <w:p>
            <w:pPr>
              <w:spacing w:after="0"/>
            </w:pPr>
            <w:r>
              <w:rPr>
                <w:rFonts w:ascii="Aptos" w:hAnsi="Aptos"/>
                <w:b/>
                <w:color w:val="FFFFFF"/>
                <w:sz w:val="16"/>
              </w:rPr>
              <w:t>Use in document</w:t>
            </w:r>
          </w:p>
        </w:tc>
        <w:trPr>
          <w:tblHeader/>
        </w:trPr>
      </w:tr>
      <w:tr>
        <w:tc>
          <w:tcPr>
            <w:tcW w:type="dxa" w:w="5040"/>
            <w:vAlign w:val="top"/>
          </w:tcPr>
          <w:p>
            <w:pPr>
              <w:spacing w:after="0"/>
            </w:pPr>
            <w:hyperlink r:id="rId11">
              <w:r>
                <w:rPr>
                  <w:color w:val="165C7D"/>
                  <w:u w:val="single"/>
                </w:rPr>
                <w:t>NASA Moon Water and Ices</w:t>
              </w:r>
            </w:hyperlink>
          </w:p>
        </w:tc>
        <w:tc>
          <w:tcPr>
            <w:tcW w:type="dxa" w:w="5040"/>
            <w:vAlign w:val="top"/>
          </w:tcPr>
          <w:p>
            <w:pPr>
              <w:spacing w:after="0"/>
            </w:pPr>
            <w:r>
              <w:rPr>
                <w:rFonts w:ascii="Aptos" w:hAnsi="Aptos"/>
                <w:sz w:val="16"/>
              </w:rPr>
              <w:t>Lunar water, permanently shadowed regions, Shackleton crater context.</w:t>
            </w:r>
          </w:p>
        </w:tc>
      </w:tr>
      <w:tr>
        <w:tc>
          <w:tcPr>
            <w:tcW w:type="dxa" w:w="5040"/>
            <w:vAlign w:val="top"/>
          </w:tcPr>
          <w:p>
            <w:pPr>
              <w:spacing w:after="0"/>
            </w:pPr>
            <w:hyperlink r:id="rId12">
              <w:r>
                <w:rPr>
                  <w:color w:val="165C7D"/>
                  <w:u w:val="single"/>
                </w:rPr>
                <w:t>NASA Shackleton Crater Illuminated Rim and Shadowed Interior</w:t>
              </w:r>
            </w:hyperlink>
          </w:p>
        </w:tc>
        <w:tc>
          <w:tcPr>
            <w:tcW w:type="dxa" w:w="5040"/>
            <w:vAlign w:val="top"/>
          </w:tcPr>
          <w:p>
            <w:pPr>
              <w:spacing w:after="0"/>
            </w:pPr>
            <w:r>
              <w:rPr>
                <w:rFonts w:ascii="Aptos" w:hAnsi="Aptos"/>
                <w:sz w:val="16"/>
              </w:rPr>
              <w:t>South pole illumination, solar use, base camp context, and communication geometry.</w:t>
            </w:r>
          </w:p>
        </w:tc>
      </w:tr>
      <w:tr>
        <w:tc>
          <w:tcPr>
            <w:tcW w:type="dxa" w:w="5040"/>
            <w:vAlign w:val="top"/>
          </w:tcPr>
          <w:p>
            <w:pPr>
              <w:spacing w:after="0"/>
            </w:pPr>
            <w:hyperlink r:id="rId13">
              <w:r>
                <w:rPr>
                  <w:color w:val="165C7D"/>
                  <w:u w:val="single"/>
                </w:rPr>
                <w:t>NASA Moon to Mars Architecture</w:t>
              </w:r>
            </w:hyperlink>
          </w:p>
        </w:tc>
        <w:tc>
          <w:tcPr>
            <w:tcW w:type="dxa" w:w="5040"/>
            <w:vAlign w:val="top"/>
          </w:tcPr>
          <w:p>
            <w:pPr>
              <w:spacing w:after="0"/>
            </w:pPr>
            <w:r>
              <w:rPr>
                <w:rFonts w:ascii="Aptos" w:hAnsi="Aptos"/>
                <w:sz w:val="16"/>
              </w:rPr>
              <w:t>Long term human led deep space architecture and Artemis context.</w:t>
            </w:r>
          </w:p>
        </w:tc>
      </w:tr>
      <w:tr>
        <w:tc>
          <w:tcPr>
            <w:tcW w:type="dxa" w:w="5040"/>
            <w:vAlign w:val="top"/>
          </w:tcPr>
          <w:p>
            <w:pPr>
              <w:spacing w:after="0"/>
            </w:pPr>
            <w:hyperlink r:id="rId14">
              <w:r>
                <w:rPr>
                  <w:color w:val="165C7D"/>
                  <w:u w:val="single"/>
                </w:rPr>
                <w:t>NASA ISRU Overview</w:t>
              </w:r>
            </w:hyperlink>
          </w:p>
        </w:tc>
        <w:tc>
          <w:tcPr>
            <w:tcW w:type="dxa" w:w="5040"/>
            <w:vAlign w:val="top"/>
          </w:tcPr>
          <w:p>
            <w:pPr>
              <w:spacing w:after="0"/>
            </w:pPr>
            <w:r>
              <w:rPr>
                <w:rFonts w:ascii="Aptos" w:hAnsi="Aptos"/>
                <w:sz w:val="16"/>
              </w:rPr>
              <w:t>Use of lunar resources to produce water, fuel, supplies, excavation, and structures.</w:t>
            </w:r>
          </w:p>
        </w:tc>
      </w:tr>
      <w:tr>
        <w:tc>
          <w:tcPr>
            <w:tcW w:type="dxa" w:w="5040"/>
            <w:vAlign w:val="top"/>
          </w:tcPr>
          <w:p>
            <w:pPr>
              <w:spacing w:after="0"/>
            </w:pPr>
            <w:hyperlink r:id="rId15">
              <w:r>
                <w:rPr>
                  <w:color w:val="165C7D"/>
                  <w:u w:val="single"/>
                </w:rPr>
                <w:t>NASA JSC ISRU Reference</w:t>
              </w:r>
            </w:hyperlink>
          </w:p>
        </w:tc>
        <w:tc>
          <w:tcPr>
            <w:tcW w:type="dxa" w:w="5040"/>
            <w:vAlign w:val="top"/>
          </w:tcPr>
          <w:p>
            <w:pPr>
              <w:spacing w:after="0"/>
            </w:pPr>
            <w:r>
              <w:rPr>
                <w:rFonts w:ascii="Aptos" w:hAnsi="Aptos"/>
                <w:sz w:val="16"/>
              </w:rPr>
              <w:t>ISRU system engineering, integration, excavation, transfer, chemical process modeling, and field testing.</w:t>
            </w:r>
          </w:p>
        </w:tc>
      </w:tr>
      <w:tr>
        <w:tc>
          <w:tcPr>
            <w:tcW w:type="dxa" w:w="5040"/>
            <w:vAlign w:val="top"/>
          </w:tcPr>
          <w:p>
            <w:pPr>
              <w:spacing w:after="0"/>
            </w:pPr>
            <w:hyperlink r:id="rId16">
              <w:r>
                <w:rPr>
                  <w:color w:val="165C7D"/>
                  <w:u w:val="single"/>
                </w:rPr>
                <w:t>NASA Lunar Night Power Challenge Context</w:t>
              </w:r>
            </w:hyperlink>
          </w:p>
        </w:tc>
        <w:tc>
          <w:tcPr>
            <w:tcW w:type="dxa" w:w="5040"/>
            <w:vAlign w:val="top"/>
          </w:tcPr>
          <w:p>
            <w:pPr>
              <w:spacing w:after="0"/>
            </w:pPr>
            <w:r>
              <w:rPr>
                <w:rFonts w:ascii="Aptos" w:hAnsi="Aptos"/>
                <w:sz w:val="16"/>
              </w:rPr>
              <w:t>14 Earth day lunar night and power challenge context.</w:t>
            </w:r>
          </w:p>
        </w:tc>
      </w:tr>
      <w:tr>
        <w:tc>
          <w:tcPr>
            <w:tcW w:type="dxa" w:w="5040"/>
            <w:vAlign w:val="top"/>
          </w:tcPr>
          <w:p>
            <w:pPr>
              <w:spacing w:after="0"/>
            </w:pPr>
            <w:hyperlink r:id="rId17">
              <w:r>
                <w:rPr>
                  <w:color w:val="165C7D"/>
                  <w:u w:val="single"/>
                </w:rPr>
                <w:t>NASA Lunar Base Policy Initiative</w:t>
              </w:r>
            </w:hyperlink>
          </w:p>
        </w:tc>
        <w:tc>
          <w:tcPr>
            <w:tcW w:type="dxa" w:w="5040"/>
            <w:vAlign w:val="top"/>
          </w:tcPr>
          <w:p>
            <w:pPr>
              <w:spacing w:after="0"/>
            </w:pPr>
            <w:r>
              <w:rPr>
                <w:rFonts w:ascii="Aptos" w:hAnsi="Aptos"/>
                <w:sz w:val="16"/>
              </w:rPr>
              <w:t>Phased lunar base and sustained surface operations context.</w:t>
            </w:r>
          </w:p>
        </w:tc>
      </w:tr>
      <w:tr>
        <w:tc>
          <w:tcPr>
            <w:tcW w:type="dxa" w:w="5040"/>
            <w:vAlign w:val="top"/>
          </w:tcPr>
          <w:p>
            <w:pPr>
              <w:spacing w:after="0"/>
            </w:pPr>
            <w:hyperlink r:id="rId18">
              <w:r>
                <w:rPr>
                  <w:color w:val="165C7D"/>
                  <w:u w:val="single"/>
                </w:rPr>
                <w:t>NASA Commercial Lunar Payload Services</w:t>
              </w:r>
            </w:hyperlink>
          </w:p>
        </w:tc>
        <w:tc>
          <w:tcPr>
            <w:tcW w:type="dxa" w:w="5040"/>
            <w:vAlign w:val="top"/>
          </w:tcPr>
          <w:p>
            <w:pPr>
              <w:spacing w:after="0"/>
            </w:pPr>
            <w:r>
              <w:rPr>
                <w:rFonts w:ascii="Aptos" w:hAnsi="Aptos"/>
                <w:sz w:val="16"/>
              </w:rPr>
              <w:t>Commercial lunar delivery and lunar surface service context.</w:t>
            </w:r>
          </w:p>
        </w:tc>
      </w:tr>
      <w:tr>
        <w:tc>
          <w:tcPr>
            <w:tcW w:type="dxa" w:w="5040"/>
            <w:vAlign w:val="top"/>
          </w:tcPr>
          <w:p>
            <w:pPr>
              <w:spacing w:after="0"/>
            </w:pPr>
            <w:r>
              <w:rPr>
                <w:sz w:val="16"/>
              </w:rPr>
              <w:t>NASA MOXIE oxygen production</w:t>
            </w:r>
          </w:p>
        </w:tc>
        <w:tc>
          <w:tcPr>
            <w:tcW w:type="dxa" w:w="5040"/>
            <w:vAlign w:val="top"/>
          </w:tcPr>
          <w:p>
            <w:pPr>
              <w:spacing w:after="0"/>
            </w:pPr>
            <w:r>
              <w:rPr>
                <w:sz w:val="16"/>
              </w:rPr>
              <w:t>Reference for Mars atmospheric oxygen ISRU precedent and scaling rationale.</w:t>
            </w:r>
          </w:p>
        </w:tc>
      </w:tr>
      <w:tr>
        <w:tc>
          <w:tcPr>
            <w:tcW w:type="dxa" w:w="5040"/>
            <w:vAlign w:val="top"/>
          </w:tcPr>
          <w:p>
            <w:pPr>
              <w:spacing w:after="0"/>
            </w:pPr>
            <w:r>
              <w:rPr>
                <w:sz w:val="16"/>
              </w:rPr>
              <w:t>NASA Dawn at Ceres and Ceres organic and brine findings</w:t>
            </w:r>
          </w:p>
        </w:tc>
        <w:tc>
          <w:tcPr>
            <w:tcW w:type="dxa" w:w="5040"/>
            <w:vAlign w:val="top"/>
          </w:tcPr>
          <w:p>
            <w:pPr>
              <w:spacing w:after="0"/>
            </w:pPr>
            <w:r>
              <w:rPr>
                <w:sz w:val="16"/>
              </w:rPr>
              <w:t>Reference for Ceres water, hydrated minerals, carbonates, salts, ammoniated clays, and organics context.</w:t>
            </w:r>
          </w:p>
        </w:tc>
      </w:tr>
      <w:tr>
        <w:tc>
          <w:tcPr>
            <w:tcW w:type="dxa" w:w="5040"/>
            <w:vAlign w:val="top"/>
          </w:tcPr>
          <w:p>
            <w:pPr>
              <w:spacing w:after="0"/>
            </w:pPr>
            <w:r>
              <w:rPr>
                <w:sz w:val="16"/>
              </w:rPr>
              <w:t>NASA HAVOC and Venus facts</w:t>
            </w:r>
          </w:p>
        </w:tc>
        <w:tc>
          <w:tcPr>
            <w:tcW w:type="dxa" w:w="5040"/>
            <w:vAlign w:val="top"/>
          </w:tcPr>
          <w:p>
            <w:pPr>
              <w:spacing w:after="0"/>
            </w:pPr>
            <w:r>
              <w:rPr>
                <w:sz w:val="16"/>
              </w:rPr>
              <w:t>Reference for upper atmosphere Venus operating envelope near 50 km and conceptual floating platform precedent.</w:t>
            </w:r>
          </w:p>
        </w:tc>
      </w:tr>
      <w:tr>
        <w:tc>
          <w:tcPr>
            <w:tcW w:type="dxa" w:w="5040"/>
            <w:vAlign w:val="top"/>
          </w:tcPr>
          <w:p>
            <w:pPr>
              <w:spacing w:after="0"/>
            </w:pPr>
            <w:r>
              <w:rPr>
                <w:sz w:val="16"/>
              </w:rPr>
              <w:t>NASA LEMS lunar seismic monitoring</w:t>
            </w:r>
          </w:p>
        </w:tc>
        <w:tc>
          <w:tcPr>
            <w:tcW w:type="dxa" w:w="5040"/>
            <w:vAlign w:val="top"/>
          </w:tcPr>
          <w:p>
            <w:pPr>
              <w:spacing w:after="0"/>
            </w:pPr>
            <w:r>
              <w:rPr>
                <w:sz w:val="16"/>
              </w:rPr>
              <w:t>Reference for lunar south pole seismic monitoring and long duration surface motion detection.</w:t>
            </w:r>
          </w:p>
        </w:tc>
      </w:tr>
      <w:tr>
        <w:tc>
          <w:tcPr>
            <w:tcW w:type="dxa" w:w="5040"/>
            <w:vAlign w:val="top"/>
          </w:tcPr>
          <w:p>
            <w:pPr>
              <w:spacing w:after="0"/>
            </w:pPr>
            <w:r>
              <w:rPr>
                <w:sz w:val="16"/>
              </w:rPr>
              <w:t>NASA lunar caves and protected subsurface features</w:t>
            </w:r>
          </w:p>
        </w:tc>
        <w:tc>
          <w:tcPr>
            <w:tcW w:type="dxa" w:w="5040"/>
            <w:vAlign w:val="top"/>
          </w:tcPr>
          <w:p>
            <w:pPr>
              <w:spacing w:after="0"/>
            </w:pPr>
            <w:r>
              <w:rPr>
                <w:sz w:val="16"/>
              </w:rPr>
              <w:t>Reference for protected cold and underground vault siting rationale.</w:t>
            </w:r>
          </w:p>
        </w:tc>
      </w:tr>
    </w:tbl>
    <w:p>
      <w:pPr>
        <w:spacing w:after="120"/>
      </w:pPr>
      <w:r>
        <w:rPr>
          <w:rFonts w:ascii="Aptos" w:hAnsi="Aptos"/>
          <w:sz w:val="21"/>
        </w:rPr>
        <w:br/>
      </w:r>
    </w:p>
    <w:p>
      <w:pPr>
        <w:pStyle w:val="Heading1"/>
        <w:spacing w:before="200" w:after="120"/>
      </w:pPr>
      <w:r>
        <w:rPr>
          <w:rFonts w:ascii="Aptos" w:hAnsi="Aptos"/>
          <w:b/>
          <w:sz w:val="28"/>
        </w:rPr>
        <w:t>15. Off World Resource Economics, Market Pricing, and Milestone Timeline</w:t>
      </w:r>
    </w:p>
    <w:p>
      <w:pPr>
        <w:spacing w:after="120"/>
      </w:pPr>
      <w:r>
        <w:rPr>
          <w:rFonts w:ascii="Aptos" w:hAnsi="Aptos"/>
          <w:sz w:val="21"/>
        </w:rPr>
        <w:t>Purpose: This annex expands the master document resource inventory into a board usable economics view. It ties mineral occurrence, market proxy pricing, extraction priority, cost logic, and development milestones into one operating baseline.</w:t>
      </w:r>
    </w:p>
    <w:p>
      <w:pPr>
        <w:spacing w:after="120"/>
      </w:pPr>
      <w:r>
        <w:rPr>
          <w:rFonts w:ascii="Aptos" w:hAnsi="Aptos"/>
          <w:sz w:val="21"/>
        </w:rPr>
        <w:t>Pricing basis: Exchange traded commodities use live or near live public commodity references dated May 2026 where available. Industrial minerals use U.S. Geological Survey Mineral Commodity Summaries 2026, which reports 2025 estimated or average values. For minerals that do not trade directly, the table uses the closest commercial product proxy. Off world prices are not current exchange prices. They are planning values based on avoided delivery cost, strategic availability value, and expected in space demand.</w:t>
      </w:r>
    </w:p>
    <w:p>
      <w:pPr>
        <w:pStyle w:val="Heading2"/>
        <w:spacing w:before="200" w:after="120"/>
      </w:pPr>
      <w:r>
        <w:rPr>
          <w:rFonts w:ascii="Aptos" w:hAnsi="Aptos"/>
          <w:b/>
          <w:sz w:val="24"/>
        </w:rPr>
        <w:t>15.1 Resource Economics Principles</w:t>
      </w:r>
    </w:p>
    <w:p>
      <w:pPr>
        <w:pStyle w:val="ListBullet"/>
      </w:pPr>
      <w:r>
        <w:rPr>
          <w:rFonts w:ascii="Aptos" w:hAnsi="Aptos"/>
        </w:rPr>
        <w:t>Use in space first. Water, oxygen, hydrogen, shielding mass, regolith aggregate, and structural feedstocks have higher value when consumed in space than when returned to Earth.</w:t>
      </w:r>
    </w:p>
    <w:p>
      <w:pPr>
        <w:pStyle w:val="ListBullet"/>
      </w:pPr>
      <w:r>
        <w:rPr>
          <w:rFonts w:ascii="Aptos" w:hAnsi="Aptos"/>
        </w:rPr>
        <w:t>Earth return is selective. Bulk minerals are not candidates for Earth return. Platinum group metals, rare earth concentrates, and specialty samples become candidates only after automated extraction, low cost return capsules, and verified high grade bodies exist.</w:t>
      </w:r>
    </w:p>
    <w:p>
      <w:pPr>
        <w:pStyle w:val="ListBullet"/>
      </w:pPr>
      <w:r>
        <w:rPr>
          <w:rFonts w:ascii="Aptos" w:hAnsi="Aptos"/>
        </w:rPr>
        <w:t>Avoided delivery cost dominates early economics. A kilogram of water or oxygen produced on the Moon can offset a kilogram that would otherwise need to be launched and landed from Earth.</w:t>
      </w:r>
    </w:p>
    <w:p>
      <w:pPr>
        <w:pStyle w:val="ListBullet"/>
      </w:pPr>
      <w:r>
        <w:rPr>
          <w:rFonts w:ascii="Aptos" w:hAnsi="Aptos"/>
        </w:rPr>
        <w:t>Strategic availability is a revenue stream. Emergency water, oxygen, propellant, rescue, refuge, and logistics capacity should be contracted as infrastructure readiness, not sold only as spot commodities.</w:t>
      </w:r>
    </w:p>
    <w:p>
      <w:pPr>
        <w:pStyle w:val="ListBullet"/>
      </w:pPr>
      <w:r>
        <w:rPr>
          <w:rFonts w:ascii="Aptos" w:hAnsi="Aptos"/>
        </w:rPr>
        <w:t>Ore grade is not enough. Accessibility, thermal environment, power, autonomy, transfer orbit, legal framework, and processing risk determine economic priority.</w:t>
      </w:r>
    </w:p>
    <w:p>
      <w:pPr>
        <w:pStyle w:val="Heading2"/>
        <w:spacing w:before="200" w:after="120"/>
      </w:pPr>
      <w:r>
        <w:rPr>
          <w:rFonts w:ascii="Aptos" w:hAnsi="Aptos"/>
          <w:b/>
          <w:sz w:val="24"/>
        </w:rPr>
        <w:t>15.2 Current Market Proxy Price Table</w:t>
      </w:r>
    </w:p>
    <w:p>
      <w:pPr>
        <w:spacing w:after="120"/>
      </w:pPr>
      <w:r>
        <w:rPr>
          <w:rFonts w:ascii="Aptos" w:hAnsi="Aptos"/>
          <w:sz w:val="21"/>
        </w:rPr>
        <w:t>Table values are rounded. Commodity prices move daily. Mineral proxies are used because many off world minerals, such as pyroxene, anorthite, and phyllosilicates, do not trade directly as standardized commercial products.</w:t>
      </w:r>
    </w:p>
    <w:tbl>
      <w:tblPr>
        <w:tblStyle w:val="TableGrid"/>
        <w:tblW w:type="auto" w:w="0"/>
        <w:tblLayout w:type="autofit"/>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Resource group</w:t>
            </w:r>
          </w:p>
        </w:tc>
        <w:tc>
          <w:tcPr>
            <w:tcW w:type="dxa" w:w="2520"/>
            <w:vAlign w:val="top"/>
            <w:shd w:fill="D9EAF7"/>
          </w:tcPr>
          <w:p>
            <w:pPr>
              <w:spacing w:after="0"/>
              <w:jc w:val="left"/>
            </w:pPr>
            <w:r>
              <w:rPr>
                <w:rFonts w:ascii="Aptos" w:hAnsi="Aptos"/>
                <w:b/>
                <w:sz w:val="16"/>
              </w:rPr>
            </w:r>
            <w:r>
              <w:rPr>
                <w:rFonts w:ascii="Aptos" w:hAnsi="Aptos"/>
                <w:b/>
                <w:sz w:val="16"/>
              </w:rPr>
              <w:t>Primary locations</w:t>
            </w:r>
          </w:p>
        </w:tc>
        <w:tc>
          <w:tcPr>
            <w:tcW w:type="dxa" w:w="2520"/>
            <w:vAlign w:val="top"/>
            <w:shd w:fill="D9EAF7"/>
          </w:tcPr>
          <w:p>
            <w:pPr>
              <w:spacing w:after="0"/>
              <w:jc w:val="left"/>
            </w:pPr>
            <w:r>
              <w:rPr>
                <w:rFonts w:ascii="Aptos" w:hAnsi="Aptos"/>
                <w:b/>
                <w:sz w:val="16"/>
              </w:rPr>
            </w:r>
            <w:r>
              <w:rPr>
                <w:rFonts w:ascii="Aptos" w:hAnsi="Aptos"/>
                <w:b/>
                <w:sz w:val="16"/>
              </w:rPr>
              <w:t>Market proxy price</w:t>
            </w:r>
          </w:p>
        </w:tc>
        <w:tc>
          <w:tcPr>
            <w:tcW w:type="dxa" w:w="2520"/>
            <w:vAlign w:val="top"/>
            <w:shd w:fill="D9EAF7"/>
          </w:tcPr>
          <w:p>
            <w:pPr>
              <w:spacing w:after="0"/>
              <w:jc w:val="left"/>
            </w:pPr>
            <w:r>
              <w:rPr>
                <w:rFonts w:ascii="Aptos" w:hAnsi="Aptos"/>
                <w:b/>
                <w:sz w:val="16"/>
              </w:rPr>
            </w:r>
            <w:r>
              <w:rPr>
                <w:rFonts w:ascii="Aptos" w:hAnsi="Aptos"/>
                <w:b/>
                <w:sz w:val="16"/>
              </w:rPr>
              <w:t>Economic role</w:t>
            </w:r>
          </w:p>
        </w:tc>
      </w:tr>
      <w:tr>
        <w:tc>
          <w:tcPr>
            <w:tcW w:type="dxa" w:w="2520"/>
            <w:vAlign w:val="top"/>
          </w:tcPr>
          <w:p>
            <w:pPr>
              <w:spacing w:after="0"/>
              <w:jc w:val="left"/>
            </w:pPr>
            <w:r>
              <w:rPr>
                <w:rFonts w:ascii="Aptos" w:hAnsi="Aptos"/>
                <w:sz w:val="16"/>
              </w:rPr>
            </w:r>
            <w:r>
              <w:rPr>
                <w:rFonts w:ascii="Aptos" w:hAnsi="Aptos"/>
                <w:b w:val="0"/>
                <w:sz w:val="16"/>
              </w:rPr>
              <w:t>Water ice and hydrated minerals</w:t>
            </w:r>
          </w:p>
        </w:tc>
        <w:tc>
          <w:tcPr>
            <w:tcW w:type="dxa" w:w="2520"/>
            <w:vAlign w:val="top"/>
          </w:tcPr>
          <w:p>
            <w:pPr>
              <w:spacing w:after="0"/>
              <w:jc w:val="left"/>
            </w:pPr>
            <w:r>
              <w:rPr>
                <w:rFonts w:ascii="Aptos" w:hAnsi="Aptos"/>
                <w:sz w:val="16"/>
              </w:rPr>
            </w:r>
            <w:r>
              <w:rPr>
                <w:rFonts w:ascii="Aptos" w:hAnsi="Aptos"/>
                <w:b w:val="0"/>
                <w:sz w:val="16"/>
              </w:rPr>
              <w:t>Moon south polar PSRs, Mercury polar craters, Mars ice, Ceres, C type asteroids, Bennu and Ryugu analogs</w:t>
            </w:r>
          </w:p>
        </w:tc>
        <w:tc>
          <w:tcPr>
            <w:tcW w:type="dxa" w:w="2520"/>
            <w:vAlign w:val="top"/>
          </w:tcPr>
          <w:p>
            <w:pPr>
              <w:spacing w:after="0"/>
              <w:jc w:val="left"/>
            </w:pPr>
            <w:r>
              <w:rPr>
                <w:rFonts w:ascii="Aptos" w:hAnsi="Aptos"/>
                <w:sz w:val="16"/>
              </w:rPr>
            </w:r>
            <w:r>
              <w:rPr>
                <w:rFonts w:ascii="Aptos" w:hAnsi="Aptos"/>
                <w:b w:val="0"/>
                <w:sz w:val="16"/>
              </w:rPr>
              <w:t>No direct Earth commodity proxy. In space value modeled at 800 to 4,000 USD per kg avoided lunar delivery.</w:t>
            </w:r>
          </w:p>
        </w:tc>
        <w:tc>
          <w:tcPr>
            <w:tcW w:type="dxa" w:w="2520"/>
            <w:vAlign w:val="top"/>
          </w:tcPr>
          <w:p>
            <w:pPr>
              <w:spacing w:after="0"/>
              <w:jc w:val="left"/>
            </w:pPr>
            <w:r>
              <w:rPr>
                <w:rFonts w:ascii="Aptos" w:hAnsi="Aptos"/>
                <w:sz w:val="16"/>
              </w:rPr>
            </w:r>
            <w:r>
              <w:rPr>
                <w:rFonts w:ascii="Aptos" w:hAnsi="Aptos"/>
                <w:b w:val="0"/>
                <w:sz w:val="16"/>
              </w:rPr>
              <w:t>Highest Phase 1 priority. Drives life support, LOX, LH2, radiation shielding, agriculture, and emergency reserves.</w:t>
            </w:r>
          </w:p>
        </w:tc>
      </w:tr>
      <w:tr>
        <w:tc>
          <w:tcPr>
            <w:tcW w:type="dxa" w:w="2520"/>
            <w:vAlign w:val="top"/>
          </w:tcPr>
          <w:p>
            <w:pPr>
              <w:spacing w:after="0"/>
              <w:jc w:val="left"/>
            </w:pPr>
            <w:r>
              <w:rPr>
                <w:rFonts w:ascii="Aptos" w:hAnsi="Aptos"/>
                <w:sz w:val="16"/>
              </w:rPr>
            </w:r>
            <w:r>
              <w:rPr>
                <w:rFonts w:ascii="Aptos" w:hAnsi="Aptos"/>
                <w:b w:val="0"/>
                <w:sz w:val="16"/>
              </w:rPr>
              <w:t>Anorthite, feldspar, plagioclase</w:t>
            </w:r>
          </w:p>
        </w:tc>
        <w:tc>
          <w:tcPr>
            <w:tcW w:type="dxa" w:w="2520"/>
            <w:vAlign w:val="top"/>
          </w:tcPr>
          <w:p>
            <w:pPr>
              <w:spacing w:after="0"/>
              <w:jc w:val="left"/>
            </w:pPr>
            <w:r>
              <w:rPr>
                <w:rFonts w:ascii="Aptos" w:hAnsi="Aptos"/>
                <w:sz w:val="16"/>
              </w:rPr>
            </w:r>
            <w:r>
              <w:rPr>
                <w:rFonts w:ascii="Aptos" w:hAnsi="Aptos"/>
                <w:b w:val="0"/>
                <w:sz w:val="16"/>
              </w:rPr>
              <w:t>Lunar highlands, Mars crust, Vesta, S type asteroids</w:t>
            </w:r>
          </w:p>
        </w:tc>
        <w:tc>
          <w:tcPr>
            <w:tcW w:type="dxa" w:w="2520"/>
            <w:vAlign w:val="top"/>
          </w:tcPr>
          <w:p>
            <w:pPr>
              <w:spacing w:after="0"/>
              <w:jc w:val="left"/>
            </w:pPr>
            <w:r>
              <w:rPr>
                <w:rFonts w:ascii="Aptos" w:hAnsi="Aptos"/>
                <w:sz w:val="16"/>
              </w:rPr>
            </w:r>
            <w:r>
              <w:rPr>
                <w:rFonts w:ascii="Aptos" w:hAnsi="Aptos"/>
                <w:b w:val="0"/>
                <w:sz w:val="16"/>
              </w:rPr>
              <w:t>Aluminum proxy 3,550 USD per metric ton. Quicklime proxy 260 USD per metric ton. Industrial silica proxy 36 USD per metric ton.</w:t>
            </w:r>
          </w:p>
        </w:tc>
        <w:tc>
          <w:tcPr>
            <w:tcW w:type="dxa" w:w="2520"/>
            <w:vAlign w:val="top"/>
          </w:tcPr>
          <w:p>
            <w:pPr>
              <w:spacing w:after="0"/>
              <w:jc w:val="left"/>
            </w:pPr>
            <w:r>
              <w:rPr>
                <w:rFonts w:ascii="Aptos" w:hAnsi="Aptos"/>
                <w:sz w:val="16"/>
              </w:rPr>
            </w:r>
            <w:r>
              <w:rPr>
                <w:rFonts w:ascii="Aptos" w:hAnsi="Aptos"/>
                <w:b w:val="0"/>
                <w:sz w:val="16"/>
              </w:rPr>
              <w:t>High for construction, oxygen extraction, glass, ceramics, and aluminum feedstock. Not an Earth return product.</w:t>
            </w:r>
          </w:p>
        </w:tc>
      </w:tr>
      <w:tr>
        <w:tc>
          <w:tcPr>
            <w:tcW w:type="dxa" w:w="2520"/>
            <w:vAlign w:val="top"/>
          </w:tcPr>
          <w:p>
            <w:pPr>
              <w:spacing w:after="0"/>
              <w:jc w:val="left"/>
            </w:pPr>
            <w:r>
              <w:rPr>
                <w:rFonts w:ascii="Aptos" w:hAnsi="Aptos"/>
                <w:sz w:val="16"/>
              </w:rPr>
            </w:r>
            <w:r>
              <w:rPr>
                <w:rFonts w:ascii="Aptos" w:hAnsi="Aptos"/>
                <w:b w:val="0"/>
                <w:sz w:val="16"/>
              </w:rPr>
              <w:t>Pyroxene and olivine</w:t>
            </w:r>
          </w:p>
        </w:tc>
        <w:tc>
          <w:tcPr>
            <w:tcW w:type="dxa" w:w="2520"/>
            <w:vAlign w:val="top"/>
          </w:tcPr>
          <w:p>
            <w:pPr>
              <w:spacing w:after="0"/>
              <w:jc w:val="left"/>
            </w:pPr>
            <w:r>
              <w:rPr>
                <w:rFonts w:ascii="Aptos" w:hAnsi="Aptos"/>
                <w:sz w:val="16"/>
              </w:rPr>
            </w:r>
            <w:r>
              <w:rPr>
                <w:rFonts w:ascii="Aptos" w:hAnsi="Aptos"/>
                <w:b w:val="0"/>
                <w:sz w:val="16"/>
              </w:rPr>
              <w:t>Moon, Mars, Vesta, S type asteroids, Venus surface analogs</w:t>
            </w:r>
          </w:p>
        </w:tc>
        <w:tc>
          <w:tcPr>
            <w:tcW w:type="dxa" w:w="2520"/>
            <w:vAlign w:val="top"/>
          </w:tcPr>
          <w:p>
            <w:pPr>
              <w:spacing w:after="0"/>
              <w:jc w:val="left"/>
            </w:pPr>
            <w:r>
              <w:rPr>
                <w:rFonts w:ascii="Aptos" w:hAnsi="Aptos"/>
                <w:sz w:val="16"/>
              </w:rPr>
            </w:r>
            <w:r>
              <w:rPr>
                <w:rFonts w:ascii="Aptos" w:hAnsi="Aptos"/>
                <w:b w:val="0"/>
                <w:sz w:val="16"/>
              </w:rPr>
              <w:t>Magnesium metal proxy 2,500 to 7,050 USD per metric ton. Iron ore proxy 108.6 USD per metric ton. Silicon metal proxy about 1.30 USD per pound.</w:t>
            </w:r>
          </w:p>
        </w:tc>
        <w:tc>
          <w:tcPr>
            <w:tcW w:type="dxa" w:w="2520"/>
            <w:vAlign w:val="top"/>
          </w:tcPr>
          <w:p>
            <w:pPr>
              <w:spacing w:after="0"/>
              <w:jc w:val="left"/>
            </w:pPr>
            <w:r>
              <w:rPr>
                <w:rFonts w:ascii="Aptos" w:hAnsi="Aptos"/>
                <w:sz w:val="16"/>
              </w:rPr>
            </w:r>
            <w:r>
              <w:rPr>
                <w:rFonts w:ascii="Aptos" w:hAnsi="Aptos"/>
                <w:b w:val="0"/>
                <w:sz w:val="16"/>
              </w:rPr>
              <w:t>High for oxygen, magnesium, iron, silicon, ceramic aggregate, and construction feedstock.</w:t>
            </w:r>
          </w:p>
        </w:tc>
      </w:tr>
      <w:tr>
        <w:tc>
          <w:tcPr>
            <w:tcW w:type="dxa" w:w="2520"/>
            <w:vAlign w:val="top"/>
          </w:tcPr>
          <w:p>
            <w:pPr>
              <w:spacing w:after="0"/>
              <w:jc w:val="left"/>
            </w:pPr>
            <w:r>
              <w:rPr>
                <w:rFonts w:ascii="Aptos" w:hAnsi="Aptos"/>
                <w:sz w:val="16"/>
              </w:rPr>
            </w:r>
            <w:r>
              <w:rPr>
                <w:rFonts w:ascii="Aptos" w:hAnsi="Aptos"/>
                <w:b w:val="0"/>
                <w:sz w:val="16"/>
              </w:rPr>
              <w:t>Ilmenite and titanium oxides</w:t>
            </w:r>
          </w:p>
        </w:tc>
        <w:tc>
          <w:tcPr>
            <w:tcW w:type="dxa" w:w="2520"/>
            <w:vAlign w:val="top"/>
          </w:tcPr>
          <w:p>
            <w:pPr>
              <w:spacing w:after="0"/>
              <w:jc w:val="left"/>
            </w:pPr>
            <w:r>
              <w:rPr>
                <w:rFonts w:ascii="Aptos" w:hAnsi="Aptos"/>
                <w:sz w:val="16"/>
              </w:rPr>
            </w:r>
            <w:r>
              <w:rPr>
                <w:rFonts w:ascii="Aptos" w:hAnsi="Aptos"/>
                <w:b w:val="0"/>
                <w:sz w:val="16"/>
              </w:rPr>
              <w:t>High titanium lunar maria, basaltic Mars and Vesta analogs</w:t>
            </w:r>
          </w:p>
        </w:tc>
        <w:tc>
          <w:tcPr>
            <w:tcW w:type="dxa" w:w="2520"/>
            <w:vAlign w:val="top"/>
          </w:tcPr>
          <w:p>
            <w:pPr>
              <w:spacing w:after="0"/>
              <w:jc w:val="left"/>
            </w:pPr>
            <w:r>
              <w:rPr>
                <w:rFonts w:ascii="Aptos" w:hAnsi="Aptos"/>
                <w:sz w:val="16"/>
              </w:rPr>
            </w:r>
            <w:r>
              <w:rPr>
                <w:rFonts w:ascii="Aptos" w:hAnsi="Aptos"/>
                <w:b w:val="0"/>
                <w:sz w:val="16"/>
              </w:rPr>
              <w:t>Rutile 1,140 USD per metric ton. Ilmenite and leucoxene 400 USD per metric ton. Imported ilmenite average 300 USD per metric ton.</w:t>
            </w:r>
          </w:p>
        </w:tc>
        <w:tc>
          <w:tcPr>
            <w:tcW w:type="dxa" w:w="2520"/>
            <w:vAlign w:val="top"/>
          </w:tcPr>
          <w:p>
            <w:pPr>
              <w:spacing w:after="0"/>
              <w:jc w:val="left"/>
            </w:pPr>
            <w:r>
              <w:rPr>
                <w:rFonts w:ascii="Aptos" w:hAnsi="Aptos"/>
                <w:sz w:val="16"/>
              </w:rPr>
            </w:r>
            <w:r>
              <w:rPr>
                <w:rFonts w:ascii="Aptos" w:hAnsi="Aptos"/>
                <w:b w:val="0"/>
                <w:sz w:val="16"/>
              </w:rPr>
              <w:t>High lunar oxygen and titanium option. Economic value is mainly in space structural use and oxygen, not Earth export.</w:t>
            </w:r>
          </w:p>
        </w:tc>
      </w:tr>
      <w:tr>
        <w:tc>
          <w:tcPr>
            <w:tcW w:type="dxa" w:w="2520"/>
            <w:vAlign w:val="top"/>
          </w:tcPr>
          <w:p>
            <w:pPr>
              <w:spacing w:after="0"/>
              <w:jc w:val="left"/>
            </w:pPr>
            <w:r>
              <w:rPr>
                <w:rFonts w:ascii="Aptos" w:hAnsi="Aptos"/>
                <w:sz w:val="16"/>
              </w:rPr>
            </w:r>
            <w:r>
              <w:rPr>
                <w:rFonts w:ascii="Aptos" w:hAnsi="Aptos"/>
                <w:b w:val="0"/>
                <w:sz w:val="16"/>
              </w:rPr>
              <w:t>Hematite and magnetite</w:t>
            </w:r>
          </w:p>
        </w:tc>
        <w:tc>
          <w:tcPr>
            <w:tcW w:type="dxa" w:w="2520"/>
            <w:vAlign w:val="top"/>
          </w:tcPr>
          <w:p>
            <w:pPr>
              <w:spacing w:after="0"/>
              <w:jc w:val="left"/>
            </w:pPr>
            <w:r>
              <w:rPr>
                <w:rFonts w:ascii="Aptos" w:hAnsi="Aptos"/>
                <w:sz w:val="16"/>
              </w:rPr>
            </w:r>
            <w:r>
              <w:rPr>
                <w:rFonts w:ascii="Aptos" w:hAnsi="Aptos"/>
                <w:b w:val="0"/>
                <w:sz w:val="16"/>
              </w:rPr>
              <w:t>Mars, carbonaceous asteroid samples, Bennu and Ryugu analogs, some lunar regolith as meteoritic metal grains</w:t>
            </w:r>
          </w:p>
        </w:tc>
        <w:tc>
          <w:tcPr>
            <w:tcW w:type="dxa" w:w="2520"/>
            <w:vAlign w:val="top"/>
          </w:tcPr>
          <w:p>
            <w:pPr>
              <w:spacing w:after="0"/>
              <w:jc w:val="left"/>
            </w:pPr>
            <w:r>
              <w:rPr>
                <w:rFonts w:ascii="Aptos" w:hAnsi="Aptos"/>
                <w:sz w:val="16"/>
              </w:rPr>
            </w:r>
            <w:r>
              <w:rPr>
                <w:rFonts w:ascii="Aptos" w:hAnsi="Aptos"/>
                <w:b w:val="0"/>
                <w:sz w:val="16"/>
              </w:rPr>
              <w:t>Iron ore 108.6 USD per metric ton current proxy. Iron and steel scrap 319 USD per metric ton annual proxy.</w:t>
            </w:r>
          </w:p>
        </w:tc>
        <w:tc>
          <w:tcPr>
            <w:tcW w:type="dxa" w:w="2520"/>
            <w:vAlign w:val="top"/>
          </w:tcPr>
          <w:p>
            <w:pPr>
              <w:spacing w:after="0"/>
              <w:jc w:val="left"/>
            </w:pPr>
            <w:r>
              <w:rPr>
                <w:rFonts w:ascii="Aptos" w:hAnsi="Aptos"/>
                <w:sz w:val="16"/>
              </w:rPr>
            </w:r>
            <w:r>
              <w:rPr>
                <w:rFonts w:ascii="Aptos" w:hAnsi="Aptos"/>
                <w:b w:val="0"/>
                <w:sz w:val="16"/>
              </w:rPr>
              <w:t>High for Mars and asteroid metallurgy. Low Earth market value but high local value for structures and shielding.</w:t>
            </w:r>
          </w:p>
        </w:tc>
      </w:tr>
      <w:tr>
        <w:tc>
          <w:tcPr>
            <w:tcW w:type="dxa" w:w="2520"/>
            <w:vAlign w:val="top"/>
          </w:tcPr>
          <w:p>
            <w:pPr>
              <w:spacing w:after="0"/>
              <w:jc w:val="left"/>
            </w:pPr>
            <w:r>
              <w:rPr>
                <w:rFonts w:ascii="Aptos" w:hAnsi="Aptos"/>
                <w:sz w:val="16"/>
              </w:rPr>
            </w:r>
            <w:r>
              <w:rPr>
                <w:rFonts w:ascii="Aptos" w:hAnsi="Aptos"/>
                <w:b w:val="0"/>
                <w:sz w:val="16"/>
              </w:rPr>
              <w:t>Phyllosilicates, clays, serpentine, saponite, smectite</w:t>
            </w:r>
          </w:p>
        </w:tc>
        <w:tc>
          <w:tcPr>
            <w:tcW w:type="dxa" w:w="2520"/>
            <w:vAlign w:val="top"/>
          </w:tcPr>
          <w:p>
            <w:pPr>
              <w:spacing w:after="0"/>
              <w:jc w:val="left"/>
            </w:pPr>
            <w:r>
              <w:rPr>
                <w:rFonts w:ascii="Aptos" w:hAnsi="Aptos"/>
                <w:sz w:val="16"/>
              </w:rPr>
            </w:r>
            <w:r>
              <w:rPr>
                <w:rFonts w:ascii="Aptos" w:hAnsi="Aptos"/>
                <w:b w:val="0"/>
                <w:sz w:val="16"/>
              </w:rPr>
              <w:t>Mars, Ceres, Bennu and Ryugu class carbonaceous bodies, outer belt C types</w:t>
            </w:r>
          </w:p>
        </w:tc>
        <w:tc>
          <w:tcPr>
            <w:tcW w:type="dxa" w:w="2520"/>
            <w:vAlign w:val="top"/>
          </w:tcPr>
          <w:p>
            <w:pPr>
              <w:spacing w:after="0"/>
              <w:jc w:val="left"/>
            </w:pPr>
            <w:r>
              <w:rPr>
                <w:rFonts w:ascii="Aptos" w:hAnsi="Aptos"/>
                <w:sz w:val="16"/>
              </w:rPr>
            </w:r>
            <w:r>
              <w:rPr>
                <w:rFonts w:ascii="Aptos" w:hAnsi="Aptos"/>
                <w:b w:val="0"/>
                <w:sz w:val="16"/>
              </w:rPr>
              <w:t>No single market proxy. Value comes from bound water, ceramics, radiation shielding, and chemistry.</w:t>
            </w:r>
          </w:p>
        </w:tc>
        <w:tc>
          <w:tcPr>
            <w:tcW w:type="dxa" w:w="2520"/>
            <w:vAlign w:val="top"/>
          </w:tcPr>
          <w:p>
            <w:pPr>
              <w:spacing w:after="0"/>
              <w:jc w:val="left"/>
            </w:pPr>
            <w:r>
              <w:rPr>
                <w:rFonts w:ascii="Aptos" w:hAnsi="Aptos"/>
                <w:sz w:val="16"/>
              </w:rPr>
            </w:r>
            <w:r>
              <w:rPr>
                <w:rFonts w:ascii="Aptos" w:hAnsi="Aptos"/>
                <w:b w:val="0"/>
                <w:sz w:val="16"/>
              </w:rPr>
              <w:t>High for Ceres and carbonaceous asteroid processing. Moderate Phase 1 priority as analog knowledge base.</w:t>
            </w:r>
          </w:p>
        </w:tc>
      </w:tr>
      <w:tr>
        <w:tc>
          <w:tcPr>
            <w:tcW w:type="dxa" w:w="2520"/>
            <w:vAlign w:val="top"/>
          </w:tcPr>
          <w:p>
            <w:pPr>
              <w:spacing w:after="0"/>
              <w:jc w:val="left"/>
            </w:pPr>
            <w:r>
              <w:rPr>
                <w:rFonts w:ascii="Aptos" w:hAnsi="Aptos"/>
                <w:sz w:val="16"/>
              </w:rPr>
            </w:r>
            <w:r>
              <w:rPr>
                <w:rFonts w:ascii="Aptos" w:hAnsi="Aptos"/>
                <w:b w:val="0"/>
                <w:sz w:val="16"/>
              </w:rPr>
              <w:t>Sulfates, gypsum, sulfur compounds</w:t>
            </w:r>
          </w:p>
        </w:tc>
        <w:tc>
          <w:tcPr>
            <w:tcW w:type="dxa" w:w="2520"/>
            <w:vAlign w:val="top"/>
          </w:tcPr>
          <w:p>
            <w:pPr>
              <w:spacing w:after="0"/>
              <w:jc w:val="left"/>
            </w:pPr>
            <w:r>
              <w:rPr>
                <w:rFonts w:ascii="Aptos" w:hAnsi="Aptos"/>
                <w:sz w:val="16"/>
              </w:rPr>
            </w:r>
            <w:r>
              <w:rPr>
                <w:rFonts w:ascii="Aptos" w:hAnsi="Aptos"/>
                <w:b w:val="0"/>
                <w:sz w:val="16"/>
              </w:rPr>
              <w:t>Mars sulfates, Venus surface weathering products, Ceres brines, Bennu salts</w:t>
            </w:r>
          </w:p>
        </w:tc>
        <w:tc>
          <w:tcPr>
            <w:tcW w:type="dxa" w:w="2520"/>
            <w:vAlign w:val="top"/>
          </w:tcPr>
          <w:p>
            <w:pPr>
              <w:spacing w:after="0"/>
              <w:jc w:val="left"/>
            </w:pPr>
            <w:r>
              <w:rPr>
                <w:rFonts w:ascii="Aptos" w:hAnsi="Aptos"/>
                <w:sz w:val="16"/>
              </w:rPr>
            </w:r>
            <w:r>
              <w:rPr>
                <w:rFonts w:ascii="Aptos" w:hAnsi="Aptos"/>
                <w:b w:val="0"/>
                <w:sz w:val="16"/>
              </w:rPr>
              <w:t>Sulfur 180 USD per metric ton. Gypsum crude 13 USD per metric ton. Calcined gypsum 62 USD per metric ton.</w:t>
            </w:r>
          </w:p>
        </w:tc>
        <w:tc>
          <w:tcPr>
            <w:tcW w:type="dxa" w:w="2520"/>
            <w:vAlign w:val="top"/>
          </w:tcPr>
          <w:p>
            <w:pPr>
              <w:spacing w:after="0"/>
              <w:jc w:val="left"/>
            </w:pPr>
            <w:r>
              <w:rPr>
                <w:rFonts w:ascii="Aptos" w:hAnsi="Aptos"/>
                <w:sz w:val="16"/>
              </w:rPr>
            </w:r>
            <w:r>
              <w:rPr>
                <w:rFonts w:ascii="Aptos" w:hAnsi="Aptos"/>
                <w:b w:val="0"/>
                <w:sz w:val="16"/>
              </w:rPr>
              <w:t>Medium. Useful for agriculture chemistry, sulfur chemistry, construction binders, and industrial reagents.</w:t>
            </w:r>
          </w:p>
        </w:tc>
      </w:tr>
      <w:tr>
        <w:tc>
          <w:tcPr>
            <w:tcW w:type="dxa" w:w="2520"/>
            <w:vAlign w:val="top"/>
          </w:tcPr>
          <w:p>
            <w:pPr>
              <w:spacing w:after="0"/>
              <w:jc w:val="left"/>
            </w:pPr>
            <w:r>
              <w:rPr>
                <w:rFonts w:ascii="Aptos" w:hAnsi="Aptos"/>
                <w:sz w:val="16"/>
              </w:rPr>
            </w:r>
            <w:r>
              <w:rPr>
                <w:rFonts w:ascii="Aptos" w:hAnsi="Aptos"/>
                <w:b w:val="0"/>
                <w:sz w:val="16"/>
              </w:rPr>
              <w:t>Chloride salts and halite</w:t>
            </w:r>
          </w:p>
        </w:tc>
        <w:tc>
          <w:tcPr>
            <w:tcW w:type="dxa" w:w="2520"/>
            <w:vAlign w:val="top"/>
          </w:tcPr>
          <w:p>
            <w:pPr>
              <w:spacing w:after="0"/>
              <w:jc w:val="left"/>
            </w:pPr>
            <w:r>
              <w:rPr>
                <w:rFonts w:ascii="Aptos" w:hAnsi="Aptos"/>
                <w:sz w:val="16"/>
              </w:rPr>
            </w:r>
            <w:r>
              <w:rPr>
                <w:rFonts w:ascii="Aptos" w:hAnsi="Aptos"/>
                <w:b w:val="0"/>
                <w:sz w:val="16"/>
              </w:rPr>
              <w:t>Mars chloride basins, Bennu salts, Ceres brines, possible Mercury volatile deposits</w:t>
            </w:r>
          </w:p>
        </w:tc>
        <w:tc>
          <w:tcPr>
            <w:tcW w:type="dxa" w:w="2520"/>
            <w:vAlign w:val="top"/>
          </w:tcPr>
          <w:p>
            <w:pPr>
              <w:spacing w:after="0"/>
              <w:jc w:val="left"/>
            </w:pPr>
            <w:r>
              <w:rPr>
                <w:rFonts w:ascii="Aptos" w:hAnsi="Aptos"/>
                <w:sz w:val="16"/>
              </w:rPr>
            </w:r>
            <w:r>
              <w:rPr>
                <w:rFonts w:ascii="Aptos" w:hAnsi="Aptos"/>
                <w:b w:val="0"/>
                <w:sz w:val="16"/>
              </w:rPr>
              <w:t>Salt values in 2025: vacuum/open pan 260 USD per metric ton, solar 150, rock 54, brine 11.</w:t>
            </w:r>
          </w:p>
        </w:tc>
        <w:tc>
          <w:tcPr>
            <w:tcW w:type="dxa" w:w="2520"/>
            <w:vAlign w:val="top"/>
          </w:tcPr>
          <w:p>
            <w:pPr>
              <w:spacing w:after="0"/>
              <w:jc w:val="left"/>
            </w:pPr>
            <w:r>
              <w:rPr>
                <w:rFonts w:ascii="Aptos" w:hAnsi="Aptos"/>
                <w:sz w:val="16"/>
              </w:rPr>
            </w:r>
            <w:r>
              <w:rPr>
                <w:rFonts w:ascii="Aptos" w:hAnsi="Aptos"/>
                <w:b w:val="0"/>
                <w:sz w:val="16"/>
              </w:rPr>
              <w:t>Medium. Useful for brine processing, chlorine chemistry, electrolytes, and industrial separation systems.</w:t>
            </w:r>
          </w:p>
        </w:tc>
      </w:tr>
      <w:tr>
        <w:tc>
          <w:tcPr>
            <w:tcW w:type="dxa" w:w="2520"/>
            <w:vAlign w:val="top"/>
          </w:tcPr>
          <w:p>
            <w:pPr>
              <w:spacing w:after="0"/>
              <w:jc w:val="left"/>
            </w:pPr>
            <w:r>
              <w:rPr>
                <w:rFonts w:ascii="Aptos" w:hAnsi="Aptos"/>
                <w:sz w:val="16"/>
              </w:rPr>
            </w:r>
            <w:r>
              <w:rPr>
                <w:rFonts w:ascii="Aptos" w:hAnsi="Aptos"/>
                <w:b w:val="0"/>
                <w:sz w:val="16"/>
              </w:rPr>
              <w:t>Carbonates, soda ash, lime feedstocks</w:t>
            </w:r>
          </w:p>
        </w:tc>
        <w:tc>
          <w:tcPr>
            <w:tcW w:type="dxa" w:w="2520"/>
            <w:vAlign w:val="top"/>
          </w:tcPr>
          <w:p>
            <w:pPr>
              <w:spacing w:after="0"/>
              <w:jc w:val="left"/>
            </w:pPr>
            <w:r>
              <w:rPr>
                <w:rFonts w:ascii="Aptos" w:hAnsi="Aptos"/>
                <w:sz w:val="16"/>
              </w:rPr>
            </w:r>
            <w:r>
              <w:rPr>
                <w:rFonts w:ascii="Aptos" w:hAnsi="Aptos"/>
                <w:b w:val="0"/>
                <w:sz w:val="16"/>
              </w:rPr>
              <w:t>Mars Nili Fossae and Jezero region, Ceres Occator, Bennu and Ryugu analogs</w:t>
            </w:r>
          </w:p>
        </w:tc>
        <w:tc>
          <w:tcPr>
            <w:tcW w:type="dxa" w:w="2520"/>
            <w:vAlign w:val="top"/>
          </w:tcPr>
          <w:p>
            <w:pPr>
              <w:spacing w:after="0"/>
              <w:jc w:val="left"/>
            </w:pPr>
            <w:r>
              <w:rPr>
                <w:rFonts w:ascii="Aptos" w:hAnsi="Aptos"/>
                <w:sz w:val="16"/>
              </w:rPr>
            </w:r>
            <w:r>
              <w:rPr>
                <w:rFonts w:ascii="Aptos" w:hAnsi="Aptos"/>
                <w:b w:val="0"/>
                <w:sz w:val="16"/>
              </w:rPr>
              <w:t>Soda ash 150 USD per metric ton annual proxy. Quicklime 260 USD per metric ton. Hydrated lime 280 USD per metric ton.</w:t>
            </w:r>
          </w:p>
        </w:tc>
        <w:tc>
          <w:tcPr>
            <w:tcW w:type="dxa" w:w="2520"/>
            <w:vAlign w:val="top"/>
          </w:tcPr>
          <w:p>
            <w:pPr>
              <w:spacing w:after="0"/>
              <w:jc w:val="left"/>
            </w:pPr>
            <w:r>
              <w:rPr>
                <w:rFonts w:ascii="Aptos" w:hAnsi="Aptos"/>
                <w:sz w:val="16"/>
              </w:rPr>
            </w:r>
            <w:r>
              <w:rPr>
                <w:rFonts w:ascii="Aptos" w:hAnsi="Aptos"/>
                <w:b w:val="0"/>
                <w:sz w:val="16"/>
              </w:rPr>
              <w:t>Medium to high. Useful for CO2 buffering, cement chemistry, glass, agriculture, and carbon management.</w:t>
            </w:r>
          </w:p>
        </w:tc>
      </w:tr>
      <w:tr>
        <w:tc>
          <w:tcPr>
            <w:tcW w:type="dxa" w:w="2520"/>
            <w:vAlign w:val="top"/>
          </w:tcPr>
          <w:p>
            <w:pPr>
              <w:spacing w:after="0"/>
              <w:jc w:val="left"/>
            </w:pPr>
            <w:r>
              <w:rPr>
                <w:rFonts w:ascii="Aptos" w:hAnsi="Aptos"/>
                <w:sz w:val="16"/>
              </w:rPr>
            </w:r>
            <w:r>
              <w:rPr>
                <w:rFonts w:ascii="Aptos" w:hAnsi="Aptos"/>
                <w:b w:val="0"/>
                <w:sz w:val="16"/>
              </w:rPr>
              <w:t>Phosphates, apatite, KREEP phosphate phases</w:t>
            </w:r>
          </w:p>
        </w:tc>
        <w:tc>
          <w:tcPr>
            <w:tcW w:type="dxa" w:w="2520"/>
            <w:vAlign w:val="top"/>
          </w:tcPr>
          <w:p>
            <w:pPr>
              <w:spacing w:after="0"/>
              <w:jc w:val="left"/>
            </w:pPr>
            <w:r>
              <w:rPr>
                <w:rFonts w:ascii="Aptos" w:hAnsi="Aptos"/>
                <w:sz w:val="16"/>
              </w:rPr>
            </w:r>
            <w:r>
              <w:rPr>
                <w:rFonts w:ascii="Aptos" w:hAnsi="Aptos"/>
                <w:b w:val="0"/>
                <w:sz w:val="16"/>
              </w:rPr>
              <w:t>Lunar KREEP terrains, Bennu magnesium sodium phosphate, Ryugu analogs, Mars basalts</w:t>
            </w:r>
          </w:p>
        </w:tc>
        <w:tc>
          <w:tcPr>
            <w:tcW w:type="dxa" w:w="2520"/>
            <w:vAlign w:val="top"/>
          </w:tcPr>
          <w:p>
            <w:pPr>
              <w:spacing w:after="0"/>
              <w:jc w:val="left"/>
            </w:pPr>
            <w:r>
              <w:rPr>
                <w:rFonts w:ascii="Aptos" w:hAnsi="Aptos"/>
                <w:sz w:val="16"/>
              </w:rPr>
            </w:r>
            <w:r>
              <w:rPr>
                <w:rFonts w:ascii="Aptos" w:hAnsi="Aptos"/>
                <w:b w:val="0"/>
                <w:sz w:val="16"/>
              </w:rPr>
              <w:t>Phosphate rock 100 USD per metric ton. Specialty phosphate salts can be higher but grade dependent.</w:t>
            </w:r>
          </w:p>
        </w:tc>
        <w:tc>
          <w:tcPr>
            <w:tcW w:type="dxa" w:w="2520"/>
            <w:vAlign w:val="top"/>
          </w:tcPr>
          <w:p>
            <w:pPr>
              <w:spacing w:after="0"/>
              <w:jc w:val="left"/>
            </w:pPr>
            <w:r>
              <w:rPr>
                <w:rFonts w:ascii="Aptos" w:hAnsi="Aptos"/>
                <w:sz w:val="16"/>
              </w:rPr>
            </w:r>
            <w:r>
              <w:rPr>
                <w:rFonts w:ascii="Aptos" w:hAnsi="Aptos"/>
                <w:b w:val="0"/>
                <w:sz w:val="16"/>
              </w:rPr>
              <w:t>High strategic value for agriculture and closed loop settlement chemistry. Earth market value is low, local value is high.</w:t>
            </w:r>
          </w:p>
        </w:tc>
      </w:tr>
      <w:tr>
        <w:tc>
          <w:tcPr>
            <w:tcW w:type="dxa" w:w="2520"/>
            <w:vAlign w:val="top"/>
          </w:tcPr>
          <w:p>
            <w:pPr>
              <w:spacing w:after="0"/>
              <w:jc w:val="left"/>
            </w:pPr>
            <w:r>
              <w:rPr>
                <w:rFonts w:ascii="Aptos" w:hAnsi="Aptos"/>
                <w:sz w:val="16"/>
              </w:rPr>
            </w:r>
            <w:r>
              <w:rPr>
                <w:rFonts w:ascii="Aptos" w:hAnsi="Aptos"/>
                <w:b w:val="0"/>
                <w:sz w:val="16"/>
              </w:rPr>
              <w:t>Rare earth element bearing minerals</w:t>
            </w:r>
          </w:p>
        </w:tc>
        <w:tc>
          <w:tcPr>
            <w:tcW w:type="dxa" w:w="2520"/>
            <w:vAlign w:val="top"/>
          </w:tcPr>
          <w:p>
            <w:pPr>
              <w:spacing w:after="0"/>
              <w:jc w:val="left"/>
            </w:pPr>
            <w:r>
              <w:rPr>
                <w:rFonts w:ascii="Aptos" w:hAnsi="Aptos"/>
                <w:sz w:val="16"/>
              </w:rPr>
            </w:r>
            <w:r>
              <w:rPr>
                <w:rFonts w:ascii="Aptos" w:hAnsi="Aptos"/>
                <w:b w:val="0"/>
                <w:sz w:val="16"/>
              </w:rPr>
              <w:t>Lunar KREEP, accessory asteroid phases, Mars accessory phases lower confidence</w:t>
            </w:r>
          </w:p>
        </w:tc>
        <w:tc>
          <w:tcPr>
            <w:tcW w:type="dxa" w:w="2520"/>
            <w:vAlign w:val="top"/>
          </w:tcPr>
          <w:p>
            <w:pPr>
              <w:spacing w:after="0"/>
              <w:jc w:val="left"/>
            </w:pPr>
            <w:r>
              <w:rPr>
                <w:rFonts w:ascii="Aptos" w:hAnsi="Aptos"/>
                <w:sz w:val="16"/>
              </w:rPr>
            </w:r>
            <w:r>
              <w:rPr>
                <w:rFonts w:ascii="Aptos" w:hAnsi="Aptos"/>
                <w:b w:val="0"/>
                <w:sz w:val="16"/>
              </w:rPr>
              <w:t>NdPr oxide planning references near 100 to 123 USD per kg. Dysprosium oxide around 180 to 239 USD per kg in China referenced data. Terbium oxide roughly 790 to 1,010 USD per kg in 2025 to 2026 references.</w:t>
            </w:r>
          </w:p>
        </w:tc>
        <w:tc>
          <w:tcPr>
            <w:tcW w:type="dxa" w:w="2520"/>
            <w:vAlign w:val="top"/>
          </w:tcPr>
          <w:p>
            <w:pPr>
              <w:spacing w:after="0"/>
              <w:jc w:val="left"/>
            </w:pPr>
            <w:r>
              <w:rPr>
                <w:rFonts w:ascii="Aptos" w:hAnsi="Aptos"/>
                <w:sz w:val="16"/>
              </w:rPr>
            </w:r>
            <w:r>
              <w:rPr>
                <w:rFonts w:ascii="Aptos" w:hAnsi="Aptos"/>
                <w:b w:val="0"/>
                <w:sz w:val="16"/>
              </w:rPr>
              <w:t>Long term high value. Needs beneficiation and separation. Priority rises after power, water, and construction feedstock are stable.</w:t>
            </w:r>
          </w:p>
        </w:tc>
      </w:tr>
      <w:tr>
        <w:tc>
          <w:tcPr>
            <w:tcW w:type="dxa" w:w="2520"/>
            <w:vAlign w:val="top"/>
          </w:tcPr>
          <w:p>
            <w:pPr>
              <w:spacing w:after="0"/>
              <w:jc w:val="left"/>
            </w:pPr>
            <w:r>
              <w:rPr>
                <w:rFonts w:ascii="Aptos" w:hAnsi="Aptos"/>
                <w:sz w:val="16"/>
              </w:rPr>
            </w:r>
            <w:r>
              <w:rPr>
                <w:rFonts w:ascii="Aptos" w:hAnsi="Aptos"/>
                <w:b w:val="0"/>
                <w:sz w:val="16"/>
              </w:rPr>
              <w:t>Native iron nickel metal and kamacite taenite alloys</w:t>
            </w:r>
          </w:p>
        </w:tc>
        <w:tc>
          <w:tcPr>
            <w:tcW w:type="dxa" w:w="2520"/>
            <w:vAlign w:val="top"/>
          </w:tcPr>
          <w:p>
            <w:pPr>
              <w:spacing w:after="0"/>
              <w:jc w:val="left"/>
            </w:pPr>
            <w:r>
              <w:rPr>
                <w:rFonts w:ascii="Aptos" w:hAnsi="Aptos"/>
                <w:sz w:val="16"/>
              </w:rPr>
            </w:r>
            <w:r>
              <w:rPr>
                <w:rFonts w:ascii="Aptos" w:hAnsi="Aptos"/>
                <w:b w:val="0"/>
                <w:sz w:val="16"/>
              </w:rPr>
              <w:t>M type asteroids, Psyche class bodies, S type asteroids, ordinary chondrite bodies, Vesta core inferred</w:t>
            </w:r>
          </w:p>
        </w:tc>
        <w:tc>
          <w:tcPr>
            <w:tcW w:type="dxa" w:w="2520"/>
            <w:vAlign w:val="top"/>
          </w:tcPr>
          <w:p>
            <w:pPr>
              <w:spacing w:after="0"/>
              <w:jc w:val="left"/>
            </w:pPr>
            <w:r>
              <w:rPr>
                <w:rFonts w:ascii="Aptos" w:hAnsi="Aptos"/>
                <w:sz w:val="16"/>
              </w:rPr>
            </w:r>
            <w:r>
              <w:rPr>
                <w:rFonts w:ascii="Aptos" w:hAnsi="Aptos"/>
                <w:b w:val="0"/>
                <w:sz w:val="16"/>
              </w:rPr>
              <w:t>Nickel current proxy 19,700 USD per metric ton. Iron ore 108.6 USD per metric ton. Steel scrap 319 USD per metric ton.</w:t>
            </w:r>
          </w:p>
        </w:tc>
        <w:tc>
          <w:tcPr>
            <w:tcW w:type="dxa" w:w="2520"/>
            <w:vAlign w:val="top"/>
          </w:tcPr>
          <w:p>
            <w:pPr>
              <w:spacing w:after="0"/>
              <w:jc w:val="left"/>
            </w:pPr>
            <w:r>
              <w:rPr>
                <w:rFonts w:ascii="Aptos" w:hAnsi="Aptos"/>
                <w:sz w:val="16"/>
              </w:rPr>
            </w:r>
            <w:r>
              <w:rPr>
                <w:rFonts w:ascii="Aptos" w:hAnsi="Aptos"/>
                <w:b w:val="0"/>
                <w:sz w:val="16"/>
              </w:rPr>
              <w:t>Very high for asteroid belt industrialization. Best used in space for structures, tanks, shielding, and repair feedstock.</w:t>
            </w:r>
          </w:p>
        </w:tc>
      </w:tr>
      <w:tr>
        <w:tc>
          <w:tcPr>
            <w:tcW w:type="dxa" w:w="2520"/>
            <w:vAlign w:val="top"/>
          </w:tcPr>
          <w:p>
            <w:pPr>
              <w:spacing w:after="0"/>
              <w:jc w:val="left"/>
            </w:pPr>
            <w:r>
              <w:rPr>
                <w:rFonts w:ascii="Aptos" w:hAnsi="Aptos"/>
                <w:sz w:val="16"/>
              </w:rPr>
            </w:r>
            <w:r>
              <w:rPr>
                <w:rFonts w:ascii="Aptos" w:hAnsi="Aptos"/>
                <w:b w:val="0"/>
                <w:sz w:val="16"/>
              </w:rPr>
              <w:t>Sulfides, including troilite and pyrrhotite</w:t>
            </w:r>
          </w:p>
        </w:tc>
        <w:tc>
          <w:tcPr>
            <w:tcW w:type="dxa" w:w="2520"/>
            <w:vAlign w:val="top"/>
          </w:tcPr>
          <w:p>
            <w:pPr>
              <w:spacing w:after="0"/>
              <w:jc w:val="left"/>
            </w:pPr>
            <w:r>
              <w:rPr>
                <w:rFonts w:ascii="Aptos" w:hAnsi="Aptos"/>
                <w:sz w:val="16"/>
              </w:rPr>
            </w:r>
            <w:r>
              <w:rPr>
                <w:rFonts w:ascii="Aptos" w:hAnsi="Aptos"/>
                <w:b w:val="0"/>
                <w:sz w:val="16"/>
              </w:rPr>
              <w:t>Mercury sulfur rich crust, carbonaceous asteroids, Bennu and Ryugu analogs, chondrite parent bodies</w:t>
            </w:r>
          </w:p>
        </w:tc>
        <w:tc>
          <w:tcPr>
            <w:tcW w:type="dxa" w:w="2520"/>
            <w:vAlign w:val="top"/>
          </w:tcPr>
          <w:p>
            <w:pPr>
              <w:spacing w:after="0"/>
              <w:jc w:val="left"/>
            </w:pPr>
            <w:r>
              <w:rPr>
                <w:rFonts w:ascii="Aptos" w:hAnsi="Aptos"/>
                <w:sz w:val="16"/>
              </w:rPr>
            </w:r>
            <w:r>
              <w:rPr>
                <w:rFonts w:ascii="Aptos" w:hAnsi="Aptos"/>
                <w:b w:val="0"/>
                <w:sz w:val="16"/>
              </w:rPr>
              <w:t>Sulfur proxy 180 USD per metric ton. Iron and nickel proxy depends on concentrate grade.</w:t>
            </w:r>
          </w:p>
        </w:tc>
        <w:tc>
          <w:tcPr>
            <w:tcW w:type="dxa" w:w="2520"/>
            <w:vAlign w:val="top"/>
          </w:tcPr>
          <w:p>
            <w:pPr>
              <w:spacing w:after="0"/>
              <w:jc w:val="left"/>
            </w:pPr>
            <w:r>
              <w:rPr>
                <w:rFonts w:ascii="Aptos" w:hAnsi="Aptos"/>
                <w:sz w:val="16"/>
              </w:rPr>
            </w:r>
            <w:r>
              <w:rPr>
                <w:rFonts w:ascii="Aptos" w:hAnsi="Aptos"/>
                <w:b w:val="0"/>
                <w:sz w:val="16"/>
              </w:rPr>
              <w:t>Medium. Valuable for sulfur chemistry and metal recovery. Mercury remains deferred by thermal constraints.</w:t>
            </w:r>
          </w:p>
        </w:tc>
      </w:tr>
      <w:tr>
        <w:tc>
          <w:tcPr>
            <w:tcW w:type="dxa" w:w="2520"/>
            <w:vAlign w:val="top"/>
          </w:tcPr>
          <w:p>
            <w:pPr>
              <w:spacing w:after="0"/>
              <w:jc w:val="left"/>
            </w:pPr>
            <w:r>
              <w:rPr>
                <w:rFonts w:ascii="Aptos" w:hAnsi="Aptos"/>
                <w:sz w:val="16"/>
              </w:rPr>
            </w:r>
            <w:r>
              <w:rPr>
                <w:rFonts w:ascii="Aptos" w:hAnsi="Aptos"/>
                <w:b w:val="0"/>
                <w:sz w:val="16"/>
              </w:rPr>
              <w:t>Graphite and carbon rich phases</w:t>
            </w:r>
          </w:p>
        </w:tc>
        <w:tc>
          <w:tcPr>
            <w:tcW w:type="dxa" w:w="2520"/>
            <w:vAlign w:val="top"/>
          </w:tcPr>
          <w:p>
            <w:pPr>
              <w:spacing w:after="0"/>
              <w:jc w:val="left"/>
            </w:pPr>
            <w:r>
              <w:rPr>
                <w:rFonts w:ascii="Aptos" w:hAnsi="Aptos"/>
                <w:sz w:val="16"/>
              </w:rPr>
            </w:r>
            <w:r>
              <w:rPr>
                <w:rFonts w:ascii="Aptos" w:hAnsi="Aptos"/>
                <w:b w:val="0"/>
                <w:sz w:val="16"/>
              </w:rPr>
              <w:t>Mercury low reflectance material, C type asteroids, Bennu and Ryugu, Ceres organics</w:t>
            </w:r>
          </w:p>
        </w:tc>
        <w:tc>
          <w:tcPr>
            <w:tcW w:type="dxa" w:w="2520"/>
            <w:vAlign w:val="top"/>
          </w:tcPr>
          <w:p>
            <w:pPr>
              <w:spacing w:after="0"/>
              <w:jc w:val="left"/>
            </w:pPr>
            <w:r>
              <w:rPr>
                <w:rFonts w:ascii="Aptos" w:hAnsi="Aptos"/>
                <w:sz w:val="16"/>
              </w:rPr>
            </w:r>
            <w:r>
              <w:rPr>
                <w:rFonts w:ascii="Aptos" w:hAnsi="Aptos"/>
                <w:b w:val="0"/>
                <w:sz w:val="16"/>
              </w:rPr>
              <w:t>Natural graphite annual import values: flake 1,000 USD per metric ton, lump and chip 2,600, amorphous 470.</w:t>
            </w:r>
          </w:p>
        </w:tc>
        <w:tc>
          <w:tcPr>
            <w:tcW w:type="dxa" w:w="2520"/>
            <w:vAlign w:val="top"/>
          </w:tcPr>
          <w:p>
            <w:pPr>
              <w:spacing w:after="0"/>
              <w:jc w:val="left"/>
            </w:pPr>
            <w:r>
              <w:rPr>
                <w:rFonts w:ascii="Aptos" w:hAnsi="Aptos"/>
                <w:sz w:val="16"/>
              </w:rPr>
            </w:r>
            <w:r>
              <w:rPr>
                <w:rFonts w:ascii="Aptos" w:hAnsi="Aptos"/>
                <w:b w:val="0"/>
                <w:sz w:val="16"/>
              </w:rPr>
              <w:t>High for electrodes, carbon feedstock, composites, reduction chemistry, and energy systems.</w:t>
            </w:r>
          </w:p>
        </w:tc>
      </w:tr>
      <w:tr>
        <w:tc>
          <w:tcPr>
            <w:tcW w:type="dxa" w:w="2520"/>
            <w:vAlign w:val="top"/>
          </w:tcPr>
          <w:p>
            <w:pPr>
              <w:spacing w:after="0"/>
              <w:jc w:val="left"/>
            </w:pPr>
            <w:r>
              <w:rPr>
                <w:rFonts w:ascii="Aptos" w:hAnsi="Aptos"/>
                <w:sz w:val="16"/>
              </w:rPr>
            </w:r>
            <w:r>
              <w:rPr>
                <w:rFonts w:ascii="Aptos" w:hAnsi="Aptos"/>
                <w:b w:val="0"/>
                <w:sz w:val="16"/>
              </w:rPr>
              <w:t>Silica, silicate glass, impact glass, agglutinates</w:t>
            </w:r>
          </w:p>
        </w:tc>
        <w:tc>
          <w:tcPr>
            <w:tcW w:type="dxa" w:w="2520"/>
            <w:vAlign w:val="top"/>
          </w:tcPr>
          <w:p>
            <w:pPr>
              <w:spacing w:after="0"/>
              <w:jc w:val="left"/>
            </w:pPr>
            <w:r>
              <w:rPr>
                <w:rFonts w:ascii="Aptos" w:hAnsi="Aptos"/>
                <w:sz w:val="16"/>
              </w:rPr>
            </w:r>
            <w:r>
              <w:rPr>
                <w:rFonts w:ascii="Aptos" w:hAnsi="Aptos"/>
                <w:b w:val="0"/>
                <w:sz w:val="16"/>
              </w:rPr>
              <w:t>Moon global regolith, Mars glass and silica deposits, Vesta, S type asteroids</w:t>
            </w:r>
          </w:p>
        </w:tc>
        <w:tc>
          <w:tcPr>
            <w:tcW w:type="dxa" w:w="2520"/>
            <w:vAlign w:val="top"/>
          </w:tcPr>
          <w:p>
            <w:pPr>
              <w:spacing w:after="0"/>
              <w:jc w:val="left"/>
            </w:pPr>
            <w:r>
              <w:rPr>
                <w:rFonts w:ascii="Aptos" w:hAnsi="Aptos"/>
                <w:sz w:val="16"/>
              </w:rPr>
            </w:r>
            <w:r>
              <w:rPr>
                <w:rFonts w:ascii="Aptos" w:hAnsi="Aptos"/>
                <w:b w:val="0"/>
                <w:sz w:val="16"/>
              </w:rPr>
              <w:t>Industrial silica sand 36 USD per metric ton. Construction sand and gravel 14.5 USD per metric ton.</w:t>
            </w:r>
          </w:p>
        </w:tc>
        <w:tc>
          <w:tcPr>
            <w:tcW w:type="dxa" w:w="2520"/>
            <w:vAlign w:val="top"/>
          </w:tcPr>
          <w:p>
            <w:pPr>
              <w:spacing w:after="0"/>
              <w:jc w:val="left"/>
            </w:pPr>
            <w:r>
              <w:rPr>
                <w:rFonts w:ascii="Aptos" w:hAnsi="Aptos"/>
                <w:sz w:val="16"/>
              </w:rPr>
            </w:r>
            <w:r>
              <w:rPr>
                <w:rFonts w:ascii="Aptos" w:hAnsi="Aptos"/>
                <w:b w:val="0"/>
                <w:sz w:val="16"/>
              </w:rPr>
              <w:t>High local value for pads, glass, ceramics, shielding, and construction. No Earth return case.</w:t>
            </w:r>
          </w:p>
        </w:tc>
      </w:tr>
      <w:tr>
        <w:tc>
          <w:tcPr>
            <w:tcW w:type="dxa" w:w="2520"/>
            <w:vAlign w:val="top"/>
          </w:tcPr>
          <w:p>
            <w:pPr>
              <w:spacing w:after="0"/>
              <w:jc w:val="left"/>
            </w:pPr>
            <w:r>
              <w:rPr>
                <w:rFonts w:ascii="Aptos" w:hAnsi="Aptos"/>
                <w:sz w:val="16"/>
              </w:rPr>
            </w:r>
            <w:r>
              <w:rPr>
                <w:rFonts w:ascii="Aptos" w:hAnsi="Aptos"/>
                <w:b w:val="0"/>
                <w:sz w:val="16"/>
              </w:rPr>
              <w:t>Spinel and chromite group minerals</w:t>
            </w:r>
          </w:p>
        </w:tc>
        <w:tc>
          <w:tcPr>
            <w:tcW w:type="dxa" w:w="2520"/>
            <w:vAlign w:val="top"/>
          </w:tcPr>
          <w:p>
            <w:pPr>
              <w:spacing w:after="0"/>
              <w:jc w:val="left"/>
            </w:pPr>
            <w:r>
              <w:rPr>
                <w:rFonts w:ascii="Aptos" w:hAnsi="Aptos"/>
                <w:sz w:val="16"/>
              </w:rPr>
            </w:r>
            <w:r>
              <w:rPr>
                <w:rFonts w:ascii="Aptos" w:hAnsi="Aptos"/>
                <w:b w:val="0"/>
                <w:sz w:val="16"/>
              </w:rPr>
              <w:t>Moon spinel exposures, ordinary chondrite analogs, Vesta accessory phases, Mercury chromium bearing surface data</w:t>
            </w:r>
          </w:p>
        </w:tc>
        <w:tc>
          <w:tcPr>
            <w:tcW w:type="dxa" w:w="2520"/>
            <w:vAlign w:val="top"/>
          </w:tcPr>
          <w:p>
            <w:pPr>
              <w:spacing w:after="0"/>
              <w:jc w:val="left"/>
            </w:pPr>
            <w:r>
              <w:rPr>
                <w:rFonts w:ascii="Aptos" w:hAnsi="Aptos"/>
                <w:sz w:val="16"/>
              </w:rPr>
            </w:r>
            <w:r>
              <w:rPr>
                <w:rFonts w:ascii="Aptos" w:hAnsi="Aptos"/>
                <w:b w:val="0"/>
                <w:sz w:val="16"/>
              </w:rPr>
              <w:t>Chromite ore 290 USD per metric ton. Ferrochromium chromium content 1.60 USD per pound.</w:t>
            </w:r>
          </w:p>
        </w:tc>
        <w:tc>
          <w:tcPr>
            <w:tcW w:type="dxa" w:w="2520"/>
            <w:vAlign w:val="top"/>
          </w:tcPr>
          <w:p>
            <w:pPr>
              <w:spacing w:after="0"/>
              <w:jc w:val="left"/>
            </w:pPr>
            <w:r>
              <w:rPr>
                <w:rFonts w:ascii="Aptos" w:hAnsi="Aptos"/>
                <w:sz w:val="16"/>
              </w:rPr>
            </w:r>
            <w:r>
              <w:rPr>
                <w:rFonts w:ascii="Aptos" w:hAnsi="Aptos"/>
                <w:b w:val="0"/>
                <w:sz w:val="16"/>
              </w:rPr>
              <w:t>Medium. Useful for high temperature alloys and refractory materials after basic industrial capability matures.</w:t>
            </w:r>
          </w:p>
        </w:tc>
      </w:tr>
      <w:tr>
        <w:tc>
          <w:tcPr>
            <w:tcW w:type="dxa" w:w="2520"/>
            <w:vAlign w:val="top"/>
          </w:tcPr>
          <w:p>
            <w:pPr>
              <w:spacing w:after="0"/>
              <w:jc w:val="left"/>
            </w:pPr>
            <w:r>
              <w:rPr>
                <w:rFonts w:ascii="Aptos" w:hAnsi="Aptos"/>
                <w:sz w:val="16"/>
              </w:rPr>
            </w:r>
            <w:r>
              <w:rPr>
                <w:rFonts w:ascii="Aptos" w:hAnsi="Aptos"/>
                <w:b w:val="0"/>
                <w:sz w:val="16"/>
              </w:rPr>
              <w:t>Manganese oxides and accessory manganese phases</w:t>
            </w:r>
          </w:p>
        </w:tc>
        <w:tc>
          <w:tcPr>
            <w:tcW w:type="dxa" w:w="2520"/>
            <w:vAlign w:val="top"/>
          </w:tcPr>
          <w:p>
            <w:pPr>
              <w:spacing w:after="0"/>
              <w:jc w:val="left"/>
            </w:pPr>
            <w:r>
              <w:rPr>
                <w:rFonts w:ascii="Aptos" w:hAnsi="Aptos"/>
                <w:sz w:val="16"/>
              </w:rPr>
            </w:r>
            <w:r>
              <w:rPr>
                <w:rFonts w:ascii="Aptos" w:hAnsi="Aptos"/>
                <w:b w:val="0"/>
                <w:sz w:val="16"/>
              </w:rPr>
              <w:t>Mars alteration deposits, asteroids and meteorite analogs, potential accessory phases in differentiated bodies</w:t>
            </w:r>
          </w:p>
        </w:tc>
        <w:tc>
          <w:tcPr>
            <w:tcW w:type="dxa" w:w="2520"/>
            <w:vAlign w:val="top"/>
          </w:tcPr>
          <w:p>
            <w:pPr>
              <w:spacing w:after="0"/>
              <w:jc w:val="left"/>
            </w:pPr>
            <w:r>
              <w:rPr>
                <w:rFonts w:ascii="Aptos" w:hAnsi="Aptos"/>
                <w:sz w:val="16"/>
              </w:rPr>
            </w:r>
            <w:r>
              <w:rPr>
                <w:rFonts w:ascii="Aptos" w:hAnsi="Aptos"/>
                <w:b w:val="0"/>
                <w:sz w:val="16"/>
              </w:rPr>
              <w:t>Manganese ore average 4.50 USD per metric ton unit of Mn content.</w:t>
            </w:r>
          </w:p>
        </w:tc>
        <w:tc>
          <w:tcPr>
            <w:tcW w:type="dxa" w:w="2520"/>
            <w:vAlign w:val="top"/>
          </w:tcPr>
          <w:p>
            <w:pPr>
              <w:spacing w:after="0"/>
              <w:jc w:val="left"/>
            </w:pPr>
            <w:r>
              <w:rPr>
                <w:rFonts w:ascii="Aptos" w:hAnsi="Aptos"/>
                <w:sz w:val="16"/>
              </w:rPr>
            </w:r>
            <w:r>
              <w:rPr>
                <w:rFonts w:ascii="Aptos" w:hAnsi="Aptos"/>
                <w:b w:val="0"/>
                <w:sz w:val="16"/>
              </w:rPr>
              <w:t>Medium to low near term. Useful in steel and batteries but not a Phase 1 extraction driver.</w:t>
            </w:r>
          </w:p>
        </w:tc>
      </w:tr>
      <w:tr>
        <w:tc>
          <w:tcPr>
            <w:tcW w:type="dxa" w:w="2520"/>
            <w:vAlign w:val="top"/>
          </w:tcPr>
          <w:p>
            <w:pPr>
              <w:spacing w:after="0"/>
              <w:jc w:val="left"/>
            </w:pPr>
            <w:r>
              <w:rPr>
                <w:rFonts w:ascii="Aptos" w:hAnsi="Aptos"/>
                <w:sz w:val="16"/>
              </w:rPr>
            </w:r>
            <w:r>
              <w:rPr>
                <w:rFonts w:ascii="Aptos" w:hAnsi="Aptos"/>
                <w:b w:val="0"/>
                <w:sz w:val="16"/>
              </w:rPr>
              <w:t>Copper, cobalt, tin, and technology metal accessory phases</w:t>
            </w:r>
          </w:p>
        </w:tc>
        <w:tc>
          <w:tcPr>
            <w:tcW w:type="dxa" w:w="2520"/>
            <w:vAlign w:val="top"/>
          </w:tcPr>
          <w:p>
            <w:pPr>
              <w:spacing w:after="0"/>
              <w:jc w:val="left"/>
            </w:pPr>
            <w:r>
              <w:rPr>
                <w:rFonts w:ascii="Aptos" w:hAnsi="Aptos"/>
                <w:sz w:val="16"/>
              </w:rPr>
            </w:r>
            <w:r>
              <w:rPr>
                <w:rFonts w:ascii="Aptos" w:hAnsi="Aptos"/>
                <w:b w:val="0"/>
                <w:sz w:val="16"/>
              </w:rPr>
              <w:t>Differentiated asteroids, metallic bodies, Mars accessory phases, chondrite analogs</w:t>
            </w:r>
          </w:p>
        </w:tc>
        <w:tc>
          <w:tcPr>
            <w:tcW w:type="dxa" w:w="2520"/>
            <w:vAlign w:val="top"/>
          </w:tcPr>
          <w:p>
            <w:pPr>
              <w:spacing w:after="0"/>
              <w:jc w:val="left"/>
            </w:pPr>
            <w:r>
              <w:rPr>
                <w:rFonts w:ascii="Aptos" w:hAnsi="Aptos"/>
                <w:sz w:val="16"/>
              </w:rPr>
            </w:r>
            <w:r>
              <w:rPr>
                <w:rFonts w:ascii="Aptos" w:hAnsi="Aptos"/>
                <w:b w:val="0"/>
                <w:sz w:val="16"/>
              </w:rPr>
              <w:t>Copper 6.15 USD per pound, about 13,560 USD per metric ton. Cobalt 56,290 USD per metric ton. Tin 49,721 USD per metric ton.</w:t>
            </w:r>
          </w:p>
        </w:tc>
        <w:tc>
          <w:tcPr>
            <w:tcW w:type="dxa" w:w="2520"/>
            <w:vAlign w:val="top"/>
          </w:tcPr>
          <w:p>
            <w:pPr>
              <w:spacing w:after="0"/>
              <w:jc w:val="left"/>
            </w:pPr>
            <w:r>
              <w:rPr>
                <w:rFonts w:ascii="Aptos" w:hAnsi="Aptos"/>
                <w:sz w:val="16"/>
              </w:rPr>
            </w:r>
            <w:r>
              <w:rPr>
                <w:rFonts w:ascii="Aptos" w:hAnsi="Aptos"/>
                <w:b w:val="0"/>
                <w:sz w:val="16"/>
              </w:rPr>
              <w:t>High only where grade is verified. Use in space for electrical systems and specialty alloys before considering Earth return.</w:t>
            </w:r>
          </w:p>
        </w:tc>
      </w:tr>
      <w:tr>
        <w:tc>
          <w:tcPr>
            <w:tcW w:type="dxa" w:w="2520"/>
            <w:vAlign w:val="top"/>
          </w:tcPr>
          <w:p>
            <w:pPr>
              <w:spacing w:after="0"/>
              <w:jc w:val="left"/>
            </w:pPr>
            <w:r>
              <w:rPr>
                <w:rFonts w:ascii="Aptos" w:hAnsi="Aptos"/>
                <w:sz w:val="16"/>
              </w:rPr>
            </w:r>
            <w:r>
              <w:rPr>
                <w:rFonts w:ascii="Aptos" w:hAnsi="Aptos"/>
                <w:b w:val="0"/>
                <w:sz w:val="16"/>
              </w:rPr>
              <w:t>Lithium, potassium, sodium and evaporite brine products</w:t>
            </w:r>
          </w:p>
        </w:tc>
        <w:tc>
          <w:tcPr>
            <w:tcW w:type="dxa" w:w="2520"/>
            <w:vAlign w:val="top"/>
          </w:tcPr>
          <w:p>
            <w:pPr>
              <w:spacing w:after="0"/>
              <w:jc w:val="left"/>
            </w:pPr>
            <w:r>
              <w:rPr>
                <w:rFonts w:ascii="Aptos" w:hAnsi="Aptos"/>
                <w:sz w:val="16"/>
              </w:rPr>
            </w:r>
            <w:r>
              <w:rPr>
                <w:rFonts w:ascii="Aptos" w:hAnsi="Aptos"/>
                <w:b w:val="0"/>
                <w:sz w:val="16"/>
              </w:rPr>
              <w:t>Ceres brine residues, Bennu salts, Mars evaporites, carbonaceous bodies</w:t>
            </w:r>
          </w:p>
        </w:tc>
        <w:tc>
          <w:tcPr>
            <w:tcW w:type="dxa" w:w="2520"/>
            <w:vAlign w:val="top"/>
          </w:tcPr>
          <w:p>
            <w:pPr>
              <w:spacing w:after="0"/>
              <w:jc w:val="left"/>
            </w:pPr>
            <w:r>
              <w:rPr>
                <w:rFonts w:ascii="Aptos" w:hAnsi="Aptos"/>
                <w:sz w:val="16"/>
              </w:rPr>
            </w:r>
            <w:r>
              <w:rPr>
                <w:rFonts w:ascii="Aptos" w:hAnsi="Aptos"/>
                <w:b w:val="0"/>
                <w:sz w:val="16"/>
              </w:rPr>
              <w:t>Lithium carbonate China reference 187,500 CNY per metric ton. Soda ash 1,222 CNY per metric ton current China reference, or USGS natural soda ash 150 USD per metric ton.</w:t>
            </w:r>
          </w:p>
        </w:tc>
        <w:tc>
          <w:tcPr>
            <w:tcW w:type="dxa" w:w="2520"/>
            <w:vAlign w:val="top"/>
          </w:tcPr>
          <w:p>
            <w:pPr>
              <w:spacing w:after="0"/>
              <w:jc w:val="left"/>
            </w:pPr>
            <w:r>
              <w:rPr>
                <w:rFonts w:ascii="Aptos" w:hAnsi="Aptos"/>
                <w:sz w:val="16"/>
              </w:rPr>
            </w:r>
            <w:r>
              <w:rPr>
                <w:rFonts w:ascii="Aptos" w:hAnsi="Aptos"/>
                <w:b w:val="0"/>
                <w:sz w:val="16"/>
              </w:rPr>
              <w:t>Medium long term. Battery and electrolyte value is high, but confirmed mineable off world grade remains immature.</w:t>
            </w:r>
          </w:p>
        </w:tc>
      </w:tr>
      <w:tr>
        <w:tc>
          <w:tcPr>
            <w:tcW w:type="dxa" w:w="2520"/>
            <w:vAlign w:val="top"/>
          </w:tcPr>
          <w:p>
            <w:pPr>
              <w:spacing w:after="0"/>
              <w:jc w:val="left"/>
            </w:pPr>
            <w:r>
              <w:rPr>
                <w:rFonts w:ascii="Aptos" w:hAnsi="Aptos"/>
                <w:sz w:val="16"/>
              </w:rPr>
            </w:r>
            <w:r>
              <w:rPr>
                <w:rFonts w:ascii="Aptos" w:hAnsi="Aptos"/>
                <w:b w:val="0"/>
                <w:sz w:val="16"/>
              </w:rPr>
              <w:t>Platinum group metal carriers</w:t>
            </w:r>
          </w:p>
        </w:tc>
        <w:tc>
          <w:tcPr>
            <w:tcW w:type="dxa" w:w="2520"/>
            <w:vAlign w:val="top"/>
          </w:tcPr>
          <w:p>
            <w:pPr>
              <w:spacing w:after="0"/>
              <w:jc w:val="left"/>
            </w:pPr>
            <w:r>
              <w:rPr>
                <w:rFonts w:ascii="Aptos" w:hAnsi="Aptos"/>
                <w:sz w:val="16"/>
              </w:rPr>
            </w:r>
            <w:r>
              <w:rPr>
                <w:rFonts w:ascii="Aptos" w:hAnsi="Aptos"/>
                <w:b w:val="0"/>
                <w:sz w:val="16"/>
              </w:rPr>
              <w:t>M type asteroids, iron meteorite parent bodies, S type asteroids, Psyche class targets inferred</w:t>
            </w:r>
          </w:p>
        </w:tc>
        <w:tc>
          <w:tcPr>
            <w:tcW w:type="dxa" w:w="2520"/>
            <w:vAlign w:val="top"/>
          </w:tcPr>
          <w:p>
            <w:pPr>
              <w:spacing w:after="0"/>
              <w:jc w:val="left"/>
            </w:pPr>
            <w:r>
              <w:rPr>
                <w:rFonts w:ascii="Aptos" w:hAnsi="Aptos"/>
                <w:sz w:val="16"/>
              </w:rPr>
            </w:r>
            <w:r>
              <w:rPr>
                <w:rFonts w:ascii="Aptos" w:hAnsi="Aptos"/>
                <w:b w:val="0"/>
                <w:sz w:val="16"/>
              </w:rPr>
              <w:t>Platinum 2,054 USD per troy ounce, palladium 1,563, rhodium 9,950, iridium 7,600, ruthenium 1,600.</w:t>
            </w:r>
          </w:p>
        </w:tc>
        <w:tc>
          <w:tcPr>
            <w:tcW w:type="dxa" w:w="2520"/>
            <w:vAlign w:val="top"/>
          </w:tcPr>
          <w:p>
            <w:pPr>
              <w:spacing w:after="0"/>
              <w:jc w:val="left"/>
            </w:pPr>
            <w:r>
              <w:rPr>
                <w:rFonts w:ascii="Aptos" w:hAnsi="Aptos"/>
                <w:sz w:val="16"/>
              </w:rPr>
            </w:r>
            <w:r>
              <w:rPr>
                <w:rFonts w:ascii="Aptos" w:hAnsi="Aptos"/>
                <w:b w:val="0"/>
                <w:sz w:val="16"/>
              </w:rPr>
              <w:t>Best Earth return candidate class. Still requires verified grade, automated mining, low cost return, and market impact control.</w:t>
            </w:r>
          </w:p>
        </w:tc>
      </w:tr>
    </w:tbl>
    <w:p>
      <w:pPr>
        <w:pStyle w:val="Heading2"/>
        <w:spacing w:before="200" w:after="120"/>
      </w:pPr>
      <w:r>
        <w:rPr>
          <w:rFonts w:ascii="Aptos" w:hAnsi="Aptos"/>
          <w:b/>
          <w:sz w:val="24"/>
        </w:rPr>
        <w:t>15.3 Cost Analysis and Economic Priority</w:t>
      </w:r>
    </w:p>
    <w:p>
      <w:pPr>
        <w:spacing w:after="120"/>
      </w:pPr>
      <w:r>
        <w:rPr>
          <w:rFonts w:ascii="Aptos" w:hAnsi="Aptos"/>
          <w:sz w:val="21"/>
        </w:rPr>
        <w:t>The economics are separated into local use economics and Earth return economics. Local use economics compare the cost of producing a kilogram on the Moon, Mars, Ceres, or an asteroid against the cost of delivering that kilogram from Earth. Earth return economics compare the recovered commodity value against return, reentry, recovery, refining, insurance, and market impact costs.</w:t>
      </w:r>
    </w:p>
    <w:tbl>
      <w:tblPr>
        <w:tblStyle w:val="TableGrid"/>
        <w:tblW w:type="auto" w:w="0"/>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Resource product</w:t>
            </w:r>
          </w:p>
        </w:tc>
        <w:tc>
          <w:tcPr>
            <w:tcW w:type="dxa" w:w="2520"/>
            <w:vAlign w:val="top"/>
            <w:shd w:fill="D9EAF7"/>
          </w:tcPr>
          <w:p>
            <w:pPr>
              <w:spacing w:after="0"/>
              <w:jc w:val="left"/>
            </w:pPr>
            <w:r>
              <w:rPr>
                <w:rFonts w:ascii="Aptos" w:hAnsi="Aptos"/>
                <w:b/>
                <w:sz w:val="16"/>
              </w:rPr>
            </w:r>
            <w:r>
              <w:rPr>
                <w:rFonts w:ascii="Aptos" w:hAnsi="Aptos"/>
                <w:b/>
                <w:sz w:val="16"/>
              </w:rPr>
              <w:t>Modeled production cost band</w:t>
            </w:r>
          </w:p>
        </w:tc>
        <w:tc>
          <w:tcPr>
            <w:tcW w:type="dxa" w:w="2520"/>
            <w:vAlign w:val="top"/>
            <w:shd w:fill="D9EAF7"/>
          </w:tcPr>
          <w:p>
            <w:pPr>
              <w:spacing w:after="0"/>
              <w:jc w:val="left"/>
            </w:pPr>
            <w:r>
              <w:rPr>
                <w:rFonts w:ascii="Aptos" w:hAnsi="Aptos"/>
                <w:b/>
                <w:sz w:val="16"/>
              </w:rPr>
            </w:r>
            <w:r>
              <w:rPr>
                <w:rFonts w:ascii="Aptos" w:hAnsi="Aptos"/>
                <w:b/>
                <w:sz w:val="16"/>
              </w:rPr>
              <w:t>Value basis</w:t>
            </w:r>
          </w:p>
        </w:tc>
        <w:tc>
          <w:tcPr>
            <w:tcW w:type="dxa" w:w="2520"/>
            <w:vAlign w:val="top"/>
            <w:shd w:fill="D9EAF7"/>
          </w:tcPr>
          <w:p>
            <w:pPr>
              <w:spacing w:after="0"/>
              <w:jc w:val="left"/>
            </w:pPr>
            <w:r>
              <w:rPr>
                <w:rFonts w:ascii="Aptos" w:hAnsi="Aptos"/>
                <w:b/>
                <w:sz w:val="16"/>
              </w:rPr>
            </w:r>
            <w:r>
              <w:rPr>
                <w:rFonts w:ascii="Aptos" w:hAnsi="Aptos"/>
                <w:b/>
                <w:sz w:val="16"/>
              </w:rPr>
              <w:t>Decision posture</w:t>
            </w:r>
          </w:p>
        </w:tc>
      </w:tr>
      <w:tr>
        <w:tc>
          <w:tcPr>
            <w:tcW w:type="dxa" w:w="2520"/>
            <w:vAlign w:val="top"/>
          </w:tcPr>
          <w:p>
            <w:pPr>
              <w:spacing w:after="0"/>
              <w:jc w:val="left"/>
            </w:pPr>
            <w:r>
              <w:rPr>
                <w:rFonts w:ascii="Aptos" w:hAnsi="Aptos"/>
                <w:sz w:val="16"/>
              </w:rPr>
            </w:r>
            <w:r>
              <w:rPr>
                <w:rFonts w:ascii="Aptos" w:hAnsi="Aptos"/>
                <w:b w:val="0"/>
                <w:sz w:val="16"/>
              </w:rPr>
              <w:t>Lunar water ice to purified water</w:t>
            </w:r>
          </w:p>
        </w:tc>
        <w:tc>
          <w:tcPr>
            <w:tcW w:type="dxa" w:w="2520"/>
            <w:vAlign w:val="top"/>
          </w:tcPr>
          <w:p>
            <w:pPr>
              <w:spacing w:after="0"/>
              <w:jc w:val="left"/>
            </w:pPr>
            <w:r>
              <w:rPr>
                <w:rFonts w:ascii="Aptos" w:hAnsi="Aptos"/>
                <w:sz w:val="16"/>
              </w:rPr>
            </w:r>
            <w:r>
              <w:rPr>
                <w:rFonts w:ascii="Aptos" w:hAnsi="Aptos"/>
                <w:b w:val="0"/>
                <w:sz w:val="16"/>
              </w:rPr>
              <w:t>300 to 1,500 USD per kg early pilot. 40 to 200 USD per kg mature local production.</w:t>
            </w:r>
          </w:p>
        </w:tc>
        <w:tc>
          <w:tcPr>
            <w:tcW w:type="dxa" w:w="2520"/>
            <w:vAlign w:val="top"/>
          </w:tcPr>
          <w:p>
            <w:pPr>
              <w:spacing w:after="0"/>
              <w:jc w:val="left"/>
            </w:pPr>
            <w:r>
              <w:rPr>
                <w:rFonts w:ascii="Aptos" w:hAnsi="Aptos"/>
                <w:sz w:val="16"/>
              </w:rPr>
            </w:r>
            <w:r>
              <w:rPr>
                <w:rFonts w:ascii="Aptos" w:hAnsi="Aptos"/>
                <w:b w:val="0"/>
                <w:sz w:val="16"/>
              </w:rPr>
              <w:t>800 to 4,000 USD per kg avoided lunar delivery value.</w:t>
            </w:r>
          </w:p>
        </w:tc>
        <w:tc>
          <w:tcPr>
            <w:tcW w:type="dxa" w:w="2520"/>
            <w:vAlign w:val="top"/>
          </w:tcPr>
          <w:p>
            <w:pPr>
              <w:spacing w:after="0"/>
              <w:jc w:val="left"/>
            </w:pPr>
            <w:r>
              <w:rPr>
                <w:rFonts w:ascii="Aptos" w:hAnsi="Aptos"/>
                <w:sz w:val="16"/>
              </w:rPr>
            </w:r>
            <w:r>
              <w:rPr>
                <w:rFonts w:ascii="Aptos" w:hAnsi="Aptos"/>
                <w:b w:val="0"/>
                <w:sz w:val="16"/>
              </w:rPr>
              <w:t>Proceed first. This is the core Phase 1 resource.</w:t>
            </w:r>
          </w:p>
        </w:tc>
      </w:tr>
      <w:tr>
        <w:tc>
          <w:tcPr>
            <w:tcW w:type="dxa" w:w="2520"/>
            <w:vAlign w:val="top"/>
          </w:tcPr>
          <w:p>
            <w:pPr>
              <w:spacing w:after="0"/>
              <w:jc w:val="left"/>
            </w:pPr>
            <w:r>
              <w:rPr>
                <w:rFonts w:ascii="Aptos" w:hAnsi="Aptos"/>
                <w:sz w:val="16"/>
              </w:rPr>
            </w:r>
            <w:r>
              <w:rPr>
                <w:rFonts w:ascii="Aptos" w:hAnsi="Aptos"/>
                <w:b w:val="0"/>
                <w:sz w:val="16"/>
              </w:rPr>
              <w:t>Lunar water to oxygen and hydrogen</w:t>
            </w:r>
          </w:p>
        </w:tc>
        <w:tc>
          <w:tcPr>
            <w:tcW w:type="dxa" w:w="2520"/>
            <w:vAlign w:val="top"/>
          </w:tcPr>
          <w:p>
            <w:pPr>
              <w:spacing w:after="0"/>
              <w:jc w:val="left"/>
            </w:pPr>
            <w:r>
              <w:rPr>
                <w:rFonts w:ascii="Aptos" w:hAnsi="Aptos"/>
                <w:sz w:val="16"/>
              </w:rPr>
            </w:r>
            <w:r>
              <w:rPr>
                <w:rFonts w:ascii="Aptos" w:hAnsi="Aptos"/>
                <w:b w:val="0"/>
                <w:sz w:val="16"/>
              </w:rPr>
              <w:t>Oxygen 100 to 700 USD per kg early, 25 to 100 mature. Hydrogen 500 to 3,000 early, 200 to 1,000 mature.</w:t>
            </w:r>
          </w:p>
        </w:tc>
        <w:tc>
          <w:tcPr>
            <w:tcW w:type="dxa" w:w="2520"/>
            <w:vAlign w:val="top"/>
          </w:tcPr>
          <w:p>
            <w:pPr>
              <w:spacing w:after="0"/>
              <w:jc w:val="left"/>
            </w:pPr>
            <w:r>
              <w:rPr>
                <w:rFonts w:ascii="Aptos" w:hAnsi="Aptos"/>
                <w:sz w:val="16"/>
              </w:rPr>
            </w:r>
            <w:r>
              <w:rPr>
                <w:rFonts w:ascii="Aptos" w:hAnsi="Aptos"/>
                <w:b w:val="0"/>
                <w:sz w:val="16"/>
              </w:rPr>
              <w:t>Avoided delivered oxidizer and fuel cost. Strategic reserve value is higher than spot value.</w:t>
            </w:r>
          </w:p>
        </w:tc>
        <w:tc>
          <w:tcPr>
            <w:tcW w:type="dxa" w:w="2520"/>
            <w:vAlign w:val="top"/>
          </w:tcPr>
          <w:p>
            <w:pPr>
              <w:spacing w:after="0"/>
              <w:jc w:val="left"/>
            </w:pPr>
            <w:r>
              <w:rPr>
                <w:rFonts w:ascii="Aptos" w:hAnsi="Aptos"/>
                <w:sz w:val="16"/>
              </w:rPr>
            </w:r>
            <w:r>
              <w:rPr>
                <w:rFonts w:ascii="Aptos" w:hAnsi="Aptos"/>
                <w:b w:val="0"/>
                <w:sz w:val="16"/>
              </w:rPr>
              <w:t>Proceed with water plant. Hydrogen remains storage and reserve pacing item.</w:t>
            </w:r>
          </w:p>
        </w:tc>
      </w:tr>
      <w:tr>
        <w:tc>
          <w:tcPr>
            <w:tcW w:type="dxa" w:w="2520"/>
            <w:vAlign w:val="top"/>
          </w:tcPr>
          <w:p>
            <w:pPr>
              <w:spacing w:after="0"/>
              <w:jc w:val="left"/>
            </w:pPr>
            <w:r>
              <w:rPr>
                <w:rFonts w:ascii="Aptos" w:hAnsi="Aptos"/>
                <w:sz w:val="16"/>
              </w:rPr>
            </w:r>
            <w:r>
              <w:rPr>
                <w:rFonts w:ascii="Aptos" w:hAnsi="Aptos"/>
                <w:b w:val="0"/>
                <w:sz w:val="16"/>
              </w:rPr>
              <w:t>Regolith aggregate, pads, shielding blocks</w:t>
            </w:r>
          </w:p>
        </w:tc>
        <w:tc>
          <w:tcPr>
            <w:tcW w:type="dxa" w:w="2520"/>
            <w:vAlign w:val="top"/>
          </w:tcPr>
          <w:p>
            <w:pPr>
              <w:spacing w:after="0"/>
              <w:jc w:val="left"/>
            </w:pPr>
            <w:r>
              <w:rPr>
                <w:rFonts w:ascii="Aptos" w:hAnsi="Aptos"/>
                <w:sz w:val="16"/>
              </w:rPr>
            </w:r>
            <w:r>
              <w:rPr>
                <w:rFonts w:ascii="Aptos" w:hAnsi="Aptos"/>
                <w:b w:val="0"/>
                <w:sz w:val="16"/>
              </w:rPr>
              <w:t>20 to 200 USD per kg early. 2 to 20 USD per kg mature after robotic production.</w:t>
            </w:r>
          </w:p>
        </w:tc>
        <w:tc>
          <w:tcPr>
            <w:tcW w:type="dxa" w:w="2520"/>
            <w:vAlign w:val="top"/>
          </w:tcPr>
          <w:p>
            <w:pPr>
              <w:spacing w:after="0"/>
              <w:jc w:val="left"/>
            </w:pPr>
            <w:r>
              <w:rPr>
                <w:rFonts w:ascii="Aptos" w:hAnsi="Aptos"/>
                <w:sz w:val="16"/>
              </w:rPr>
            </w:r>
            <w:r>
              <w:rPr>
                <w:rFonts w:ascii="Aptos" w:hAnsi="Aptos"/>
                <w:b w:val="0"/>
                <w:sz w:val="16"/>
              </w:rPr>
              <w:t>Avoided delivery value dominates. Every tonne of local shielding avoids importing inert mass.</w:t>
            </w:r>
          </w:p>
        </w:tc>
        <w:tc>
          <w:tcPr>
            <w:tcW w:type="dxa" w:w="2520"/>
            <w:vAlign w:val="top"/>
          </w:tcPr>
          <w:p>
            <w:pPr>
              <w:spacing w:after="0"/>
              <w:jc w:val="left"/>
            </w:pPr>
            <w:r>
              <w:rPr>
                <w:rFonts w:ascii="Aptos" w:hAnsi="Aptos"/>
                <w:sz w:val="16"/>
              </w:rPr>
            </w:r>
            <w:r>
              <w:rPr>
                <w:rFonts w:ascii="Aptos" w:hAnsi="Aptos"/>
                <w:b w:val="0"/>
                <w:sz w:val="16"/>
              </w:rPr>
              <w:t>Proceed immediately after site preparation.</w:t>
            </w:r>
          </w:p>
        </w:tc>
      </w:tr>
      <w:tr>
        <w:tc>
          <w:tcPr>
            <w:tcW w:type="dxa" w:w="2520"/>
            <w:vAlign w:val="top"/>
          </w:tcPr>
          <w:p>
            <w:pPr>
              <w:spacing w:after="0"/>
              <w:jc w:val="left"/>
            </w:pPr>
            <w:r>
              <w:rPr>
                <w:rFonts w:ascii="Aptos" w:hAnsi="Aptos"/>
                <w:sz w:val="16"/>
              </w:rPr>
            </w:r>
            <w:r>
              <w:rPr>
                <w:rFonts w:ascii="Aptos" w:hAnsi="Aptos"/>
                <w:b w:val="0"/>
                <w:sz w:val="16"/>
              </w:rPr>
              <w:t>Lunar oxygen from regolith</w:t>
            </w:r>
          </w:p>
        </w:tc>
        <w:tc>
          <w:tcPr>
            <w:tcW w:type="dxa" w:w="2520"/>
            <w:vAlign w:val="top"/>
          </w:tcPr>
          <w:p>
            <w:pPr>
              <w:spacing w:after="0"/>
              <w:jc w:val="left"/>
            </w:pPr>
            <w:r>
              <w:rPr>
                <w:rFonts w:ascii="Aptos" w:hAnsi="Aptos"/>
                <w:sz w:val="16"/>
              </w:rPr>
            </w:r>
            <w:r>
              <w:rPr>
                <w:rFonts w:ascii="Aptos" w:hAnsi="Aptos"/>
                <w:b w:val="0"/>
                <w:sz w:val="16"/>
              </w:rPr>
              <w:t>100 to 800 USD per kg early. 30 to 150 mature depending power cost and process yield.</w:t>
            </w:r>
          </w:p>
        </w:tc>
        <w:tc>
          <w:tcPr>
            <w:tcW w:type="dxa" w:w="2520"/>
            <w:vAlign w:val="top"/>
          </w:tcPr>
          <w:p>
            <w:pPr>
              <w:spacing w:after="0"/>
              <w:jc w:val="left"/>
            </w:pPr>
            <w:r>
              <w:rPr>
                <w:rFonts w:ascii="Aptos" w:hAnsi="Aptos"/>
                <w:sz w:val="16"/>
              </w:rPr>
            </w:r>
            <w:r>
              <w:rPr>
                <w:rFonts w:ascii="Aptos" w:hAnsi="Aptos"/>
                <w:b w:val="0"/>
                <w:sz w:val="16"/>
              </w:rPr>
              <w:t>High local oxidizer value and reserve value.</w:t>
            </w:r>
          </w:p>
        </w:tc>
        <w:tc>
          <w:tcPr>
            <w:tcW w:type="dxa" w:w="2520"/>
            <w:vAlign w:val="top"/>
          </w:tcPr>
          <w:p>
            <w:pPr>
              <w:spacing w:after="0"/>
              <w:jc w:val="left"/>
            </w:pPr>
            <w:r>
              <w:rPr>
                <w:rFonts w:ascii="Aptos" w:hAnsi="Aptos"/>
                <w:sz w:val="16"/>
              </w:rPr>
            </w:r>
            <w:r>
              <w:rPr>
                <w:rFonts w:ascii="Aptos" w:hAnsi="Aptos"/>
                <w:b w:val="0"/>
                <w:sz w:val="16"/>
              </w:rPr>
              <w:t>Proceed as backup to water electrolysis.</w:t>
            </w:r>
          </w:p>
        </w:tc>
      </w:tr>
      <w:tr>
        <w:tc>
          <w:tcPr>
            <w:tcW w:type="dxa" w:w="2520"/>
            <w:vAlign w:val="top"/>
          </w:tcPr>
          <w:p>
            <w:pPr>
              <w:spacing w:after="0"/>
              <w:jc w:val="left"/>
            </w:pPr>
            <w:r>
              <w:rPr>
                <w:rFonts w:ascii="Aptos" w:hAnsi="Aptos"/>
                <w:sz w:val="16"/>
              </w:rPr>
            </w:r>
            <w:r>
              <w:rPr>
                <w:rFonts w:ascii="Aptos" w:hAnsi="Aptos"/>
                <w:b w:val="0"/>
                <w:sz w:val="16"/>
              </w:rPr>
              <w:t>Lunar aluminum, titanium, iron, magnesium feedstocks</w:t>
            </w:r>
          </w:p>
        </w:tc>
        <w:tc>
          <w:tcPr>
            <w:tcW w:type="dxa" w:w="2520"/>
            <w:vAlign w:val="top"/>
          </w:tcPr>
          <w:p>
            <w:pPr>
              <w:spacing w:after="0"/>
              <w:jc w:val="left"/>
            </w:pPr>
            <w:r>
              <w:rPr>
                <w:rFonts w:ascii="Aptos" w:hAnsi="Aptos"/>
                <w:sz w:val="16"/>
              </w:rPr>
            </w:r>
            <w:r>
              <w:rPr>
                <w:rFonts w:ascii="Aptos" w:hAnsi="Aptos"/>
                <w:b w:val="0"/>
                <w:sz w:val="16"/>
              </w:rPr>
              <w:t>500 to 5,000 USD per kg mature for refined product. Higher in first pilot lots.</w:t>
            </w:r>
          </w:p>
        </w:tc>
        <w:tc>
          <w:tcPr>
            <w:tcW w:type="dxa" w:w="2520"/>
            <w:vAlign w:val="top"/>
          </w:tcPr>
          <w:p>
            <w:pPr>
              <w:spacing w:after="0"/>
              <w:jc w:val="left"/>
            </w:pPr>
            <w:r>
              <w:rPr>
                <w:rFonts w:ascii="Aptos" w:hAnsi="Aptos"/>
                <w:sz w:val="16"/>
              </w:rPr>
            </w:r>
            <w:r>
              <w:rPr>
                <w:rFonts w:ascii="Aptos" w:hAnsi="Aptos"/>
                <w:b w:val="0"/>
                <w:sz w:val="16"/>
              </w:rPr>
              <w:t>Useful only in space until processing is mature. Earth market prices are far too low for return.</w:t>
            </w:r>
          </w:p>
        </w:tc>
        <w:tc>
          <w:tcPr>
            <w:tcW w:type="dxa" w:w="2520"/>
            <w:vAlign w:val="top"/>
          </w:tcPr>
          <w:p>
            <w:pPr>
              <w:spacing w:after="0"/>
              <w:jc w:val="left"/>
            </w:pPr>
            <w:r>
              <w:rPr>
                <w:rFonts w:ascii="Aptos" w:hAnsi="Aptos"/>
                <w:sz w:val="16"/>
              </w:rPr>
            </w:r>
            <w:r>
              <w:rPr>
                <w:rFonts w:ascii="Aptos" w:hAnsi="Aptos"/>
                <w:b w:val="0"/>
                <w:sz w:val="16"/>
              </w:rPr>
              <w:t>Pilot after water, oxygen, power, and construction production stabilize.</w:t>
            </w:r>
          </w:p>
        </w:tc>
      </w:tr>
      <w:tr>
        <w:tc>
          <w:tcPr>
            <w:tcW w:type="dxa" w:w="2520"/>
            <w:vAlign w:val="top"/>
          </w:tcPr>
          <w:p>
            <w:pPr>
              <w:spacing w:after="0"/>
              <w:jc w:val="left"/>
            </w:pPr>
            <w:r>
              <w:rPr>
                <w:rFonts w:ascii="Aptos" w:hAnsi="Aptos"/>
                <w:sz w:val="16"/>
              </w:rPr>
            </w:r>
            <w:r>
              <w:rPr>
                <w:rFonts w:ascii="Aptos" w:hAnsi="Aptos"/>
                <w:b w:val="0"/>
                <w:sz w:val="16"/>
              </w:rPr>
              <w:t>Mars water, CO2 and basaltic feedstocks</w:t>
            </w:r>
          </w:p>
        </w:tc>
        <w:tc>
          <w:tcPr>
            <w:tcW w:type="dxa" w:w="2520"/>
            <w:vAlign w:val="top"/>
          </w:tcPr>
          <w:p>
            <w:pPr>
              <w:spacing w:after="0"/>
              <w:jc w:val="left"/>
            </w:pPr>
            <w:r>
              <w:rPr>
                <w:rFonts w:ascii="Aptos" w:hAnsi="Aptos"/>
                <w:sz w:val="16"/>
              </w:rPr>
            </w:r>
            <w:r>
              <w:rPr>
                <w:rFonts w:ascii="Aptos" w:hAnsi="Aptos"/>
                <w:b w:val="0"/>
                <w:sz w:val="16"/>
              </w:rPr>
              <w:t>Local cost target 50 to 300 USD per kg water equivalent after deployment. Methane and oxygen depend on power and hydrogen availability.</w:t>
            </w:r>
          </w:p>
        </w:tc>
        <w:tc>
          <w:tcPr>
            <w:tcW w:type="dxa" w:w="2520"/>
            <w:vAlign w:val="top"/>
          </w:tcPr>
          <w:p>
            <w:pPr>
              <w:spacing w:after="0"/>
              <w:jc w:val="left"/>
            </w:pPr>
            <w:r>
              <w:rPr>
                <w:rFonts w:ascii="Aptos" w:hAnsi="Aptos"/>
                <w:sz w:val="16"/>
              </w:rPr>
            </w:r>
            <w:r>
              <w:rPr>
                <w:rFonts w:ascii="Aptos" w:hAnsi="Aptos"/>
                <w:b w:val="0"/>
                <w:sz w:val="16"/>
              </w:rPr>
              <w:t>Supports Mars fuel, water, agriculture, and construction. Not an Earth return market.</w:t>
            </w:r>
          </w:p>
        </w:tc>
        <w:tc>
          <w:tcPr>
            <w:tcW w:type="dxa" w:w="2520"/>
            <w:vAlign w:val="top"/>
          </w:tcPr>
          <w:p>
            <w:pPr>
              <w:spacing w:after="0"/>
              <w:jc w:val="left"/>
            </w:pPr>
            <w:r>
              <w:rPr>
                <w:rFonts w:ascii="Aptos" w:hAnsi="Aptos"/>
                <w:sz w:val="16"/>
              </w:rPr>
            </w:r>
            <w:r>
              <w:rPr>
                <w:rFonts w:ascii="Aptos" w:hAnsi="Aptos"/>
                <w:b w:val="0"/>
                <w:sz w:val="16"/>
              </w:rPr>
              <w:t>Proceed during Inner System Scaling after lunar logistics are stable.</w:t>
            </w:r>
          </w:p>
        </w:tc>
      </w:tr>
      <w:tr>
        <w:tc>
          <w:tcPr>
            <w:tcW w:type="dxa" w:w="2520"/>
            <w:vAlign w:val="top"/>
          </w:tcPr>
          <w:p>
            <w:pPr>
              <w:spacing w:after="0"/>
              <w:jc w:val="left"/>
            </w:pPr>
            <w:r>
              <w:rPr>
                <w:rFonts w:ascii="Aptos" w:hAnsi="Aptos"/>
                <w:sz w:val="16"/>
              </w:rPr>
            </w:r>
            <w:r>
              <w:rPr>
                <w:rFonts w:ascii="Aptos" w:hAnsi="Aptos"/>
                <w:b w:val="0"/>
                <w:sz w:val="16"/>
              </w:rPr>
              <w:t>Venus atmospheric CO2 and sulfur chemistry</w:t>
            </w:r>
          </w:p>
        </w:tc>
        <w:tc>
          <w:tcPr>
            <w:tcW w:type="dxa" w:w="2520"/>
            <w:vAlign w:val="top"/>
          </w:tcPr>
          <w:p>
            <w:pPr>
              <w:spacing w:after="0"/>
              <w:jc w:val="left"/>
            </w:pPr>
            <w:r>
              <w:rPr>
                <w:rFonts w:ascii="Aptos" w:hAnsi="Aptos"/>
                <w:sz w:val="16"/>
              </w:rPr>
            </w:r>
            <w:r>
              <w:rPr>
                <w:rFonts w:ascii="Aptos" w:hAnsi="Aptos"/>
                <w:b w:val="0"/>
                <w:sz w:val="16"/>
              </w:rPr>
              <w:t>Platform dependent. Initial costs likely above 1,000 USD per kg useful product at pilot scale.</w:t>
            </w:r>
          </w:p>
        </w:tc>
        <w:tc>
          <w:tcPr>
            <w:tcW w:type="dxa" w:w="2520"/>
            <w:vAlign w:val="top"/>
          </w:tcPr>
          <w:p>
            <w:pPr>
              <w:spacing w:after="0"/>
              <w:jc w:val="left"/>
            </w:pPr>
            <w:r>
              <w:rPr>
                <w:rFonts w:ascii="Aptos" w:hAnsi="Aptos"/>
                <w:sz w:val="16"/>
              </w:rPr>
            </w:r>
            <w:r>
              <w:rPr>
                <w:rFonts w:ascii="Aptos" w:hAnsi="Aptos"/>
                <w:b w:val="0"/>
                <w:sz w:val="16"/>
              </w:rPr>
              <w:t>Strategic feedstock value for inner system chemistry and carbon supply.</w:t>
            </w:r>
          </w:p>
        </w:tc>
        <w:tc>
          <w:tcPr>
            <w:tcW w:type="dxa" w:w="2520"/>
            <w:vAlign w:val="top"/>
          </w:tcPr>
          <w:p>
            <w:pPr>
              <w:spacing w:after="0"/>
              <w:jc w:val="left"/>
            </w:pPr>
            <w:r>
              <w:rPr>
                <w:rFonts w:ascii="Aptos" w:hAnsi="Aptos"/>
                <w:sz w:val="16"/>
              </w:rPr>
            </w:r>
            <w:r>
              <w:rPr>
                <w:rFonts w:ascii="Aptos" w:hAnsi="Aptos"/>
                <w:b w:val="0"/>
                <w:sz w:val="16"/>
              </w:rPr>
              <w:t>Pilot after autonomous aerostat and acid resistant materials are proven.</w:t>
            </w:r>
          </w:p>
        </w:tc>
      </w:tr>
      <w:tr>
        <w:tc>
          <w:tcPr>
            <w:tcW w:type="dxa" w:w="2520"/>
            <w:vAlign w:val="top"/>
          </w:tcPr>
          <w:p>
            <w:pPr>
              <w:spacing w:after="0"/>
              <w:jc w:val="left"/>
            </w:pPr>
            <w:r>
              <w:rPr>
                <w:rFonts w:ascii="Aptos" w:hAnsi="Aptos"/>
                <w:sz w:val="16"/>
              </w:rPr>
            </w:r>
            <w:r>
              <w:rPr>
                <w:rFonts w:ascii="Aptos" w:hAnsi="Aptos"/>
                <w:b w:val="0"/>
                <w:sz w:val="16"/>
              </w:rPr>
              <w:t>Ceres water, clays, salts, and ammoniated minerals</w:t>
            </w:r>
          </w:p>
        </w:tc>
        <w:tc>
          <w:tcPr>
            <w:tcW w:type="dxa" w:w="2520"/>
            <w:vAlign w:val="top"/>
          </w:tcPr>
          <w:p>
            <w:pPr>
              <w:spacing w:after="0"/>
              <w:jc w:val="left"/>
            </w:pPr>
            <w:r>
              <w:rPr>
                <w:rFonts w:ascii="Aptos" w:hAnsi="Aptos"/>
                <w:sz w:val="16"/>
              </w:rPr>
            </w:r>
            <w:r>
              <w:rPr>
                <w:rFonts w:ascii="Aptos" w:hAnsi="Aptos"/>
                <w:b w:val="0"/>
                <w:sz w:val="16"/>
              </w:rPr>
              <w:t>20 to 150 USD per kg local water target after mature automation. Delivered to cislunar space may be 200 to 2,000 USD per kg depending propulsion.</w:t>
            </w:r>
          </w:p>
        </w:tc>
        <w:tc>
          <w:tcPr>
            <w:tcW w:type="dxa" w:w="2520"/>
            <w:vAlign w:val="top"/>
          </w:tcPr>
          <w:p>
            <w:pPr>
              <w:spacing w:after="0"/>
              <w:jc w:val="left"/>
            </w:pPr>
            <w:r>
              <w:rPr>
                <w:rFonts w:ascii="Aptos" w:hAnsi="Aptos"/>
                <w:sz w:val="16"/>
              </w:rPr>
            </w:r>
            <w:r>
              <w:rPr>
                <w:rFonts w:ascii="Aptos" w:hAnsi="Aptos"/>
                <w:b w:val="0"/>
                <w:sz w:val="16"/>
              </w:rPr>
              <w:t>Best belt logistics water and nitrogen chemistry target.</w:t>
            </w:r>
          </w:p>
        </w:tc>
        <w:tc>
          <w:tcPr>
            <w:tcW w:type="dxa" w:w="2520"/>
            <w:vAlign w:val="top"/>
          </w:tcPr>
          <w:p>
            <w:pPr>
              <w:spacing w:after="0"/>
              <w:jc w:val="left"/>
            </w:pPr>
            <w:r>
              <w:rPr>
                <w:rFonts w:ascii="Aptos" w:hAnsi="Aptos"/>
                <w:sz w:val="16"/>
              </w:rPr>
            </w:r>
            <w:r>
              <w:rPr>
                <w:rFonts w:ascii="Aptos" w:hAnsi="Aptos"/>
                <w:b w:val="0"/>
                <w:sz w:val="16"/>
              </w:rPr>
              <w:t>Scout early. Industrialize after lunar Phase 1 reaches stable production.</w:t>
            </w:r>
          </w:p>
        </w:tc>
      </w:tr>
      <w:tr>
        <w:tc>
          <w:tcPr>
            <w:tcW w:type="dxa" w:w="2520"/>
            <w:vAlign w:val="top"/>
          </w:tcPr>
          <w:p>
            <w:pPr>
              <w:spacing w:after="0"/>
              <w:jc w:val="left"/>
            </w:pPr>
            <w:r>
              <w:rPr>
                <w:rFonts w:ascii="Aptos" w:hAnsi="Aptos"/>
                <w:sz w:val="16"/>
              </w:rPr>
            </w:r>
            <w:r>
              <w:rPr>
                <w:rFonts w:ascii="Aptos" w:hAnsi="Aptos"/>
                <w:b w:val="0"/>
                <w:sz w:val="16"/>
              </w:rPr>
              <w:t>Asteroid nickel iron structural metal</w:t>
            </w:r>
          </w:p>
        </w:tc>
        <w:tc>
          <w:tcPr>
            <w:tcW w:type="dxa" w:w="2520"/>
            <w:vAlign w:val="top"/>
          </w:tcPr>
          <w:p>
            <w:pPr>
              <w:spacing w:after="0"/>
              <w:jc w:val="left"/>
            </w:pPr>
            <w:r>
              <w:rPr>
                <w:rFonts w:ascii="Aptos" w:hAnsi="Aptos"/>
                <w:sz w:val="16"/>
              </w:rPr>
            </w:r>
            <w:r>
              <w:rPr>
                <w:rFonts w:ascii="Aptos" w:hAnsi="Aptos"/>
                <w:b w:val="0"/>
                <w:sz w:val="16"/>
              </w:rPr>
              <w:t>50 to 500 USD per kg local processed metal target after mature robotic systems.</w:t>
            </w:r>
          </w:p>
        </w:tc>
        <w:tc>
          <w:tcPr>
            <w:tcW w:type="dxa" w:w="2520"/>
            <w:vAlign w:val="top"/>
          </w:tcPr>
          <w:p>
            <w:pPr>
              <w:spacing w:after="0"/>
              <w:jc w:val="left"/>
            </w:pPr>
            <w:r>
              <w:rPr>
                <w:rFonts w:ascii="Aptos" w:hAnsi="Aptos"/>
                <w:sz w:val="16"/>
              </w:rPr>
            </w:r>
            <w:r>
              <w:rPr>
                <w:rFonts w:ascii="Aptos" w:hAnsi="Aptos"/>
                <w:b w:val="0"/>
                <w:sz w:val="16"/>
              </w:rPr>
              <w:t>High in space structural value. Earth market value is too low for return.</w:t>
            </w:r>
          </w:p>
        </w:tc>
        <w:tc>
          <w:tcPr>
            <w:tcW w:type="dxa" w:w="2520"/>
            <w:vAlign w:val="top"/>
          </w:tcPr>
          <w:p>
            <w:pPr>
              <w:spacing w:after="0"/>
              <w:jc w:val="left"/>
            </w:pPr>
            <w:r>
              <w:rPr>
                <w:rFonts w:ascii="Aptos" w:hAnsi="Aptos"/>
                <w:sz w:val="16"/>
              </w:rPr>
            </w:r>
            <w:r>
              <w:rPr>
                <w:rFonts w:ascii="Aptos" w:hAnsi="Aptos"/>
                <w:b w:val="0"/>
                <w:sz w:val="16"/>
              </w:rPr>
              <w:t>Proceed after anchoring, cutting, power, and in space fabrication are demonstrated.</w:t>
            </w:r>
          </w:p>
        </w:tc>
      </w:tr>
      <w:tr>
        <w:tc>
          <w:tcPr>
            <w:tcW w:type="dxa" w:w="2520"/>
            <w:vAlign w:val="top"/>
          </w:tcPr>
          <w:p>
            <w:pPr>
              <w:spacing w:after="0"/>
              <w:jc w:val="left"/>
            </w:pPr>
            <w:r>
              <w:rPr>
                <w:rFonts w:ascii="Aptos" w:hAnsi="Aptos"/>
                <w:sz w:val="16"/>
              </w:rPr>
            </w:r>
            <w:r>
              <w:rPr>
                <w:rFonts w:ascii="Aptos" w:hAnsi="Aptos"/>
                <w:b w:val="0"/>
                <w:sz w:val="16"/>
              </w:rPr>
              <w:t>Asteroid platinum group metals</w:t>
            </w:r>
          </w:p>
        </w:tc>
        <w:tc>
          <w:tcPr>
            <w:tcW w:type="dxa" w:w="2520"/>
            <w:vAlign w:val="top"/>
          </w:tcPr>
          <w:p>
            <w:pPr>
              <w:spacing w:after="0"/>
              <w:jc w:val="left"/>
            </w:pPr>
            <w:r>
              <w:rPr>
                <w:rFonts w:ascii="Aptos" w:hAnsi="Aptos"/>
                <w:sz w:val="16"/>
              </w:rPr>
            </w:r>
            <w:r>
              <w:rPr>
                <w:rFonts w:ascii="Aptos" w:hAnsi="Aptos"/>
                <w:b w:val="0"/>
                <w:sz w:val="16"/>
              </w:rPr>
              <w:t>Extraction cost must be below recovered value after return. Current PGM proxy value ranges from about 50,000 to 320,000 USD per kg for palladium, platinum, ruthenium, iridium, and rhodium classes.</w:t>
            </w:r>
          </w:p>
        </w:tc>
        <w:tc>
          <w:tcPr>
            <w:tcW w:type="dxa" w:w="2520"/>
            <w:vAlign w:val="top"/>
          </w:tcPr>
          <w:p>
            <w:pPr>
              <w:spacing w:after="0"/>
              <w:jc w:val="left"/>
            </w:pPr>
            <w:r>
              <w:rPr>
                <w:rFonts w:ascii="Aptos" w:hAnsi="Aptos"/>
                <w:sz w:val="16"/>
              </w:rPr>
            </w:r>
            <w:r>
              <w:rPr>
                <w:rFonts w:ascii="Aptos" w:hAnsi="Aptos"/>
                <w:b w:val="0"/>
                <w:sz w:val="16"/>
              </w:rPr>
              <w:t>Only credible early Earth return category, but grade and market impact risk are major.</w:t>
            </w:r>
          </w:p>
        </w:tc>
        <w:tc>
          <w:tcPr>
            <w:tcW w:type="dxa" w:w="2520"/>
            <w:vAlign w:val="top"/>
          </w:tcPr>
          <w:p>
            <w:pPr>
              <w:spacing w:after="0"/>
              <w:jc w:val="left"/>
            </w:pPr>
            <w:r>
              <w:rPr>
                <w:rFonts w:ascii="Aptos" w:hAnsi="Aptos"/>
                <w:sz w:val="16"/>
              </w:rPr>
            </w:r>
            <w:r>
              <w:rPr>
                <w:rFonts w:ascii="Aptos" w:hAnsi="Aptos"/>
                <w:b w:val="0"/>
                <w:sz w:val="16"/>
              </w:rPr>
              <w:t>Defer until verified high grade bodies and low cost sample or capsule return are proven.</w:t>
            </w:r>
          </w:p>
        </w:tc>
      </w:tr>
    </w:tbl>
    <w:p>
      <w:pPr>
        <w:pStyle w:val="Heading2"/>
        <w:spacing w:before="200" w:after="120"/>
      </w:pPr>
      <w:r>
        <w:rPr>
          <w:rFonts w:ascii="Aptos" w:hAnsi="Aptos"/>
          <w:b/>
          <w:sz w:val="24"/>
        </w:rPr>
        <w:t>15.4 Recommended Resource Priority Stack</w:t>
      </w:r>
    </w:p>
    <w:p>
      <w:pPr>
        <w:spacing w:after="120"/>
      </w:pPr>
      <w:r>
        <w:rPr>
          <w:rFonts w:ascii="Aptos" w:hAnsi="Aptos"/>
          <w:b/>
          <w:sz w:val="21"/>
        </w:rPr>
        <w:t xml:space="preserve">Tier 1, Phase 1 operating resources: </w:t>
      </w:r>
      <w:r>
        <w:rPr>
          <w:rFonts w:ascii="Aptos" w:hAnsi="Aptos"/>
          <w:sz w:val="21"/>
        </w:rPr>
        <w:t>Water ice, oxygen bearing regolith, construction aggregate, shielding fill, LOX, hydrogen reserve, silica glass, and basic regolith products.</w:t>
      </w:r>
    </w:p>
    <w:p>
      <w:pPr>
        <w:spacing w:after="120"/>
      </w:pPr>
      <w:r>
        <w:rPr>
          <w:rFonts w:ascii="Aptos" w:hAnsi="Aptos"/>
          <w:b/>
          <w:sz w:val="21"/>
        </w:rPr>
        <w:t xml:space="preserve">Tier 2, early industrial growth resources: </w:t>
      </w:r>
      <w:r>
        <w:rPr>
          <w:rFonts w:ascii="Aptos" w:hAnsi="Aptos"/>
          <w:sz w:val="21"/>
        </w:rPr>
        <w:t>Ilmenite, anorthite, pyroxene, olivine, iron oxides, carbonates, sulfates, chlorides, phosphates, and carbon rich material.</w:t>
      </w:r>
    </w:p>
    <w:p>
      <w:pPr>
        <w:spacing w:after="120"/>
      </w:pPr>
      <w:r>
        <w:rPr>
          <w:rFonts w:ascii="Aptos" w:hAnsi="Aptos"/>
          <w:b/>
          <w:sz w:val="21"/>
        </w:rPr>
        <w:t xml:space="preserve">Tier 3, inner system and belt growth resources: </w:t>
      </w:r>
      <w:r>
        <w:rPr>
          <w:rFonts w:ascii="Aptos" w:hAnsi="Aptos"/>
          <w:sz w:val="21"/>
        </w:rPr>
        <w:t>Ceres water and ammoniated minerals, Mars carbonates and clays, asteroid nickel iron, graphitic carbon, and bulk silicates.</w:t>
      </w:r>
    </w:p>
    <w:p>
      <w:pPr>
        <w:spacing w:after="120"/>
      </w:pPr>
      <w:r>
        <w:rPr>
          <w:rFonts w:ascii="Aptos" w:hAnsi="Aptos"/>
          <w:b/>
          <w:sz w:val="21"/>
        </w:rPr>
        <w:t xml:space="preserve">Tier 4, strategic specialty resources: </w:t>
      </w:r>
      <w:r>
        <w:rPr>
          <w:rFonts w:ascii="Aptos" w:hAnsi="Aptos"/>
          <w:sz w:val="21"/>
        </w:rPr>
        <w:t>Rare earth bearing KREEP, chromite, manganese, copper, cobalt, lithium brines, and platinum group metal carriers.</w:t>
      </w:r>
    </w:p>
    <w:p>
      <w:pPr>
        <w:spacing w:after="120"/>
      </w:pPr>
      <w:r>
        <w:rPr>
          <w:rFonts w:ascii="Aptos" w:hAnsi="Aptos"/>
          <w:b/>
          <w:sz w:val="21"/>
        </w:rPr>
        <w:t xml:space="preserve">Tier 5, deferred extreme environment resources: </w:t>
      </w:r>
      <w:r>
        <w:rPr>
          <w:rFonts w:ascii="Aptos" w:hAnsi="Aptos"/>
          <w:sz w:val="21"/>
        </w:rPr>
        <w:t>Mercury polar volatiles, Mercury sulfides and graphite, Venus surface minerals, and deep belt M type metals before autonomous industrial maturity.</w:t>
      </w:r>
    </w:p>
    <w:p>
      <w:pPr>
        <w:pStyle w:val="Heading2"/>
        <w:spacing w:before="200" w:after="120"/>
      </w:pPr>
      <w:r>
        <w:rPr>
          <w:rFonts w:ascii="Aptos" w:hAnsi="Aptos"/>
          <w:b/>
          <w:sz w:val="24"/>
        </w:rPr>
        <w:t>15.5 Timeline and Milestone Register</w:t>
      </w:r>
    </w:p>
    <w:p>
      <w:pPr>
        <w:spacing w:after="120"/>
      </w:pPr>
      <w:r>
        <w:rPr>
          <w:rFonts w:ascii="Aptos" w:hAnsi="Aptos"/>
          <w:sz w:val="21"/>
        </w:rPr>
        <w:t>Timeline is shown from T0, board approval and funding authorization. Calendar dates assume T0 occurs in 2026. Milestones are linked to resource readiness, not only vehicle availability.</w:t>
      </w:r>
    </w:p>
    <w:tbl>
      <w:tblPr>
        <w:tblStyle w:val="TableGrid"/>
        <w:tblW w:type="auto" w:w="0"/>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Timing</w:t>
            </w:r>
          </w:p>
        </w:tc>
        <w:tc>
          <w:tcPr>
            <w:tcW w:type="dxa" w:w="2520"/>
            <w:vAlign w:val="top"/>
            <w:shd w:fill="D9EAF7"/>
          </w:tcPr>
          <w:p>
            <w:pPr>
              <w:spacing w:after="0"/>
              <w:jc w:val="left"/>
            </w:pPr>
            <w:r>
              <w:rPr>
                <w:rFonts w:ascii="Aptos" w:hAnsi="Aptos"/>
                <w:b/>
                <w:sz w:val="16"/>
              </w:rPr>
            </w:r>
            <w:r>
              <w:rPr>
                <w:rFonts w:ascii="Aptos" w:hAnsi="Aptos"/>
                <w:b/>
                <w:sz w:val="16"/>
              </w:rPr>
              <w:t>Milestone</w:t>
            </w:r>
          </w:p>
        </w:tc>
        <w:tc>
          <w:tcPr>
            <w:tcW w:type="dxa" w:w="2520"/>
            <w:vAlign w:val="top"/>
            <w:shd w:fill="D9EAF7"/>
          </w:tcPr>
          <w:p>
            <w:pPr>
              <w:spacing w:after="0"/>
              <w:jc w:val="left"/>
            </w:pPr>
            <w:r>
              <w:rPr>
                <w:rFonts w:ascii="Aptos" w:hAnsi="Aptos"/>
                <w:b/>
                <w:sz w:val="16"/>
              </w:rPr>
            </w:r>
            <w:r>
              <w:rPr>
                <w:rFonts w:ascii="Aptos" w:hAnsi="Aptos"/>
                <w:b/>
                <w:sz w:val="16"/>
              </w:rPr>
              <w:t>Scope</w:t>
            </w:r>
          </w:p>
        </w:tc>
        <w:tc>
          <w:tcPr>
            <w:tcW w:type="dxa" w:w="2520"/>
            <w:vAlign w:val="top"/>
            <w:shd w:fill="D9EAF7"/>
          </w:tcPr>
          <w:p>
            <w:pPr>
              <w:spacing w:after="0"/>
              <w:jc w:val="left"/>
            </w:pPr>
            <w:r>
              <w:rPr>
                <w:rFonts w:ascii="Aptos" w:hAnsi="Aptos"/>
                <w:b/>
                <w:sz w:val="16"/>
              </w:rPr>
            </w:r>
            <w:r>
              <w:rPr>
                <w:rFonts w:ascii="Aptos" w:hAnsi="Aptos"/>
                <w:b/>
                <w:sz w:val="16"/>
              </w:rPr>
              <w:t>Exit criterion</w:t>
            </w:r>
          </w:p>
        </w:tc>
      </w:tr>
      <w:tr>
        <w:tc>
          <w:tcPr>
            <w:tcW w:type="dxa" w:w="2520"/>
            <w:vAlign w:val="top"/>
          </w:tcPr>
          <w:p>
            <w:pPr>
              <w:spacing w:after="0"/>
              <w:jc w:val="left"/>
            </w:pPr>
            <w:r>
              <w:rPr>
                <w:rFonts w:ascii="Aptos" w:hAnsi="Aptos"/>
                <w:sz w:val="16"/>
              </w:rPr>
            </w:r>
            <w:r>
              <w:rPr>
                <w:rFonts w:ascii="Aptos" w:hAnsi="Aptos"/>
                <w:b w:val="0"/>
                <w:sz w:val="16"/>
              </w:rPr>
              <w:t>T0 to T plus 12 months, 2026 to 2027</w:t>
            </w:r>
          </w:p>
        </w:tc>
        <w:tc>
          <w:tcPr>
            <w:tcW w:type="dxa" w:w="2520"/>
            <w:vAlign w:val="top"/>
          </w:tcPr>
          <w:p>
            <w:pPr>
              <w:spacing w:after="0"/>
              <w:jc w:val="left"/>
            </w:pPr>
            <w:r>
              <w:rPr>
                <w:rFonts w:ascii="Aptos" w:hAnsi="Aptos"/>
                <w:sz w:val="16"/>
              </w:rPr>
            </w:r>
            <w:r>
              <w:rPr>
                <w:rFonts w:ascii="Aptos" w:hAnsi="Aptos"/>
                <w:b w:val="0"/>
                <w:sz w:val="16"/>
              </w:rPr>
              <w:t>Resource economics freeze</w:t>
            </w:r>
          </w:p>
        </w:tc>
        <w:tc>
          <w:tcPr>
            <w:tcW w:type="dxa" w:w="2520"/>
            <w:vAlign w:val="top"/>
          </w:tcPr>
          <w:p>
            <w:pPr>
              <w:spacing w:after="0"/>
              <w:jc w:val="left"/>
            </w:pPr>
            <w:r>
              <w:rPr>
                <w:rFonts w:ascii="Aptos" w:hAnsi="Aptos"/>
                <w:sz w:val="16"/>
              </w:rPr>
            </w:r>
            <w:r>
              <w:rPr>
                <w:rFonts w:ascii="Aptos" w:hAnsi="Aptos"/>
                <w:b w:val="0"/>
                <w:sz w:val="16"/>
              </w:rPr>
              <w:t>Lock target mineral list, price proxies, assay protocols, customer offtake logic, and prospecting payload requirements.</w:t>
            </w:r>
          </w:p>
        </w:tc>
        <w:tc>
          <w:tcPr>
            <w:tcW w:type="dxa" w:w="2520"/>
            <w:vAlign w:val="top"/>
          </w:tcPr>
          <w:p>
            <w:pPr>
              <w:spacing w:after="0"/>
              <w:jc w:val="left"/>
            </w:pPr>
            <w:r>
              <w:rPr>
                <w:rFonts w:ascii="Aptos" w:hAnsi="Aptos"/>
                <w:sz w:val="16"/>
              </w:rPr>
            </w:r>
            <w:r>
              <w:rPr>
                <w:rFonts w:ascii="Aptos" w:hAnsi="Aptos"/>
                <w:b w:val="0"/>
                <w:sz w:val="16"/>
              </w:rPr>
              <w:t>Board approved resource economics annex and prospecting requirement set.</w:t>
            </w:r>
          </w:p>
        </w:tc>
      </w:tr>
      <w:tr>
        <w:tc>
          <w:tcPr>
            <w:tcW w:type="dxa" w:w="2520"/>
            <w:vAlign w:val="top"/>
          </w:tcPr>
          <w:p>
            <w:pPr>
              <w:spacing w:after="0"/>
              <w:jc w:val="left"/>
            </w:pPr>
            <w:r>
              <w:rPr>
                <w:rFonts w:ascii="Aptos" w:hAnsi="Aptos"/>
                <w:sz w:val="16"/>
              </w:rPr>
            </w:r>
            <w:r>
              <w:rPr>
                <w:rFonts w:ascii="Aptos" w:hAnsi="Aptos"/>
                <w:b w:val="0"/>
                <w:sz w:val="16"/>
              </w:rPr>
              <w:t>T plus 12 to 24 months, 2027 to 2028</w:t>
            </w:r>
          </w:p>
        </w:tc>
        <w:tc>
          <w:tcPr>
            <w:tcW w:type="dxa" w:w="2520"/>
            <w:vAlign w:val="top"/>
          </w:tcPr>
          <w:p>
            <w:pPr>
              <w:spacing w:after="0"/>
              <w:jc w:val="left"/>
            </w:pPr>
            <w:r>
              <w:rPr>
                <w:rFonts w:ascii="Aptos" w:hAnsi="Aptos"/>
                <w:sz w:val="16"/>
              </w:rPr>
            </w:r>
            <w:r>
              <w:rPr>
                <w:rFonts w:ascii="Aptos" w:hAnsi="Aptos"/>
                <w:b w:val="0"/>
                <w:sz w:val="16"/>
              </w:rPr>
              <w:t>Prospecting payload deployment</w:t>
            </w:r>
          </w:p>
        </w:tc>
        <w:tc>
          <w:tcPr>
            <w:tcW w:type="dxa" w:w="2520"/>
            <w:vAlign w:val="top"/>
          </w:tcPr>
          <w:p>
            <w:pPr>
              <w:spacing w:after="0"/>
              <w:jc w:val="left"/>
            </w:pPr>
            <w:r>
              <w:rPr>
                <w:rFonts w:ascii="Aptos" w:hAnsi="Aptos"/>
                <w:sz w:val="16"/>
              </w:rPr>
            </w:r>
            <w:r>
              <w:rPr>
                <w:rFonts w:ascii="Aptos" w:hAnsi="Aptos"/>
                <w:b w:val="0"/>
                <w:sz w:val="16"/>
              </w:rPr>
              <w:t>Deploy lunar polar volatile scouts, regolith oxygen test payloads, and asteroid target spectral campaigns.</w:t>
            </w:r>
          </w:p>
        </w:tc>
        <w:tc>
          <w:tcPr>
            <w:tcW w:type="dxa" w:w="2520"/>
            <w:vAlign w:val="top"/>
          </w:tcPr>
          <w:p>
            <w:pPr>
              <w:spacing w:after="0"/>
              <w:jc w:val="left"/>
            </w:pPr>
            <w:r>
              <w:rPr>
                <w:rFonts w:ascii="Aptos" w:hAnsi="Aptos"/>
                <w:sz w:val="16"/>
              </w:rPr>
            </w:r>
            <w:r>
              <w:rPr>
                <w:rFonts w:ascii="Aptos" w:hAnsi="Aptos"/>
                <w:b w:val="0"/>
                <w:sz w:val="16"/>
              </w:rPr>
              <w:t>Resource target ranking updated with measured data.</w:t>
            </w:r>
          </w:p>
        </w:tc>
      </w:tr>
      <w:tr>
        <w:tc>
          <w:tcPr>
            <w:tcW w:type="dxa" w:w="2520"/>
            <w:vAlign w:val="top"/>
          </w:tcPr>
          <w:p>
            <w:pPr>
              <w:spacing w:after="0"/>
              <w:jc w:val="left"/>
            </w:pPr>
            <w:r>
              <w:rPr>
                <w:rFonts w:ascii="Aptos" w:hAnsi="Aptos"/>
                <w:sz w:val="16"/>
              </w:rPr>
            </w:r>
            <w:r>
              <w:rPr>
                <w:rFonts w:ascii="Aptos" w:hAnsi="Aptos"/>
                <w:b w:val="0"/>
                <w:sz w:val="16"/>
              </w:rPr>
              <w:t>T plus 2 to 4 years, 2028 to 2030</w:t>
            </w:r>
          </w:p>
        </w:tc>
        <w:tc>
          <w:tcPr>
            <w:tcW w:type="dxa" w:w="2520"/>
            <w:vAlign w:val="top"/>
          </w:tcPr>
          <w:p>
            <w:pPr>
              <w:spacing w:after="0"/>
              <w:jc w:val="left"/>
            </w:pPr>
            <w:r>
              <w:rPr>
                <w:rFonts w:ascii="Aptos" w:hAnsi="Aptos"/>
                <w:sz w:val="16"/>
              </w:rPr>
            </w:r>
            <w:r>
              <w:rPr>
                <w:rFonts w:ascii="Aptos" w:hAnsi="Aptos"/>
                <w:b w:val="0"/>
                <w:sz w:val="16"/>
              </w:rPr>
              <w:t>Robotic pilot extraction</w:t>
            </w:r>
          </w:p>
        </w:tc>
        <w:tc>
          <w:tcPr>
            <w:tcW w:type="dxa" w:w="2520"/>
            <w:vAlign w:val="top"/>
          </w:tcPr>
          <w:p>
            <w:pPr>
              <w:spacing w:after="0"/>
              <w:jc w:val="left"/>
            </w:pPr>
            <w:r>
              <w:rPr>
                <w:rFonts w:ascii="Aptos" w:hAnsi="Aptos"/>
                <w:sz w:val="16"/>
              </w:rPr>
            </w:r>
            <w:r>
              <w:rPr>
                <w:rFonts w:ascii="Aptos" w:hAnsi="Aptos"/>
                <w:b w:val="0"/>
                <w:sz w:val="16"/>
              </w:rPr>
              <w:t>Demonstrate excavation, volatile capture, water purification, regolith oxygen extraction, and local aggregate production.</w:t>
            </w:r>
          </w:p>
        </w:tc>
        <w:tc>
          <w:tcPr>
            <w:tcW w:type="dxa" w:w="2520"/>
            <w:vAlign w:val="top"/>
          </w:tcPr>
          <w:p>
            <w:pPr>
              <w:spacing w:after="0"/>
              <w:jc w:val="left"/>
            </w:pPr>
            <w:r>
              <w:rPr>
                <w:rFonts w:ascii="Aptos" w:hAnsi="Aptos"/>
                <w:sz w:val="16"/>
              </w:rPr>
            </w:r>
            <w:r>
              <w:rPr>
                <w:rFonts w:ascii="Aptos" w:hAnsi="Aptos"/>
                <w:b w:val="0"/>
                <w:sz w:val="16"/>
              </w:rPr>
              <w:t>Pilot water and oxygen production certified at kg per day to hundreds of kg per day scale.</w:t>
            </w:r>
          </w:p>
        </w:tc>
      </w:tr>
      <w:tr>
        <w:tc>
          <w:tcPr>
            <w:tcW w:type="dxa" w:w="2520"/>
            <w:vAlign w:val="top"/>
          </w:tcPr>
          <w:p>
            <w:pPr>
              <w:spacing w:after="0"/>
              <w:jc w:val="left"/>
            </w:pPr>
            <w:r>
              <w:rPr>
                <w:rFonts w:ascii="Aptos" w:hAnsi="Aptos"/>
                <w:sz w:val="16"/>
              </w:rPr>
            </w:r>
            <w:r>
              <w:rPr>
                <w:rFonts w:ascii="Aptos" w:hAnsi="Aptos"/>
                <w:b w:val="0"/>
                <w:sz w:val="16"/>
              </w:rPr>
              <w:t>T plus 4 to 6 years, 2030 to 2032</w:t>
            </w:r>
          </w:p>
        </w:tc>
        <w:tc>
          <w:tcPr>
            <w:tcW w:type="dxa" w:w="2520"/>
            <w:vAlign w:val="top"/>
          </w:tcPr>
          <w:p>
            <w:pPr>
              <w:spacing w:after="0"/>
              <w:jc w:val="left"/>
            </w:pPr>
            <w:r>
              <w:rPr>
                <w:rFonts w:ascii="Aptos" w:hAnsi="Aptos"/>
                <w:sz w:val="16"/>
              </w:rPr>
            </w:r>
            <w:r>
              <w:rPr>
                <w:rFonts w:ascii="Aptos" w:hAnsi="Aptos"/>
                <w:b w:val="0"/>
                <w:sz w:val="16"/>
              </w:rPr>
              <w:t>Lunar pre industrial scale</w:t>
            </w:r>
          </w:p>
        </w:tc>
        <w:tc>
          <w:tcPr>
            <w:tcW w:type="dxa" w:w="2520"/>
            <w:vAlign w:val="top"/>
          </w:tcPr>
          <w:p>
            <w:pPr>
              <w:spacing w:after="0"/>
              <w:jc w:val="left"/>
            </w:pPr>
            <w:r>
              <w:rPr>
                <w:rFonts w:ascii="Aptos" w:hAnsi="Aptos"/>
                <w:sz w:val="16"/>
              </w:rPr>
            </w:r>
            <w:r>
              <w:rPr>
                <w:rFonts w:ascii="Aptos" w:hAnsi="Aptos"/>
                <w:b w:val="0"/>
                <w:sz w:val="16"/>
              </w:rPr>
              <w:t>Scale water and oxygen production, begin shielding block and pad production, install protected storage and power interfaces.</w:t>
            </w:r>
          </w:p>
        </w:tc>
        <w:tc>
          <w:tcPr>
            <w:tcW w:type="dxa" w:w="2520"/>
            <w:vAlign w:val="top"/>
          </w:tcPr>
          <w:p>
            <w:pPr>
              <w:spacing w:after="0"/>
              <w:jc w:val="left"/>
            </w:pPr>
            <w:r>
              <w:rPr>
                <w:rFonts w:ascii="Aptos" w:hAnsi="Aptos"/>
                <w:sz w:val="16"/>
              </w:rPr>
            </w:r>
            <w:r>
              <w:rPr>
                <w:rFonts w:ascii="Aptos" w:hAnsi="Aptos"/>
                <w:b w:val="0"/>
                <w:sz w:val="16"/>
              </w:rPr>
              <w:t>Initial tonnes per day water equivalent production. Local civil material substitution begins.</w:t>
            </w:r>
          </w:p>
        </w:tc>
      </w:tr>
      <w:tr>
        <w:tc>
          <w:tcPr>
            <w:tcW w:type="dxa" w:w="2520"/>
            <w:vAlign w:val="top"/>
          </w:tcPr>
          <w:p>
            <w:pPr>
              <w:spacing w:after="0"/>
              <w:jc w:val="left"/>
            </w:pPr>
            <w:r>
              <w:rPr>
                <w:rFonts w:ascii="Aptos" w:hAnsi="Aptos"/>
                <w:sz w:val="16"/>
              </w:rPr>
            </w:r>
            <w:r>
              <w:rPr>
                <w:rFonts w:ascii="Aptos" w:hAnsi="Aptos"/>
                <w:b w:val="0"/>
                <w:sz w:val="16"/>
              </w:rPr>
              <w:t>T plus 6 to 10 years, 2032 to 2036</w:t>
            </w:r>
          </w:p>
        </w:tc>
        <w:tc>
          <w:tcPr>
            <w:tcW w:type="dxa" w:w="2520"/>
            <w:vAlign w:val="top"/>
          </w:tcPr>
          <w:p>
            <w:pPr>
              <w:spacing w:after="0"/>
              <w:jc w:val="left"/>
            </w:pPr>
            <w:r>
              <w:rPr>
                <w:rFonts w:ascii="Aptos" w:hAnsi="Aptos"/>
                <w:sz w:val="16"/>
              </w:rPr>
            </w:r>
            <w:r>
              <w:rPr>
                <w:rFonts w:ascii="Aptos" w:hAnsi="Aptos"/>
                <w:b w:val="0"/>
                <w:sz w:val="16"/>
              </w:rPr>
              <w:t>Phase 1 lunar industrial operation</w:t>
            </w:r>
          </w:p>
        </w:tc>
        <w:tc>
          <w:tcPr>
            <w:tcW w:type="dxa" w:w="2520"/>
            <w:vAlign w:val="top"/>
          </w:tcPr>
          <w:p>
            <w:pPr>
              <w:spacing w:after="0"/>
              <w:jc w:val="left"/>
            </w:pPr>
            <w:r>
              <w:rPr>
                <w:rFonts w:ascii="Aptos" w:hAnsi="Aptos"/>
                <w:sz w:val="16"/>
              </w:rPr>
            </w:r>
            <w:r>
              <w:rPr>
                <w:rFonts w:ascii="Aptos" w:hAnsi="Aptos"/>
                <w:b w:val="0"/>
                <w:sz w:val="16"/>
              </w:rPr>
              <w:t>Ramp toward 250 metric tons per day water extraction design, 55 to 65 metric tons per day oxygen nominal target, cryogenic inventory, and 1000 personnel support.</w:t>
            </w:r>
          </w:p>
        </w:tc>
        <w:tc>
          <w:tcPr>
            <w:tcW w:type="dxa" w:w="2520"/>
            <w:vAlign w:val="top"/>
          </w:tcPr>
          <w:p>
            <w:pPr>
              <w:spacing w:after="0"/>
              <w:jc w:val="left"/>
            </w:pPr>
            <w:r>
              <w:rPr>
                <w:rFonts w:ascii="Aptos" w:hAnsi="Aptos"/>
                <w:sz w:val="16"/>
              </w:rPr>
            </w:r>
            <w:r>
              <w:rPr>
                <w:rFonts w:ascii="Aptos" w:hAnsi="Aptos"/>
                <w:b w:val="0"/>
                <w:sz w:val="16"/>
              </w:rPr>
              <w:t>Full Phase 1 resource operations, refuge reserves green, export readiness validated.</w:t>
            </w:r>
          </w:p>
        </w:tc>
      </w:tr>
      <w:tr>
        <w:tc>
          <w:tcPr>
            <w:tcW w:type="dxa" w:w="2520"/>
            <w:vAlign w:val="top"/>
          </w:tcPr>
          <w:p>
            <w:pPr>
              <w:spacing w:after="0"/>
              <w:jc w:val="left"/>
            </w:pPr>
            <w:r>
              <w:rPr>
                <w:rFonts w:ascii="Aptos" w:hAnsi="Aptos"/>
                <w:sz w:val="16"/>
              </w:rPr>
            </w:r>
            <w:r>
              <w:rPr>
                <w:rFonts w:ascii="Aptos" w:hAnsi="Aptos"/>
                <w:b w:val="0"/>
                <w:sz w:val="16"/>
              </w:rPr>
              <w:t>T plus 8 to 12 years, 2034 to 2038</w:t>
            </w:r>
          </w:p>
        </w:tc>
        <w:tc>
          <w:tcPr>
            <w:tcW w:type="dxa" w:w="2520"/>
            <w:vAlign w:val="top"/>
          </w:tcPr>
          <w:p>
            <w:pPr>
              <w:spacing w:after="0"/>
              <w:jc w:val="left"/>
            </w:pPr>
            <w:r>
              <w:rPr>
                <w:rFonts w:ascii="Aptos" w:hAnsi="Aptos"/>
                <w:sz w:val="16"/>
              </w:rPr>
            </w:r>
            <w:r>
              <w:rPr>
                <w:rFonts w:ascii="Aptos" w:hAnsi="Aptos"/>
                <w:b w:val="0"/>
                <w:sz w:val="16"/>
              </w:rPr>
              <w:t>Mars and Venus precursor resource missions</w:t>
            </w:r>
          </w:p>
        </w:tc>
        <w:tc>
          <w:tcPr>
            <w:tcW w:type="dxa" w:w="2520"/>
            <w:vAlign w:val="top"/>
          </w:tcPr>
          <w:p>
            <w:pPr>
              <w:spacing w:after="0"/>
              <w:jc w:val="left"/>
            </w:pPr>
            <w:r>
              <w:rPr>
                <w:rFonts w:ascii="Aptos" w:hAnsi="Aptos"/>
                <w:sz w:val="16"/>
              </w:rPr>
            </w:r>
            <w:r>
              <w:rPr>
                <w:rFonts w:ascii="Aptos" w:hAnsi="Aptos"/>
                <w:b w:val="0"/>
                <w:sz w:val="16"/>
              </w:rPr>
              <w:t>Mars ice, carbonate, clay, and fuel chemistry demos. Venus atmospheric CO2 and sulfur chemistry aerostat demonstrator.</w:t>
            </w:r>
          </w:p>
        </w:tc>
        <w:tc>
          <w:tcPr>
            <w:tcW w:type="dxa" w:w="2520"/>
            <w:vAlign w:val="top"/>
          </w:tcPr>
          <w:p>
            <w:pPr>
              <w:spacing w:after="0"/>
              <w:jc w:val="left"/>
            </w:pPr>
            <w:r>
              <w:rPr>
                <w:rFonts w:ascii="Aptos" w:hAnsi="Aptos"/>
                <w:sz w:val="16"/>
              </w:rPr>
            </w:r>
            <w:r>
              <w:rPr>
                <w:rFonts w:ascii="Aptos" w:hAnsi="Aptos"/>
                <w:b w:val="0"/>
                <w:sz w:val="16"/>
              </w:rPr>
              <w:t>Inner System Scaling resource package validated for Phase 4.</w:t>
            </w:r>
          </w:p>
        </w:tc>
      </w:tr>
      <w:tr>
        <w:tc>
          <w:tcPr>
            <w:tcW w:type="dxa" w:w="2520"/>
            <w:vAlign w:val="top"/>
          </w:tcPr>
          <w:p>
            <w:pPr>
              <w:spacing w:after="0"/>
              <w:jc w:val="left"/>
            </w:pPr>
            <w:r>
              <w:rPr>
                <w:rFonts w:ascii="Aptos" w:hAnsi="Aptos"/>
                <w:sz w:val="16"/>
              </w:rPr>
            </w:r>
            <w:r>
              <w:rPr>
                <w:rFonts w:ascii="Aptos" w:hAnsi="Aptos"/>
                <w:b w:val="0"/>
                <w:sz w:val="16"/>
              </w:rPr>
              <w:t>T plus 10 to 15 years, 2036 to 2041</w:t>
            </w:r>
          </w:p>
        </w:tc>
        <w:tc>
          <w:tcPr>
            <w:tcW w:type="dxa" w:w="2520"/>
            <w:vAlign w:val="top"/>
          </w:tcPr>
          <w:p>
            <w:pPr>
              <w:spacing w:after="0"/>
              <w:jc w:val="left"/>
            </w:pPr>
            <w:r>
              <w:rPr>
                <w:rFonts w:ascii="Aptos" w:hAnsi="Aptos"/>
                <w:sz w:val="16"/>
              </w:rPr>
            </w:r>
            <w:r>
              <w:rPr>
                <w:rFonts w:ascii="Aptos" w:hAnsi="Aptos"/>
                <w:b w:val="0"/>
                <w:sz w:val="16"/>
              </w:rPr>
              <w:t>Ceres and asteroid belt scout phase</w:t>
            </w:r>
          </w:p>
        </w:tc>
        <w:tc>
          <w:tcPr>
            <w:tcW w:type="dxa" w:w="2520"/>
            <w:vAlign w:val="top"/>
          </w:tcPr>
          <w:p>
            <w:pPr>
              <w:spacing w:after="0"/>
              <w:jc w:val="left"/>
            </w:pPr>
            <w:r>
              <w:rPr>
                <w:rFonts w:ascii="Aptos" w:hAnsi="Aptos"/>
                <w:sz w:val="16"/>
              </w:rPr>
            </w:r>
            <w:r>
              <w:rPr>
                <w:rFonts w:ascii="Aptos" w:hAnsi="Aptos"/>
                <w:b w:val="0"/>
                <w:sz w:val="16"/>
              </w:rPr>
              <w:t>Map Ceres water, salts, ammoniated minerals, and candidate metallic or carbonaceous asteroid targets.</w:t>
            </w:r>
          </w:p>
        </w:tc>
        <w:tc>
          <w:tcPr>
            <w:tcW w:type="dxa" w:w="2520"/>
            <w:vAlign w:val="top"/>
          </w:tcPr>
          <w:p>
            <w:pPr>
              <w:spacing w:after="0"/>
              <w:jc w:val="left"/>
            </w:pPr>
            <w:r>
              <w:rPr>
                <w:rFonts w:ascii="Aptos" w:hAnsi="Aptos"/>
                <w:sz w:val="16"/>
              </w:rPr>
            </w:r>
            <w:r>
              <w:rPr>
                <w:rFonts w:ascii="Aptos" w:hAnsi="Aptos"/>
                <w:b w:val="0"/>
                <w:sz w:val="16"/>
              </w:rPr>
              <w:t>Belt resource shortlist and autonomous mining demo requirements frozen.</w:t>
            </w:r>
          </w:p>
        </w:tc>
      </w:tr>
      <w:tr>
        <w:tc>
          <w:tcPr>
            <w:tcW w:type="dxa" w:w="2520"/>
            <w:vAlign w:val="top"/>
          </w:tcPr>
          <w:p>
            <w:pPr>
              <w:spacing w:after="0"/>
              <w:jc w:val="left"/>
            </w:pPr>
            <w:r>
              <w:rPr>
                <w:rFonts w:ascii="Aptos" w:hAnsi="Aptos"/>
                <w:sz w:val="16"/>
              </w:rPr>
            </w:r>
            <w:r>
              <w:rPr>
                <w:rFonts w:ascii="Aptos" w:hAnsi="Aptos"/>
                <w:b w:val="0"/>
                <w:sz w:val="16"/>
              </w:rPr>
              <w:t>T plus 15 to 20 years, 2041 to 2046</w:t>
            </w:r>
          </w:p>
        </w:tc>
        <w:tc>
          <w:tcPr>
            <w:tcW w:type="dxa" w:w="2520"/>
            <w:vAlign w:val="top"/>
          </w:tcPr>
          <w:p>
            <w:pPr>
              <w:spacing w:after="0"/>
              <w:jc w:val="left"/>
            </w:pPr>
            <w:r>
              <w:rPr>
                <w:rFonts w:ascii="Aptos" w:hAnsi="Aptos"/>
                <w:sz w:val="16"/>
              </w:rPr>
            </w:r>
            <w:r>
              <w:rPr>
                <w:rFonts w:ascii="Aptos" w:hAnsi="Aptos"/>
                <w:b w:val="0"/>
                <w:sz w:val="16"/>
              </w:rPr>
              <w:t>Asteroid pilot processing</w:t>
            </w:r>
          </w:p>
        </w:tc>
        <w:tc>
          <w:tcPr>
            <w:tcW w:type="dxa" w:w="2520"/>
            <w:vAlign w:val="top"/>
          </w:tcPr>
          <w:p>
            <w:pPr>
              <w:spacing w:after="0"/>
              <w:jc w:val="left"/>
            </w:pPr>
            <w:r>
              <w:rPr>
                <w:rFonts w:ascii="Aptos" w:hAnsi="Aptos"/>
                <w:sz w:val="16"/>
              </w:rPr>
            </w:r>
            <w:r>
              <w:rPr>
                <w:rFonts w:ascii="Aptos" w:hAnsi="Aptos"/>
                <w:b w:val="0"/>
                <w:sz w:val="16"/>
              </w:rPr>
              <w:t>Demonstrate anchoring, cutting, volatile extraction, nickel iron processing, and in space fabrication feedstock.</w:t>
            </w:r>
          </w:p>
        </w:tc>
        <w:tc>
          <w:tcPr>
            <w:tcW w:type="dxa" w:w="2520"/>
            <w:vAlign w:val="top"/>
          </w:tcPr>
          <w:p>
            <w:pPr>
              <w:spacing w:after="0"/>
              <w:jc w:val="left"/>
            </w:pPr>
            <w:r>
              <w:rPr>
                <w:rFonts w:ascii="Aptos" w:hAnsi="Aptos"/>
                <w:sz w:val="16"/>
              </w:rPr>
            </w:r>
            <w:r>
              <w:rPr>
                <w:rFonts w:ascii="Aptos" w:hAnsi="Aptos"/>
                <w:b w:val="0"/>
                <w:sz w:val="16"/>
              </w:rPr>
              <w:t>First belt derived water or metal used in space.</w:t>
            </w:r>
          </w:p>
        </w:tc>
      </w:tr>
      <w:tr>
        <w:tc>
          <w:tcPr>
            <w:tcW w:type="dxa" w:w="2520"/>
            <w:vAlign w:val="top"/>
          </w:tcPr>
          <w:p>
            <w:pPr>
              <w:spacing w:after="0"/>
              <w:jc w:val="left"/>
            </w:pPr>
            <w:r>
              <w:rPr>
                <w:rFonts w:ascii="Aptos" w:hAnsi="Aptos"/>
                <w:sz w:val="16"/>
              </w:rPr>
            </w:r>
            <w:r>
              <w:rPr>
                <w:rFonts w:ascii="Aptos" w:hAnsi="Aptos"/>
                <w:b w:val="0"/>
                <w:sz w:val="16"/>
              </w:rPr>
              <w:t>T plus 20 years and beyond, 2046 plus</w:t>
            </w:r>
          </w:p>
        </w:tc>
        <w:tc>
          <w:tcPr>
            <w:tcW w:type="dxa" w:w="2520"/>
            <w:vAlign w:val="top"/>
          </w:tcPr>
          <w:p>
            <w:pPr>
              <w:spacing w:after="0"/>
              <w:jc w:val="left"/>
            </w:pPr>
            <w:r>
              <w:rPr>
                <w:rFonts w:ascii="Aptos" w:hAnsi="Aptos"/>
                <w:sz w:val="16"/>
              </w:rPr>
            </w:r>
            <w:r>
              <w:rPr>
                <w:rFonts w:ascii="Aptos" w:hAnsi="Aptos"/>
                <w:b w:val="0"/>
                <w:sz w:val="16"/>
              </w:rPr>
              <w:t>Specialty metals and deferred assets</w:t>
            </w:r>
          </w:p>
        </w:tc>
        <w:tc>
          <w:tcPr>
            <w:tcW w:type="dxa" w:w="2520"/>
            <w:vAlign w:val="top"/>
          </w:tcPr>
          <w:p>
            <w:pPr>
              <w:spacing w:after="0"/>
              <w:jc w:val="left"/>
            </w:pPr>
            <w:r>
              <w:rPr>
                <w:rFonts w:ascii="Aptos" w:hAnsi="Aptos"/>
                <w:sz w:val="16"/>
              </w:rPr>
            </w:r>
            <w:r>
              <w:rPr>
                <w:rFonts w:ascii="Aptos" w:hAnsi="Aptos"/>
                <w:b w:val="0"/>
                <w:sz w:val="16"/>
              </w:rPr>
              <w:t>Evaluate PGM return, rare earth concentrate production, Mercury polar volatile operations, and Venus surface mineral access.</w:t>
            </w:r>
          </w:p>
        </w:tc>
        <w:tc>
          <w:tcPr>
            <w:tcW w:type="dxa" w:w="2520"/>
            <w:vAlign w:val="top"/>
          </w:tcPr>
          <w:p>
            <w:pPr>
              <w:spacing w:after="0"/>
              <w:jc w:val="left"/>
            </w:pPr>
            <w:r>
              <w:rPr>
                <w:rFonts w:ascii="Aptos" w:hAnsi="Aptos"/>
                <w:sz w:val="16"/>
              </w:rPr>
            </w:r>
            <w:r>
              <w:rPr>
                <w:rFonts w:ascii="Aptos" w:hAnsi="Aptos"/>
                <w:b w:val="0"/>
                <w:sz w:val="16"/>
              </w:rPr>
              <w:t>Earth return business case allowed only after verified grade and return cost threshold are met.</w:t>
            </w:r>
          </w:p>
        </w:tc>
      </w:tr>
    </w:tbl>
    <w:p>
      <w:pPr>
        <w:pStyle w:val="Heading2"/>
        <w:spacing w:before="200" w:after="120"/>
      </w:pPr>
      <w:r>
        <w:rPr>
          <w:rFonts w:ascii="Aptos" w:hAnsi="Aptos"/>
          <w:b/>
          <w:sz w:val="24"/>
        </w:rPr>
        <w:t>15.6 Source and Pricing Notes</w:t>
      </w:r>
    </w:p>
    <w:p>
      <w:pPr>
        <w:pStyle w:val="ListBullet"/>
      </w:pPr>
      <w:r>
        <w:rPr>
          <w:rFonts w:ascii="Aptos" w:hAnsi="Aptos"/>
        </w:rPr>
        <w:t>Trading Economics commodity pages and commodity table were used for live May 2026 references for aluminum, copper, nickel, cobalt, iron ore, tin, gold, platinum, palladium, lithium carbonate, soda ash, and USD/CNY reference conversion.</w:t>
      </w:r>
    </w:p>
    <w:p>
      <w:pPr>
        <w:pStyle w:val="ListBullet"/>
      </w:pPr>
      <w:r>
        <w:rPr>
          <w:rFonts w:ascii="Aptos" w:hAnsi="Aptos"/>
        </w:rPr>
        <w:t>Johnson Matthey PGM price data were used for platinum group metals where available, including platinum, palladium, rhodium, iridium, and ruthenium current base prices.</w:t>
      </w:r>
    </w:p>
    <w:p>
      <w:pPr>
        <w:pStyle w:val="ListBullet"/>
      </w:pPr>
      <w:r>
        <w:rPr>
          <w:rFonts w:ascii="Aptos" w:hAnsi="Aptos"/>
        </w:rPr>
        <w:t>USGS Mineral Commodity Summaries 2026 were used for annual industrial mineral proxies, including graphite, titanium mineral concentrates, phosphate rock, magnesium metal, sulfur, silica sand, construction sand and gravel, lime, gypsum, silicon, manganese, chromium, salt, soda ash, iron ore, and iron and steel scrap.</w:t>
      </w:r>
    </w:p>
    <w:p>
      <w:pPr>
        <w:pStyle w:val="ListBullet"/>
      </w:pPr>
      <w:r>
        <w:rPr>
          <w:rFonts w:ascii="Aptos" w:hAnsi="Aptos"/>
        </w:rPr>
        <w:t>NASA and JPL public mission sources were used for off world resource occurrence context, including Moon and Mercury polar ice, Ceres carbonates and organics, and Bennu returned sample minerals.</w:t>
      </w:r>
    </w:p>
    <w:p>
      <w:pPr>
        <w:pStyle w:val="ListBullet"/>
      </w:pPr>
      <w:r>
        <w:rPr>
          <w:rFonts w:ascii="Aptos" w:hAnsi="Aptos"/>
        </w:rPr>
        <w:t>Cost bands in this annex are internal concept engineering planning estimates. They should be converted to equipment level estimates during Phase A using power cost, fleet duty cycle, process yield, maintenance mass, transport cadence, and reserve constraints.</w:t>
      </w:r>
    </w:p>
    <w:p>
      <w:pPr>
        <w:spacing w:after="120"/>
      </w:pPr>
      <w:r>
        <w:rPr>
          <w:rFonts w:ascii="Aptos" w:hAnsi="Aptos"/>
          <w:sz w:val="21"/>
        </w:rPr>
        <w:t>Source 1. USGS, Mineral Commodity Summaries 2026, overview and individual commodity sheets.</w:t>
      </w:r>
    </w:p>
    <w:p>
      <w:pPr>
        <w:spacing w:after="120"/>
      </w:pPr>
      <w:r>
        <w:rPr>
          <w:rFonts w:ascii="Aptos" w:hAnsi="Aptos"/>
          <w:sz w:val="21"/>
        </w:rPr>
        <w:t>Source 2. Trading Economics, commodity price pages and commodity table, accessed May 6, 2026.</w:t>
      </w:r>
    </w:p>
    <w:p>
      <w:pPr>
        <w:spacing w:after="120"/>
      </w:pPr>
      <w:r>
        <w:rPr>
          <w:rFonts w:ascii="Aptos" w:hAnsi="Aptos"/>
          <w:sz w:val="21"/>
        </w:rPr>
        <w:t>Source 3. London Metal Exchange, Official Prices and Closing Prices explanation pages.</w:t>
      </w:r>
    </w:p>
    <w:p>
      <w:pPr>
        <w:spacing w:after="120"/>
      </w:pPr>
      <w:r>
        <w:rPr>
          <w:rFonts w:ascii="Aptos" w:hAnsi="Aptos"/>
          <w:sz w:val="21"/>
        </w:rPr>
        <w:t>Source 4. Johnson Matthey, PGM management current base prices, last update May 6, 2026.</w:t>
      </w:r>
    </w:p>
    <w:p>
      <w:pPr>
        <w:spacing w:after="120"/>
      </w:pPr>
      <w:r>
        <w:rPr>
          <w:rFonts w:ascii="Aptos" w:hAnsi="Aptos"/>
          <w:sz w:val="21"/>
        </w:rPr>
        <w:t>Source 5. NASA, Moon water and ice public resource pages and Lunar Trailblazer context.</w:t>
      </w:r>
    </w:p>
    <w:p>
      <w:pPr>
        <w:spacing w:after="120"/>
      </w:pPr>
      <w:r>
        <w:rPr>
          <w:rFonts w:ascii="Aptos" w:hAnsi="Aptos"/>
          <w:sz w:val="21"/>
        </w:rPr>
        <w:t>Source 6. NASA and JPL, Mercury water ice evidence from MESSENGER.</w:t>
      </w:r>
    </w:p>
    <w:p>
      <w:pPr>
        <w:spacing w:after="120"/>
      </w:pPr>
      <w:r>
        <w:rPr>
          <w:rFonts w:ascii="Aptos" w:hAnsi="Aptos"/>
          <w:sz w:val="21"/>
        </w:rPr>
        <w:t>Source 7. NASA and JPL Dawn mission pages on Ceres sodium carbonates, organics, and bright deposits.</w:t>
      </w:r>
    </w:p>
    <w:p>
      <w:pPr>
        <w:spacing w:after="120"/>
      </w:pPr>
      <w:r>
        <w:rPr>
          <w:rFonts w:ascii="Aptos" w:hAnsi="Aptos"/>
          <w:sz w:val="21"/>
        </w:rPr>
        <w:t>Source 8. NASA OSIRIS-REx and peer reviewed Bennu sample sources on phosphates, carbonates, sulfides, salts, and organics.</w:t>
      </w:r>
    </w:p>
    <w:p>
      <w:pPr>
        <w:spacing w:after="120"/>
      </w:pPr>
      <w:r>
        <w:rPr>
          <w:rFonts w:ascii="Aptos" w:hAnsi="Aptos"/>
        </w:rPr>
        <w:br w:type="page"/>
      </w:r>
    </w:p>
    <w:p>
      <w:pPr>
        <w:pStyle w:val="Heading1"/>
        <w:spacing w:before="200" w:after="120"/>
      </w:pPr>
      <w:r>
        <w:rPr>
          <w:rFonts w:ascii="Aptos" w:hAnsi="Aptos"/>
          <w:b/>
          <w:sz w:val="28"/>
        </w:rPr>
        <w:t>16. Investor Financing and Capitalization Plan</w:t>
      </w:r>
    </w:p>
    <w:p>
      <w:pPr>
        <w:spacing w:after="120"/>
      </w:pPr>
      <w:r>
        <w:rPr>
          <w:rFonts w:ascii="Aptos" w:hAnsi="Aptos"/>
          <w:sz w:val="21"/>
        </w:rPr>
        <w:t>Purpose: This section converts the Phase 1 costed program baseline and commercialization model into an investor usable capital plan. It defines the target funding stack, staged funding gates, equity dilution scenarios, debt capacity, anchor customer financing terms, government and partner cost share pathways, and board investment decision criteria.</w:t>
      </w:r>
    </w:p>
    <w:p>
      <w:pPr>
        <w:spacing w:after="120"/>
      </w:pPr>
      <w:r>
        <w:rPr>
          <w:rFonts w:ascii="Aptos" w:hAnsi="Aptos"/>
          <w:sz w:val="21"/>
        </w:rPr>
        <w:t>Financing posture: Phase 1 should not be financed as a speculative mineral extraction project. It should be financed as a critical lunar utility, logistics, safety, and propellant infrastructure platform with contracted availability revenue, offtake agreements, partner cost share, and staged project debt after major technical risk retirement.</w:t>
      </w:r>
    </w:p>
    <w:p>
      <w:pPr>
        <w:pStyle w:val="Heading2"/>
        <w:spacing w:before="200" w:after="120"/>
      </w:pPr>
      <w:r>
        <w:rPr>
          <w:rFonts w:ascii="Aptos" w:hAnsi="Aptos"/>
          <w:b/>
          <w:sz w:val="24"/>
        </w:rPr>
        <w:t>16.1 Financing Objective and Control Principles</w:t>
      </w:r>
    </w:p>
    <w:p>
      <w:pPr>
        <w:pStyle w:val="ListBullet"/>
        <w:spacing w:after="40"/>
      </w:pPr>
      <w:r>
        <w:rPr>
          <w:rFonts w:ascii="Aptos" w:hAnsi="Aptos"/>
        </w:rPr>
        <w:t>Protect control of the lunar south pole installation while bringing in enough strategic capital to reduce sponsor balance sheet exposure.</w:t>
      </w:r>
    </w:p>
    <w:p>
      <w:pPr>
        <w:pStyle w:val="ListBullet"/>
        <w:spacing w:after="40"/>
      </w:pPr>
      <w:r>
        <w:rPr>
          <w:rFonts w:ascii="Aptos" w:hAnsi="Aptos"/>
        </w:rPr>
        <w:t>Use staged funding gates. Release capital only as technical, commercial, and regulatory risks are retired.</w:t>
      </w:r>
    </w:p>
    <w:p>
      <w:pPr>
        <w:pStyle w:val="ListBullet"/>
        <w:spacing w:after="40"/>
      </w:pPr>
      <w:r>
        <w:rPr>
          <w:rFonts w:ascii="Aptos" w:hAnsi="Aptos"/>
        </w:rPr>
        <w:t>Prioritize non dilutive capital first, including government cost share, furnished infrastructure, milestone payments, and customer prepayments.</w:t>
      </w:r>
    </w:p>
    <w:p>
      <w:pPr>
        <w:pStyle w:val="ListBullet"/>
        <w:spacing w:after="40"/>
      </w:pPr>
      <w:r>
        <w:rPr>
          <w:rFonts w:ascii="Aptos" w:hAnsi="Aptos"/>
        </w:rPr>
        <w:t>Bring project debt in only after site confirmation, dependable power progress, protected underground shell progress, and water or oxygen production evidence support lender diligence.</w:t>
      </w:r>
    </w:p>
    <w:p>
      <w:pPr>
        <w:pStyle w:val="ListBullet"/>
        <w:spacing w:after="40"/>
      </w:pPr>
      <w:r>
        <w:rPr>
          <w:rFonts w:ascii="Aptos" w:hAnsi="Aptos"/>
        </w:rPr>
        <w:t>Treat emergency refuge, evacuation, medical, communications, and reserve capacity as contracted strategic availability infrastructure, not as optional overhead.</w:t>
      </w:r>
    </w:p>
    <w:tbl>
      <w:tblPr>
        <w:tblStyle w:val="TableGrid"/>
        <w:tblW w:type="auto" w:w="0"/>
        <w:jc w:val="center"/>
        <w:tblLook w:firstColumn="1" w:firstRow="1" w:lastColumn="0" w:lastRow="0" w:noHBand="0" w:noVBand="1" w:val="04A0"/>
      </w:tblPr>
      <w:tblGrid>
        <w:gridCol w:w="5184"/>
        <w:gridCol w:w="5184"/>
      </w:tblGrid>
      <w:tr>
        <w:tc>
          <w:tcPr>
            <w:tcW w:type="dxa" w:w="3456"/>
            <w:vAlign w:val="top"/>
            <w:shd w:fill="D9EAF7"/>
          </w:tcPr>
          <w:p>
            <w:pPr>
              <w:spacing w:after="0" w:before="0"/>
            </w:pPr>
            <w:r>
              <w:rPr>
                <w:rFonts w:ascii="Aptos" w:hAnsi="Aptos"/>
                <w:b/>
                <w:sz w:val="16"/>
              </w:rPr>
            </w:r>
            <w:r>
              <w:rPr>
                <w:rFonts w:ascii="Aptos" w:hAnsi="Aptos"/>
                <w:b/>
                <w:sz w:val="16"/>
              </w:rPr>
              <w:t>Financing objective</w:t>
            </w:r>
          </w:p>
        </w:tc>
        <w:tc>
          <w:tcPr>
            <w:tcW w:type="dxa" w:w="6912"/>
            <w:vAlign w:val="top"/>
            <w:shd w:fill="D9EAF7"/>
          </w:tcPr>
          <w:p>
            <w:pPr>
              <w:spacing w:after="0" w:before="0"/>
            </w:pPr>
            <w:r>
              <w:rPr>
                <w:rFonts w:ascii="Aptos" w:hAnsi="Aptos"/>
                <w:b/>
                <w:sz w:val="16"/>
              </w:rPr>
            </w:r>
            <w:r>
              <w:rPr>
                <w:rFonts w:ascii="Aptos" w:hAnsi="Aptos"/>
                <w:b/>
                <w:sz w:val="16"/>
              </w:rPr>
              <w:t>Rev 2.6 baseline</w:t>
            </w:r>
          </w:p>
        </w:tc>
      </w:tr>
      <w:tr>
        <w:tc>
          <w:tcPr>
            <w:tcW w:type="dxa" w:w="3456"/>
            <w:vAlign w:val="top"/>
          </w:tcPr>
          <w:p>
            <w:pPr>
              <w:spacing w:after="0" w:before="0"/>
            </w:pPr>
            <w:r>
              <w:rPr>
                <w:rFonts w:ascii="Aptos" w:hAnsi="Aptos"/>
                <w:sz w:val="16"/>
              </w:rPr>
            </w:r>
            <w:r>
              <w:rPr>
                <w:rFonts w:ascii="Aptos" w:hAnsi="Aptos"/>
                <w:b w:val="0"/>
                <w:sz w:val="16"/>
              </w:rPr>
              <w:t>Capital baseline</w:t>
            </w:r>
          </w:p>
        </w:tc>
        <w:tc>
          <w:tcPr>
            <w:tcW w:type="dxa" w:w="6912"/>
            <w:vAlign w:val="top"/>
          </w:tcPr>
          <w:p>
            <w:pPr>
              <w:spacing w:after="0"/>
              <w:jc w:val="left"/>
            </w:pPr>
            <w:r>
              <w:rPr>
                <w:rFonts w:ascii="Aptos" w:hAnsi="Aptos"/>
                <w:sz w:val="16"/>
              </w:rPr>
            </w:r>
            <w:r>
              <w:rPr>
                <w:rFonts w:ascii="Aptos" w:hAnsi="Aptos"/>
                <w:b w:val="0"/>
                <w:sz w:val="16"/>
              </w:rPr>
              <w:t>176.35 billion USD mid case through full Rev 2.7 build, including surface spaceport, EM launch rail, renewable and microwave power additions, seismic monitoring, and separate mineral processing. Prior Rev 2.6 baseline was 129.3 billion USD.</w:t>
            </w:r>
          </w:p>
        </w:tc>
      </w:tr>
      <w:tr>
        <w:tc>
          <w:tcPr>
            <w:tcW w:type="dxa" w:w="3456"/>
            <w:vAlign w:val="top"/>
          </w:tcPr>
          <w:p>
            <w:pPr>
              <w:spacing w:after="0" w:before="0"/>
            </w:pPr>
            <w:r>
              <w:rPr>
                <w:rFonts w:ascii="Aptos" w:hAnsi="Aptos"/>
                <w:sz w:val="16"/>
              </w:rPr>
            </w:r>
            <w:r>
              <w:rPr>
                <w:rFonts w:ascii="Aptos" w:hAnsi="Aptos"/>
                <w:b w:val="0"/>
                <w:sz w:val="16"/>
              </w:rPr>
              <w:t>Mature annual operating cost</w:t>
            </w:r>
          </w:p>
        </w:tc>
        <w:tc>
          <w:tcPr>
            <w:tcW w:type="dxa" w:w="6912"/>
            <w:vAlign w:val="top"/>
          </w:tcPr>
          <w:p>
            <w:pPr>
              <w:spacing w:after="0"/>
              <w:jc w:val="left"/>
            </w:pPr>
            <w:r>
              <w:rPr>
                <w:rFonts w:ascii="Aptos" w:hAnsi="Aptos"/>
                <w:sz w:val="16"/>
              </w:rPr>
            </w:r>
            <w:r>
              <w:rPr>
                <w:rFonts w:ascii="Aptos" w:hAnsi="Aptos"/>
                <w:b w:val="0"/>
                <w:sz w:val="16"/>
              </w:rPr>
              <w:t>15.0 billion USD mid case after Rev 2.7 additions. Prior Rev 2.6 baseline was 11.2 billion USD.</w:t>
            </w:r>
          </w:p>
        </w:tc>
      </w:tr>
      <w:tr>
        <w:tc>
          <w:tcPr>
            <w:tcW w:type="dxa" w:w="3456"/>
            <w:vAlign w:val="top"/>
          </w:tcPr>
          <w:p>
            <w:pPr>
              <w:spacing w:after="0" w:before="0"/>
            </w:pPr>
            <w:r>
              <w:rPr>
                <w:rFonts w:ascii="Aptos" w:hAnsi="Aptos"/>
                <w:sz w:val="16"/>
              </w:rPr>
            </w:r>
            <w:r>
              <w:rPr>
                <w:rFonts w:ascii="Aptos" w:hAnsi="Aptos"/>
                <w:b w:val="0"/>
                <w:sz w:val="16"/>
              </w:rPr>
              <w:t>Base mature annual revenue</w:t>
            </w:r>
          </w:p>
        </w:tc>
        <w:tc>
          <w:tcPr>
            <w:tcW w:type="dxa" w:w="6912"/>
            <w:vAlign w:val="top"/>
          </w:tcPr>
          <w:p>
            <w:pPr>
              <w:spacing w:after="0" w:before="0"/>
            </w:pPr>
            <w:r>
              <w:rPr>
                <w:rFonts w:ascii="Aptos" w:hAnsi="Aptos"/>
                <w:sz w:val="16"/>
              </w:rPr>
            </w:r>
            <w:r>
              <w:rPr>
                <w:rFonts w:ascii="Aptos" w:hAnsi="Aptos"/>
                <w:b w:val="0"/>
                <w:sz w:val="16"/>
              </w:rPr>
              <w:t>24.225 billion USD planning case</w:t>
            </w:r>
          </w:p>
        </w:tc>
      </w:tr>
      <w:tr>
        <w:tc>
          <w:tcPr>
            <w:tcW w:type="dxa" w:w="3456"/>
            <w:vAlign w:val="top"/>
          </w:tcPr>
          <w:p>
            <w:pPr>
              <w:spacing w:after="0" w:before="0"/>
            </w:pPr>
            <w:r>
              <w:rPr>
                <w:rFonts w:ascii="Aptos" w:hAnsi="Aptos"/>
                <w:sz w:val="16"/>
              </w:rPr>
            </w:r>
            <w:r>
              <w:rPr>
                <w:rFonts w:ascii="Aptos" w:hAnsi="Aptos"/>
                <w:b w:val="0"/>
                <w:sz w:val="16"/>
              </w:rPr>
              <w:t>Minimum pre F3 strategic commitments</w:t>
            </w:r>
          </w:p>
        </w:tc>
        <w:tc>
          <w:tcPr>
            <w:tcW w:type="dxa" w:w="6912"/>
            <w:vAlign w:val="top"/>
          </w:tcPr>
          <w:p>
            <w:pPr>
              <w:spacing w:after="0" w:before="0"/>
            </w:pPr>
            <w:r>
              <w:rPr>
                <w:rFonts w:ascii="Aptos" w:hAnsi="Aptos"/>
                <w:sz w:val="16"/>
              </w:rPr>
            </w:r>
            <w:r>
              <w:rPr>
                <w:rFonts w:ascii="Aptos" w:hAnsi="Aptos"/>
                <w:b w:val="0"/>
                <w:sz w:val="16"/>
              </w:rPr>
              <w:t>5 billion USD</w:t>
            </w:r>
          </w:p>
        </w:tc>
      </w:tr>
      <w:tr>
        <w:tc>
          <w:tcPr>
            <w:tcW w:type="dxa" w:w="3456"/>
            <w:vAlign w:val="top"/>
          </w:tcPr>
          <w:p>
            <w:pPr>
              <w:spacing w:after="0" w:before="0"/>
            </w:pPr>
            <w:r>
              <w:rPr>
                <w:rFonts w:ascii="Aptos" w:hAnsi="Aptos"/>
                <w:sz w:val="16"/>
              </w:rPr>
            </w:r>
            <w:r>
              <w:rPr>
                <w:rFonts w:ascii="Aptos" w:hAnsi="Aptos"/>
                <w:b w:val="0"/>
                <w:sz w:val="16"/>
              </w:rPr>
              <w:t>Minimum pre F5 contracted or conditionally awarded commitments</w:t>
            </w:r>
          </w:p>
        </w:tc>
        <w:tc>
          <w:tcPr>
            <w:tcW w:type="dxa" w:w="6912"/>
            <w:vAlign w:val="top"/>
          </w:tcPr>
          <w:p>
            <w:pPr>
              <w:spacing w:after="0" w:before="0"/>
            </w:pPr>
            <w:r>
              <w:rPr>
                <w:rFonts w:ascii="Aptos" w:hAnsi="Aptos"/>
                <w:sz w:val="16"/>
              </w:rPr>
            </w:r>
            <w:r>
              <w:rPr>
                <w:rFonts w:ascii="Aptos" w:hAnsi="Aptos"/>
                <w:b w:val="0"/>
                <w:sz w:val="16"/>
              </w:rPr>
              <w:t>25 billion USD</w:t>
            </w:r>
          </w:p>
        </w:tc>
      </w:tr>
      <w:tr>
        <w:tc>
          <w:tcPr>
            <w:tcW w:type="dxa" w:w="3456"/>
            <w:vAlign w:val="top"/>
          </w:tcPr>
          <w:p>
            <w:pPr>
              <w:spacing w:after="0" w:before="0"/>
            </w:pPr>
            <w:r>
              <w:rPr>
                <w:rFonts w:ascii="Aptos" w:hAnsi="Aptos"/>
                <w:sz w:val="16"/>
              </w:rPr>
            </w:r>
            <w:r>
              <w:rPr>
                <w:rFonts w:ascii="Aptos" w:hAnsi="Aptos"/>
                <w:b w:val="0"/>
                <w:sz w:val="16"/>
              </w:rPr>
              <w:t>Full build commercial rule</w:t>
            </w:r>
          </w:p>
        </w:tc>
        <w:tc>
          <w:tcPr>
            <w:tcW w:type="dxa" w:w="6912"/>
            <w:vAlign w:val="top"/>
          </w:tcPr>
          <w:p>
            <w:pPr>
              <w:spacing w:after="0" w:before="0"/>
            </w:pPr>
            <w:r>
              <w:rPr>
                <w:rFonts w:ascii="Aptos" w:hAnsi="Aptos"/>
                <w:sz w:val="16"/>
              </w:rPr>
            </w:r>
            <w:r>
              <w:rPr>
                <w:rFonts w:ascii="Aptos" w:hAnsi="Aptos"/>
                <w:b w:val="0"/>
                <w:sz w:val="16"/>
              </w:rPr>
              <w:t>Do not authorize full build unless at least 40 to 60 percent of base mature annual revenue is contracted, reserved, or supported by funded framework agreements</w:t>
            </w:r>
          </w:p>
        </w:tc>
      </w:tr>
    </w:tbl>
    <w:p>
      <w:pPr>
        <w:pStyle w:val="Heading2"/>
        <w:spacing w:before="200" w:after="120"/>
      </w:pPr>
      <w:r>
        <w:rPr>
          <w:rFonts w:ascii="Aptos" w:hAnsi="Aptos"/>
          <w:b/>
          <w:sz w:val="24"/>
        </w:rPr>
        <w:t>16.2 Target Capital Stack</w:t>
      </w:r>
    </w:p>
    <w:p>
      <w:pPr>
        <w:spacing w:after="120"/>
      </w:pPr>
      <w:r>
        <w:rPr>
          <w:rFonts w:ascii="Aptos" w:hAnsi="Aptos"/>
          <w:sz w:val="21"/>
        </w:rPr>
        <w:t>The preferred capital stack blends sponsor equity, strategic partner capital, government or partner cost share, customer backed financing, and project debt. The base allocation below sums to the 129.3 billion USD mid case capital baseline. Ranges remain planning ranges and should be converted to binding commitments during Funding Gates F1 through F6.</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448"/>
            <w:vAlign w:val="top"/>
            <w:shd w:fill="D9EAF7"/>
          </w:tcPr>
          <w:p>
            <w:pPr>
              <w:spacing w:after="0" w:before="0"/>
            </w:pPr>
            <w:r>
              <w:rPr>
                <w:rFonts w:ascii="Aptos" w:hAnsi="Aptos"/>
                <w:b/>
                <w:sz w:val="16"/>
              </w:rPr>
            </w:r>
            <w:r>
              <w:rPr>
                <w:rFonts w:ascii="Aptos" w:hAnsi="Aptos"/>
                <w:b/>
                <w:sz w:val="16"/>
              </w:rPr>
              <w:t>Funding source</w:t>
            </w:r>
          </w:p>
        </w:tc>
        <w:tc>
          <w:tcPr>
            <w:tcW w:type="dxa" w:w="1728"/>
            <w:vAlign w:val="top"/>
            <w:shd w:fill="D9EAF7"/>
          </w:tcPr>
          <w:p>
            <w:pPr>
              <w:spacing w:after="0" w:before="0"/>
            </w:pPr>
            <w:r>
              <w:rPr>
                <w:rFonts w:ascii="Aptos" w:hAnsi="Aptos"/>
                <w:b/>
                <w:sz w:val="16"/>
              </w:rPr>
            </w:r>
            <w:r>
              <w:rPr>
                <w:rFonts w:ascii="Aptos" w:hAnsi="Aptos"/>
                <w:b/>
                <w:sz w:val="16"/>
              </w:rPr>
              <w:t>Planning range</w:t>
            </w:r>
          </w:p>
        </w:tc>
        <w:tc>
          <w:tcPr>
            <w:tcW w:type="dxa" w:w="1728"/>
            <w:vAlign w:val="top"/>
            <w:shd w:fill="D9EAF7"/>
          </w:tcPr>
          <w:p>
            <w:pPr>
              <w:spacing w:after="0" w:before="0"/>
            </w:pPr>
            <w:r>
              <w:rPr>
                <w:rFonts w:ascii="Aptos" w:hAnsi="Aptos"/>
                <w:b/>
                <w:sz w:val="16"/>
              </w:rPr>
            </w:r>
            <w:r>
              <w:rPr>
                <w:rFonts w:ascii="Aptos" w:hAnsi="Aptos"/>
                <w:b/>
                <w:sz w:val="16"/>
              </w:rPr>
              <w:t>Rev 2.6 base allocation</w:t>
            </w:r>
          </w:p>
        </w:tc>
        <w:tc>
          <w:tcPr>
            <w:tcW w:type="dxa" w:w="1728"/>
            <w:vAlign w:val="top"/>
            <w:shd w:fill="D9EAF7"/>
          </w:tcPr>
          <w:p>
            <w:pPr>
              <w:spacing w:after="0" w:before="0"/>
            </w:pPr>
            <w:r>
              <w:rPr>
                <w:rFonts w:ascii="Aptos" w:hAnsi="Aptos"/>
                <w:b/>
                <w:sz w:val="16"/>
              </w:rPr>
            </w:r>
            <w:r>
              <w:rPr>
                <w:rFonts w:ascii="Aptos" w:hAnsi="Aptos"/>
                <w:b/>
                <w:sz w:val="16"/>
              </w:rPr>
              <w:t>Preferred timing</w:t>
            </w:r>
          </w:p>
        </w:tc>
        <w:tc>
          <w:tcPr>
            <w:tcW w:type="dxa" w:w="3168"/>
            <w:vAlign w:val="top"/>
            <w:shd w:fill="D9EAF7"/>
          </w:tcPr>
          <w:p>
            <w:pPr>
              <w:spacing w:after="0" w:before="0"/>
            </w:pPr>
            <w:r>
              <w:rPr>
                <w:rFonts w:ascii="Aptos" w:hAnsi="Aptos"/>
                <w:b/>
                <w:sz w:val="16"/>
              </w:rPr>
            </w:r>
            <w:r>
              <w:rPr>
                <w:rFonts w:ascii="Aptos" w:hAnsi="Aptos"/>
                <w:b/>
                <w:sz w:val="16"/>
              </w:rPr>
              <w:t>Notes</w:t>
            </w:r>
          </w:p>
        </w:tc>
      </w:tr>
      <w:tr>
        <w:tc>
          <w:tcPr>
            <w:tcW w:type="dxa" w:w="2448"/>
            <w:vAlign w:val="top"/>
          </w:tcPr>
          <w:p>
            <w:pPr>
              <w:spacing w:after="0" w:before="0"/>
            </w:pPr>
            <w:r>
              <w:rPr>
                <w:rFonts w:ascii="Aptos" w:hAnsi="Aptos"/>
                <w:sz w:val="16"/>
              </w:rPr>
            </w:r>
            <w:r>
              <w:rPr>
                <w:rFonts w:ascii="Aptos" w:hAnsi="Aptos"/>
                <w:b w:val="0"/>
                <w:sz w:val="16"/>
              </w:rPr>
              <w:t>Sponsor and institutional equity</w:t>
            </w:r>
          </w:p>
        </w:tc>
        <w:tc>
          <w:tcPr>
            <w:tcW w:type="dxa" w:w="1728"/>
            <w:vAlign w:val="top"/>
          </w:tcPr>
          <w:p>
            <w:pPr>
              <w:spacing w:after="0" w:before="0"/>
            </w:pPr>
            <w:r>
              <w:rPr>
                <w:rFonts w:ascii="Aptos" w:hAnsi="Aptos"/>
                <w:sz w:val="16"/>
              </w:rPr>
            </w:r>
            <w:r>
              <w:rPr>
                <w:rFonts w:ascii="Aptos" w:hAnsi="Aptos"/>
                <w:b w:val="0"/>
                <w:sz w:val="16"/>
              </w:rPr>
              <w:t>25 to 40 billion USD</w:t>
            </w:r>
          </w:p>
        </w:tc>
        <w:tc>
          <w:tcPr>
            <w:tcW w:type="dxa" w:w="1728"/>
            <w:vAlign w:val="top"/>
          </w:tcPr>
          <w:p>
            <w:pPr>
              <w:spacing w:after="0" w:before="0"/>
            </w:pPr>
            <w:r>
              <w:rPr>
                <w:rFonts w:ascii="Aptos" w:hAnsi="Aptos"/>
                <w:sz w:val="16"/>
              </w:rPr>
            </w:r>
            <w:r>
              <w:rPr>
                <w:rFonts w:ascii="Aptos" w:hAnsi="Aptos"/>
                <w:b w:val="0"/>
                <w:sz w:val="16"/>
              </w:rPr>
              <w:t>35.0 billion USD</w:t>
            </w:r>
          </w:p>
        </w:tc>
        <w:tc>
          <w:tcPr>
            <w:tcW w:type="dxa" w:w="1728"/>
            <w:vAlign w:val="top"/>
          </w:tcPr>
          <w:p>
            <w:pPr>
              <w:spacing w:after="0" w:before="0"/>
            </w:pPr>
            <w:r>
              <w:rPr>
                <w:rFonts w:ascii="Aptos" w:hAnsi="Aptos"/>
                <w:sz w:val="16"/>
              </w:rPr>
            </w:r>
            <w:r>
              <w:rPr>
                <w:rFonts w:ascii="Aptos" w:hAnsi="Aptos"/>
                <w:b w:val="0"/>
                <w:sz w:val="16"/>
              </w:rPr>
              <w:t>F1 through F5</w:t>
            </w:r>
          </w:p>
        </w:tc>
        <w:tc>
          <w:tcPr>
            <w:tcW w:type="dxa" w:w="3168"/>
            <w:vAlign w:val="top"/>
          </w:tcPr>
          <w:p>
            <w:pPr>
              <w:spacing w:after="0" w:before="0"/>
            </w:pPr>
            <w:r>
              <w:rPr>
                <w:rFonts w:ascii="Aptos" w:hAnsi="Aptos"/>
                <w:sz w:val="16"/>
              </w:rPr>
            </w:r>
            <w:r>
              <w:rPr>
                <w:rFonts w:ascii="Aptos" w:hAnsi="Aptos"/>
                <w:b w:val="0"/>
                <w:sz w:val="16"/>
              </w:rPr>
              <w:t>Maintains control and funds high risk early work.</w:t>
            </w:r>
          </w:p>
        </w:tc>
      </w:tr>
      <w:tr>
        <w:tc>
          <w:tcPr>
            <w:tcW w:type="dxa" w:w="2448"/>
            <w:vAlign w:val="top"/>
          </w:tcPr>
          <w:p>
            <w:pPr>
              <w:spacing w:after="0" w:before="0"/>
            </w:pPr>
            <w:r>
              <w:rPr>
                <w:rFonts w:ascii="Aptos" w:hAnsi="Aptos"/>
                <w:sz w:val="16"/>
              </w:rPr>
            </w:r>
            <w:r>
              <w:rPr>
                <w:rFonts w:ascii="Aptos" w:hAnsi="Aptos"/>
                <w:b w:val="0"/>
                <w:sz w:val="16"/>
              </w:rPr>
              <w:t>Strategic partner capital and in kind systems</w:t>
            </w:r>
          </w:p>
        </w:tc>
        <w:tc>
          <w:tcPr>
            <w:tcW w:type="dxa" w:w="1728"/>
            <w:vAlign w:val="top"/>
          </w:tcPr>
          <w:p>
            <w:pPr>
              <w:spacing w:after="0" w:before="0"/>
            </w:pPr>
            <w:r>
              <w:rPr>
                <w:rFonts w:ascii="Aptos" w:hAnsi="Aptos"/>
                <w:sz w:val="16"/>
              </w:rPr>
            </w:r>
            <w:r>
              <w:rPr>
                <w:rFonts w:ascii="Aptos" w:hAnsi="Aptos"/>
                <w:b w:val="0"/>
                <w:sz w:val="16"/>
              </w:rPr>
              <w:t>15 to 25 billion USD</w:t>
            </w:r>
          </w:p>
        </w:tc>
        <w:tc>
          <w:tcPr>
            <w:tcW w:type="dxa" w:w="1728"/>
            <w:vAlign w:val="top"/>
          </w:tcPr>
          <w:p>
            <w:pPr>
              <w:spacing w:after="0" w:before="0"/>
            </w:pPr>
            <w:r>
              <w:rPr>
                <w:rFonts w:ascii="Aptos" w:hAnsi="Aptos"/>
                <w:sz w:val="16"/>
              </w:rPr>
            </w:r>
            <w:r>
              <w:rPr>
                <w:rFonts w:ascii="Aptos" w:hAnsi="Aptos"/>
                <w:b w:val="0"/>
                <w:sz w:val="16"/>
              </w:rPr>
              <w:t>22.0 billion USD</w:t>
            </w:r>
          </w:p>
        </w:tc>
        <w:tc>
          <w:tcPr>
            <w:tcW w:type="dxa" w:w="1728"/>
            <w:vAlign w:val="top"/>
          </w:tcPr>
          <w:p>
            <w:pPr>
              <w:spacing w:after="0" w:before="0"/>
            </w:pPr>
            <w:r>
              <w:rPr>
                <w:rFonts w:ascii="Aptos" w:hAnsi="Aptos"/>
                <w:sz w:val="16"/>
              </w:rPr>
            </w:r>
            <w:r>
              <w:rPr>
                <w:rFonts w:ascii="Aptos" w:hAnsi="Aptos"/>
                <w:b w:val="0"/>
                <w:sz w:val="16"/>
              </w:rPr>
              <w:t>F2 through F6</w:t>
            </w:r>
          </w:p>
        </w:tc>
        <w:tc>
          <w:tcPr>
            <w:tcW w:type="dxa" w:w="3168"/>
            <w:vAlign w:val="top"/>
          </w:tcPr>
          <w:p>
            <w:pPr>
              <w:spacing w:after="0" w:before="0"/>
            </w:pPr>
            <w:r>
              <w:rPr>
                <w:rFonts w:ascii="Aptos" w:hAnsi="Aptos"/>
                <w:sz w:val="16"/>
              </w:rPr>
            </w:r>
            <w:r>
              <w:rPr>
                <w:rFonts w:ascii="Aptos" w:hAnsi="Aptos"/>
                <w:b w:val="0"/>
                <w:sz w:val="16"/>
              </w:rPr>
              <w:t>Includes power, transport, robotics, life support, communications, and industrial systems partners.</w:t>
            </w:r>
          </w:p>
        </w:tc>
      </w:tr>
      <w:tr>
        <w:tc>
          <w:tcPr>
            <w:tcW w:type="dxa" w:w="2448"/>
            <w:vAlign w:val="top"/>
          </w:tcPr>
          <w:p>
            <w:pPr>
              <w:spacing w:after="0" w:before="0"/>
            </w:pPr>
            <w:r>
              <w:rPr>
                <w:rFonts w:ascii="Aptos" w:hAnsi="Aptos"/>
                <w:sz w:val="16"/>
              </w:rPr>
            </w:r>
            <w:r>
              <w:rPr>
                <w:rFonts w:ascii="Aptos" w:hAnsi="Aptos"/>
                <w:b w:val="0"/>
                <w:sz w:val="16"/>
              </w:rPr>
              <w:t>Government cost share, milestone support, and furnished infrastructure</w:t>
            </w:r>
          </w:p>
        </w:tc>
        <w:tc>
          <w:tcPr>
            <w:tcW w:type="dxa" w:w="1728"/>
            <w:vAlign w:val="top"/>
          </w:tcPr>
          <w:p>
            <w:pPr>
              <w:spacing w:after="0" w:before="0"/>
            </w:pPr>
            <w:r>
              <w:rPr>
                <w:rFonts w:ascii="Aptos" w:hAnsi="Aptos"/>
                <w:sz w:val="16"/>
              </w:rPr>
            </w:r>
            <w:r>
              <w:rPr>
                <w:rFonts w:ascii="Aptos" w:hAnsi="Aptos"/>
                <w:b w:val="0"/>
                <w:sz w:val="16"/>
              </w:rPr>
              <w:t>20 to 45 billion USD</w:t>
            </w:r>
          </w:p>
        </w:tc>
        <w:tc>
          <w:tcPr>
            <w:tcW w:type="dxa" w:w="1728"/>
            <w:vAlign w:val="top"/>
          </w:tcPr>
          <w:p>
            <w:pPr>
              <w:spacing w:after="0" w:before="0"/>
            </w:pPr>
            <w:r>
              <w:rPr>
                <w:rFonts w:ascii="Aptos" w:hAnsi="Aptos"/>
                <w:sz w:val="16"/>
              </w:rPr>
            </w:r>
            <w:r>
              <w:rPr>
                <w:rFonts w:ascii="Aptos" w:hAnsi="Aptos"/>
                <w:b w:val="0"/>
                <w:sz w:val="16"/>
              </w:rPr>
              <w:t>35.0 billion USD</w:t>
            </w:r>
          </w:p>
        </w:tc>
        <w:tc>
          <w:tcPr>
            <w:tcW w:type="dxa" w:w="1728"/>
            <w:vAlign w:val="top"/>
          </w:tcPr>
          <w:p>
            <w:pPr>
              <w:spacing w:after="0" w:before="0"/>
            </w:pPr>
            <w:r>
              <w:rPr>
                <w:rFonts w:ascii="Aptos" w:hAnsi="Aptos"/>
                <w:sz w:val="16"/>
              </w:rPr>
            </w:r>
            <w:r>
              <w:rPr>
                <w:rFonts w:ascii="Aptos" w:hAnsi="Aptos"/>
                <w:b w:val="0"/>
                <w:sz w:val="16"/>
              </w:rPr>
              <w:t>F1 through F7</w:t>
            </w:r>
          </w:p>
        </w:tc>
        <w:tc>
          <w:tcPr>
            <w:tcW w:type="dxa" w:w="3168"/>
            <w:vAlign w:val="top"/>
          </w:tcPr>
          <w:p>
            <w:pPr>
              <w:spacing w:after="0" w:before="0"/>
            </w:pPr>
            <w:r>
              <w:rPr>
                <w:rFonts w:ascii="Aptos" w:hAnsi="Aptos"/>
                <w:sz w:val="16"/>
              </w:rPr>
            </w:r>
            <w:r>
              <w:rPr>
                <w:rFonts w:ascii="Aptos" w:hAnsi="Aptos"/>
                <w:b w:val="0"/>
                <w:sz w:val="16"/>
              </w:rPr>
              <w:t>Targets public value from safety, logistics, science, communications, and lunar economy infrastructure.</w:t>
            </w:r>
          </w:p>
        </w:tc>
      </w:tr>
      <w:tr>
        <w:tc>
          <w:tcPr>
            <w:tcW w:type="dxa" w:w="2448"/>
            <w:vAlign w:val="top"/>
          </w:tcPr>
          <w:p>
            <w:pPr>
              <w:spacing w:after="0" w:before="0"/>
            </w:pPr>
            <w:r>
              <w:rPr>
                <w:rFonts w:ascii="Aptos" w:hAnsi="Aptos"/>
                <w:sz w:val="16"/>
              </w:rPr>
            </w:r>
            <w:r>
              <w:rPr>
                <w:rFonts w:ascii="Aptos" w:hAnsi="Aptos"/>
                <w:b w:val="0"/>
                <w:sz w:val="16"/>
              </w:rPr>
              <w:t>Customer prepayments and offtake backed financing</w:t>
            </w:r>
          </w:p>
        </w:tc>
        <w:tc>
          <w:tcPr>
            <w:tcW w:type="dxa" w:w="1728"/>
            <w:vAlign w:val="top"/>
          </w:tcPr>
          <w:p>
            <w:pPr>
              <w:spacing w:after="0" w:before="0"/>
            </w:pPr>
            <w:r>
              <w:rPr>
                <w:rFonts w:ascii="Aptos" w:hAnsi="Aptos"/>
                <w:sz w:val="16"/>
              </w:rPr>
            </w:r>
            <w:r>
              <w:rPr>
                <w:rFonts w:ascii="Aptos" w:hAnsi="Aptos"/>
                <w:b w:val="0"/>
                <w:sz w:val="16"/>
              </w:rPr>
              <w:t>10 to 25 billion USD</w:t>
            </w:r>
          </w:p>
        </w:tc>
        <w:tc>
          <w:tcPr>
            <w:tcW w:type="dxa" w:w="1728"/>
            <w:vAlign w:val="top"/>
          </w:tcPr>
          <w:p>
            <w:pPr>
              <w:spacing w:after="0" w:before="0"/>
            </w:pPr>
            <w:r>
              <w:rPr>
                <w:rFonts w:ascii="Aptos" w:hAnsi="Aptos"/>
                <w:sz w:val="16"/>
              </w:rPr>
            </w:r>
            <w:r>
              <w:rPr>
                <w:rFonts w:ascii="Aptos" w:hAnsi="Aptos"/>
                <w:b w:val="0"/>
                <w:sz w:val="16"/>
              </w:rPr>
              <w:t>15.0 billion USD</w:t>
            </w:r>
          </w:p>
        </w:tc>
        <w:tc>
          <w:tcPr>
            <w:tcW w:type="dxa" w:w="1728"/>
            <w:vAlign w:val="top"/>
          </w:tcPr>
          <w:p>
            <w:pPr>
              <w:spacing w:after="0" w:before="0"/>
            </w:pPr>
            <w:r>
              <w:rPr>
                <w:rFonts w:ascii="Aptos" w:hAnsi="Aptos"/>
                <w:sz w:val="16"/>
              </w:rPr>
            </w:r>
            <w:r>
              <w:rPr>
                <w:rFonts w:ascii="Aptos" w:hAnsi="Aptos"/>
                <w:b w:val="0"/>
                <w:sz w:val="16"/>
              </w:rPr>
              <w:t>F4 through F7</w:t>
            </w:r>
          </w:p>
        </w:tc>
        <w:tc>
          <w:tcPr>
            <w:tcW w:type="dxa" w:w="3168"/>
            <w:vAlign w:val="top"/>
          </w:tcPr>
          <w:p>
            <w:pPr>
              <w:spacing w:after="0" w:before="0"/>
            </w:pPr>
            <w:r>
              <w:rPr>
                <w:rFonts w:ascii="Aptos" w:hAnsi="Aptos"/>
                <w:sz w:val="16"/>
              </w:rPr>
            </w:r>
            <w:r>
              <w:rPr>
                <w:rFonts w:ascii="Aptos" w:hAnsi="Aptos"/>
                <w:b w:val="0"/>
                <w:sz w:val="16"/>
              </w:rPr>
              <w:t>Driven by propellant, water, landing support, tenancy, and availability agreements.</w:t>
            </w:r>
          </w:p>
        </w:tc>
      </w:tr>
      <w:tr>
        <w:tc>
          <w:tcPr>
            <w:tcW w:type="dxa" w:w="2448"/>
            <w:vAlign w:val="top"/>
          </w:tcPr>
          <w:p>
            <w:pPr>
              <w:spacing w:after="0" w:before="0"/>
            </w:pPr>
            <w:r>
              <w:rPr>
                <w:rFonts w:ascii="Aptos" w:hAnsi="Aptos"/>
                <w:sz w:val="16"/>
              </w:rPr>
            </w:r>
            <w:r>
              <w:rPr>
                <w:rFonts w:ascii="Aptos" w:hAnsi="Aptos"/>
                <w:b w:val="0"/>
                <w:sz w:val="16"/>
              </w:rPr>
              <w:t>Project debt and infrastructure debt</w:t>
            </w:r>
          </w:p>
        </w:tc>
        <w:tc>
          <w:tcPr>
            <w:tcW w:type="dxa" w:w="1728"/>
            <w:vAlign w:val="top"/>
          </w:tcPr>
          <w:p>
            <w:pPr>
              <w:spacing w:after="0" w:before="0"/>
            </w:pPr>
            <w:r>
              <w:rPr>
                <w:rFonts w:ascii="Aptos" w:hAnsi="Aptos"/>
                <w:sz w:val="16"/>
              </w:rPr>
            </w:r>
            <w:r>
              <w:rPr>
                <w:rFonts w:ascii="Aptos" w:hAnsi="Aptos"/>
                <w:b w:val="0"/>
                <w:sz w:val="16"/>
              </w:rPr>
              <w:t>20 to 45 billion USD</w:t>
            </w:r>
          </w:p>
        </w:tc>
        <w:tc>
          <w:tcPr>
            <w:tcW w:type="dxa" w:w="1728"/>
            <w:vAlign w:val="top"/>
          </w:tcPr>
          <w:p>
            <w:pPr>
              <w:spacing w:after="0" w:before="0"/>
            </w:pPr>
            <w:r>
              <w:rPr>
                <w:rFonts w:ascii="Aptos" w:hAnsi="Aptos"/>
                <w:sz w:val="16"/>
              </w:rPr>
            </w:r>
            <w:r>
              <w:rPr>
                <w:rFonts w:ascii="Aptos" w:hAnsi="Aptos"/>
                <w:b w:val="0"/>
                <w:sz w:val="16"/>
              </w:rPr>
              <w:t>22.3 billion USD</w:t>
            </w:r>
          </w:p>
        </w:tc>
        <w:tc>
          <w:tcPr>
            <w:tcW w:type="dxa" w:w="1728"/>
            <w:vAlign w:val="top"/>
          </w:tcPr>
          <w:p>
            <w:pPr>
              <w:spacing w:after="0" w:before="0"/>
            </w:pPr>
            <w:r>
              <w:rPr>
                <w:rFonts w:ascii="Aptos" w:hAnsi="Aptos"/>
                <w:sz w:val="16"/>
              </w:rPr>
            </w:r>
            <w:r>
              <w:rPr>
                <w:rFonts w:ascii="Aptos" w:hAnsi="Aptos"/>
                <w:b w:val="0"/>
                <w:sz w:val="16"/>
              </w:rPr>
              <w:t>After G5, larger after G6</w:t>
            </w:r>
          </w:p>
        </w:tc>
        <w:tc>
          <w:tcPr>
            <w:tcW w:type="dxa" w:w="3168"/>
            <w:vAlign w:val="top"/>
          </w:tcPr>
          <w:p>
            <w:pPr>
              <w:spacing w:after="0" w:before="0"/>
            </w:pPr>
            <w:r>
              <w:rPr>
                <w:rFonts w:ascii="Aptos" w:hAnsi="Aptos"/>
                <w:sz w:val="16"/>
              </w:rPr>
            </w:r>
            <w:r>
              <w:rPr>
                <w:rFonts w:ascii="Aptos" w:hAnsi="Aptos"/>
                <w:b w:val="0"/>
                <w:sz w:val="16"/>
              </w:rPr>
              <w:t>Debt should enter after major technical risk retirement and contracted revenue evidence.</w:t>
            </w:r>
          </w:p>
        </w:tc>
      </w:tr>
      <w:tr>
        <w:tc>
          <w:tcPr>
            <w:tcW w:type="dxa" w:w="2448"/>
            <w:vAlign w:val="top"/>
          </w:tcPr>
          <w:p>
            <w:pPr>
              <w:spacing w:after="0" w:before="0"/>
            </w:pPr>
            <w:r>
              <w:rPr>
                <w:rFonts w:ascii="Aptos" w:hAnsi="Aptos"/>
                <w:sz w:val="16"/>
              </w:rPr>
            </w:r>
            <w:r>
              <w:rPr>
                <w:rFonts w:ascii="Aptos" w:hAnsi="Aptos"/>
                <w:b w:val="0"/>
                <w:sz w:val="16"/>
              </w:rPr>
              <w:t>Total</w:t>
            </w:r>
          </w:p>
        </w:tc>
        <w:tc>
          <w:tcPr>
            <w:tcW w:type="dxa" w:w="1728"/>
            <w:vAlign w:val="top"/>
          </w:tcPr>
          <w:p>
            <w:pPr>
              <w:spacing w:after="0" w:before="0"/>
            </w:pPr>
            <w:r>
              <w:rPr>
                <w:rFonts w:ascii="Aptos" w:hAnsi="Aptos"/>
                <w:sz w:val="16"/>
              </w:rPr>
            </w:r>
            <w:r>
              <w:rPr>
                <w:rFonts w:ascii="Aptos" w:hAnsi="Aptos"/>
                <w:b w:val="0"/>
                <w:sz w:val="16"/>
              </w:rPr>
              <w:t>N/A</w:t>
            </w:r>
          </w:p>
        </w:tc>
        <w:tc>
          <w:tcPr>
            <w:tcW w:type="dxa" w:w="1728"/>
            <w:vAlign w:val="top"/>
          </w:tcPr>
          <w:p>
            <w:pPr>
              <w:spacing w:after="0" w:before="0"/>
            </w:pPr>
            <w:r>
              <w:rPr>
                <w:rFonts w:ascii="Aptos" w:hAnsi="Aptos"/>
                <w:sz w:val="16"/>
              </w:rPr>
            </w:r>
            <w:r>
              <w:rPr>
                <w:rFonts w:ascii="Aptos" w:hAnsi="Aptos"/>
                <w:b w:val="0"/>
                <w:sz w:val="16"/>
              </w:rPr>
              <w:t>129.3 billion USD</w:t>
            </w:r>
          </w:p>
        </w:tc>
        <w:tc>
          <w:tcPr>
            <w:tcW w:type="dxa" w:w="1728"/>
            <w:vAlign w:val="top"/>
          </w:tcPr>
          <w:p>
            <w:pPr>
              <w:spacing w:after="0" w:before="0"/>
            </w:pPr>
            <w:r>
              <w:rPr>
                <w:rFonts w:ascii="Aptos" w:hAnsi="Aptos"/>
                <w:sz w:val="16"/>
              </w:rPr>
            </w:r>
            <w:r>
              <w:rPr>
                <w:rFonts w:ascii="Aptos" w:hAnsi="Aptos"/>
                <w:b w:val="0"/>
                <w:sz w:val="16"/>
              </w:rPr>
              <w:t>Full Phase 1 program</w:t>
            </w:r>
          </w:p>
        </w:tc>
        <w:tc>
          <w:tcPr>
            <w:tcW w:type="dxa" w:w="3168"/>
            <w:vAlign w:val="top"/>
          </w:tcPr>
          <w:p>
            <w:pPr>
              <w:spacing w:after="0" w:before="0"/>
            </w:pPr>
            <w:r>
              <w:rPr>
                <w:rFonts w:ascii="Aptos" w:hAnsi="Aptos"/>
                <w:sz w:val="16"/>
              </w:rPr>
            </w:r>
            <w:r>
              <w:rPr>
                <w:rFonts w:ascii="Aptos" w:hAnsi="Aptos"/>
                <w:b w:val="0"/>
                <w:sz w:val="16"/>
              </w:rPr>
              <w:t>Mid case program baseline.</w:t>
            </w:r>
          </w:p>
        </w:tc>
      </w:tr>
      <w:tr>
        <w:tc>
          <w:tcPr>
            <w:tcW w:type="dxa" w:w="2074"/>
            <w:vAlign w:val="top"/>
          </w:tcPr>
          <w:p>
            <w:pPr>
              <w:spacing w:after="0"/>
              <w:jc w:val="left"/>
            </w:pPr>
            <w:r>
              <w:rPr>
                <w:rFonts w:ascii="Aptos" w:hAnsi="Aptos"/>
                <w:sz w:val="16"/>
              </w:rPr>
            </w:r>
            <w:r>
              <w:rPr>
                <w:rFonts w:ascii="Aptos" w:hAnsi="Aptos"/>
                <w:b w:val="0"/>
                <w:sz w:val="16"/>
              </w:rPr>
              <w:t>Additional strategic infrastructure equity</w:t>
            </w:r>
          </w:p>
        </w:tc>
        <w:tc>
          <w:tcPr>
            <w:tcW w:type="dxa" w:w="2074"/>
            <w:vAlign w:val="top"/>
          </w:tcPr>
          <w:p>
            <w:pPr>
              <w:spacing w:after="0"/>
              <w:jc w:val="left"/>
            </w:pPr>
            <w:r>
              <w:rPr>
                <w:rFonts w:ascii="Aptos" w:hAnsi="Aptos"/>
                <w:sz w:val="16"/>
              </w:rPr>
            </w:r>
            <w:r>
              <w:rPr>
                <w:rFonts w:ascii="Aptos" w:hAnsi="Aptos"/>
                <w:b w:val="0"/>
                <w:sz w:val="16"/>
              </w:rPr>
              <w:t>15 to 30 billion USD</w:t>
            </w:r>
          </w:p>
        </w:tc>
        <w:tc>
          <w:tcPr>
            <w:tcW w:type="dxa" w:w="2074"/>
            <w:vAlign w:val="top"/>
          </w:tcPr>
          <w:p>
            <w:pPr>
              <w:spacing w:after="0"/>
              <w:jc w:val="left"/>
            </w:pPr>
            <w:r>
              <w:rPr>
                <w:rFonts w:ascii="Aptos" w:hAnsi="Aptos"/>
                <w:sz w:val="16"/>
              </w:rPr>
            </w:r>
            <w:r>
              <w:rPr>
                <w:rFonts w:ascii="Aptos" w:hAnsi="Aptos"/>
                <w:b w:val="0"/>
                <w:sz w:val="16"/>
              </w:rPr>
              <w:t>22.0 billion USD</w:t>
            </w:r>
          </w:p>
        </w:tc>
        <w:tc>
          <w:tcPr>
            <w:tcW w:type="dxa" w:w="2074"/>
            <w:vAlign w:val="top"/>
          </w:tcPr>
          <w:p>
            <w:pPr>
              <w:spacing w:after="0"/>
              <w:jc w:val="left"/>
            </w:pPr>
            <w:r>
              <w:rPr>
                <w:rFonts w:ascii="Aptos" w:hAnsi="Aptos"/>
                <w:sz w:val="16"/>
              </w:rPr>
            </w:r>
            <w:r>
              <w:rPr>
                <w:rFonts w:ascii="Aptos" w:hAnsi="Aptos"/>
                <w:b w:val="0"/>
                <w:sz w:val="16"/>
              </w:rPr>
              <w:t>F4 through F7</w:t>
            </w:r>
          </w:p>
        </w:tc>
        <w:tc>
          <w:tcPr>
            <w:tcW w:type="dxa" w:w="2074"/>
            <w:vAlign w:val="top"/>
          </w:tcPr>
          <w:p>
            <w:pPr>
              <w:spacing w:after="0"/>
              <w:jc w:val="left"/>
            </w:pPr>
            <w:r>
              <w:rPr>
                <w:rFonts w:ascii="Aptos" w:hAnsi="Aptos"/>
                <w:sz w:val="16"/>
              </w:rPr>
            </w:r>
            <w:r>
              <w:rPr>
                <w:rFonts w:ascii="Aptos" w:hAnsi="Aptos"/>
                <w:b w:val="0"/>
                <w:sz w:val="16"/>
              </w:rPr>
              <w:t>Supports spaceport, mineral processing, solar farm, and microwave receiver integration.</w:t>
            </w:r>
          </w:p>
        </w:tc>
      </w:tr>
      <w:tr>
        <w:tc>
          <w:tcPr>
            <w:tcW w:type="dxa" w:w="2074"/>
            <w:vAlign w:val="top"/>
          </w:tcPr>
          <w:p>
            <w:pPr>
              <w:spacing w:after="0"/>
              <w:jc w:val="left"/>
            </w:pPr>
            <w:r>
              <w:rPr>
                <w:rFonts w:ascii="Aptos" w:hAnsi="Aptos"/>
                <w:sz w:val="16"/>
              </w:rPr>
            </w:r>
            <w:r>
              <w:rPr>
                <w:rFonts w:ascii="Aptos" w:hAnsi="Aptos"/>
                <w:b w:val="0"/>
                <w:sz w:val="16"/>
              </w:rPr>
              <w:t>Launch rail project finance tranche</w:t>
            </w:r>
          </w:p>
        </w:tc>
        <w:tc>
          <w:tcPr>
            <w:tcW w:type="dxa" w:w="2074"/>
            <w:vAlign w:val="top"/>
          </w:tcPr>
          <w:p>
            <w:pPr>
              <w:spacing w:after="0"/>
              <w:jc w:val="left"/>
            </w:pPr>
            <w:r>
              <w:rPr>
                <w:rFonts w:ascii="Aptos" w:hAnsi="Aptos"/>
                <w:sz w:val="16"/>
              </w:rPr>
            </w:r>
            <w:r>
              <w:rPr>
                <w:rFonts w:ascii="Aptos" w:hAnsi="Aptos"/>
                <w:b w:val="0"/>
                <w:sz w:val="16"/>
              </w:rPr>
              <w:t>10 to 20 billion USD</w:t>
            </w:r>
          </w:p>
        </w:tc>
        <w:tc>
          <w:tcPr>
            <w:tcW w:type="dxa" w:w="2074"/>
            <w:vAlign w:val="top"/>
          </w:tcPr>
          <w:p>
            <w:pPr>
              <w:spacing w:after="0"/>
              <w:jc w:val="left"/>
            </w:pPr>
            <w:r>
              <w:rPr>
                <w:rFonts w:ascii="Aptos" w:hAnsi="Aptos"/>
                <w:sz w:val="16"/>
              </w:rPr>
            </w:r>
            <w:r>
              <w:rPr>
                <w:rFonts w:ascii="Aptos" w:hAnsi="Aptos"/>
                <w:b w:val="0"/>
                <w:sz w:val="16"/>
              </w:rPr>
              <w:t>15.0 billion USD</w:t>
            </w:r>
          </w:p>
        </w:tc>
        <w:tc>
          <w:tcPr>
            <w:tcW w:type="dxa" w:w="2074"/>
            <w:vAlign w:val="top"/>
          </w:tcPr>
          <w:p>
            <w:pPr>
              <w:spacing w:after="0"/>
              <w:jc w:val="left"/>
            </w:pPr>
            <w:r>
              <w:rPr>
                <w:rFonts w:ascii="Aptos" w:hAnsi="Aptos"/>
                <w:sz w:val="16"/>
              </w:rPr>
            </w:r>
            <w:r>
              <w:rPr>
                <w:rFonts w:ascii="Aptos" w:hAnsi="Aptos"/>
                <w:b w:val="0"/>
                <w:sz w:val="16"/>
              </w:rPr>
              <w:t>After industrial production and customer demand validation</w:t>
            </w:r>
          </w:p>
        </w:tc>
        <w:tc>
          <w:tcPr>
            <w:tcW w:type="dxa" w:w="2074"/>
            <w:vAlign w:val="top"/>
          </w:tcPr>
          <w:p>
            <w:pPr>
              <w:spacing w:after="0"/>
              <w:jc w:val="left"/>
            </w:pPr>
            <w:r>
              <w:rPr>
                <w:rFonts w:ascii="Aptos" w:hAnsi="Aptos"/>
                <w:sz w:val="16"/>
              </w:rPr>
            </w:r>
            <w:r>
              <w:rPr>
                <w:rFonts w:ascii="Aptos" w:hAnsi="Aptos"/>
                <w:b w:val="0"/>
                <w:sz w:val="16"/>
              </w:rPr>
              <w:t>Ring fence hyperloop EM launch rail to prevent delay of core occupancy certification.</w:t>
            </w:r>
          </w:p>
        </w:tc>
      </w:tr>
    </w:tbl>
    <w:p>
      <w:pPr>
        <w:pStyle w:val="Heading2"/>
        <w:spacing w:before="200" w:after="120"/>
      </w:pPr>
      <w:r>
        <w:rPr>
          <w:rFonts w:ascii="Aptos" w:hAnsi="Aptos"/>
          <w:b/>
          <w:sz w:val="24"/>
        </w:rPr>
        <w:t>16.3 Equity Dilution Scenarios</w:t>
      </w:r>
    </w:p>
    <w:p>
      <w:pPr>
        <w:spacing w:after="120"/>
      </w:pPr>
      <w:r>
        <w:rPr>
          <w:rFonts w:ascii="Aptos" w:hAnsi="Aptos"/>
          <w:sz w:val="21"/>
        </w:rPr>
        <w:t>The dilution scenarios are illustrative. They assume common economic ownership before debt conversion, warrants, management incentives, and partner specific rights. Investor ownership is calculated as new equity divided by pre money valuation plus new equity.</w:t>
      </w:r>
    </w:p>
    <w:tbl>
      <w:tblPr>
        <w:tblStyle w:val="TableGrid"/>
        <w:tblW w:type="auto" w:w="0"/>
        <w:jc w:val="center"/>
        <w:tblLook w:firstColumn="1" w:firstRow="1" w:lastColumn="0" w:lastRow="0" w:noHBand="0" w:noVBand="1" w:val="04A0"/>
      </w:tblPr>
      <w:tblGrid>
        <w:gridCol w:w="1728"/>
        <w:gridCol w:w="1728"/>
        <w:gridCol w:w="1728"/>
        <w:gridCol w:w="1728"/>
        <w:gridCol w:w="1728"/>
        <w:gridCol w:w="1728"/>
      </w:tblGrid>
      <w:tr>
        <w:tc>
          <w:tcPr>
            <w:tcW w:type="dxa" w:w="2016"/>
            <w:vAlign w:val="top"/>
            <w:shd w:fill="D9EAF7"/>
          </w:tcPr>
          <w:p>
            <w:pPr>
              <w:spacing w:after="0" w:before="0"/>
            </w:pPr>
            <w:r>
              <w:rPr>
                <w:rFonts w:ascii="Aptos" w:hAnsi="Aptos"/>
                <w:b/>
                <w:sz w:val="16"/>
              </w:rPr>
            </w:r>
            <w:r>
              <w:rPr>
                <w:rFonts w:ascii="Aptos" w:hAnsi="Aptos"/>
                <w:b/>
                <w:sz w:val="16"/>
              </w:rPr>
              <w:t>Scenario</w:t>
            </w:r>
          </w:p>
        </w:tc>
        <w:tc>
          <w:tcPr>
            <w:tcW w:type="dxa" w:w="1584"/>
            <w:vAlign w:val="top"/>
            <w:shd w:fill="D9EAF7"/>
          </w:tcPr>
          <w:p>
            <w:pPr>
              <w:spacing w:after="0" w:before="0"/>
            </w:pPr>
            <w:r>
              <w:rPr>
                <w:rFonts w:ascii="Aptos" w:hAnsi="Aptos"/>
                <w:b/>
                <w:sz w:val="16"/>
              </w:rPr>
            </w:r>
            <w:r>
              <w:rPr>
                <w:rFonts w:ascii="Aptos" w:hAnsi="Aptos"/>
                <w:b/>
                <w:sz w:val="16"/>
              </w:rPr>
              <w:t>New equity raised</w:t>
            </w:r>
          </w:p>
        </w:tc>
        <w:tc>
          <w:tcPr>
            <w:tcW w:type="dxa" w:w="1584"/>
            <w:vAlign w:val="top"/>
            <w:shd w:fill="D9EAF7"/>
          </w:tcPr>
          <w:p>
            <w:pPr>
              <w:spacing w:after="0" w:before="0"/>
            </w:pPr>
            <w:r>
              <w:rPr>
                <w:rFonts w:ascii="Aptos" w:hAnsi="Aptos"/>
                <w:b/>
                <w:sz w:val="16"/>
              </w:rPr>
            </w:r>
            <w:r>
              <w:rPr>
                <w:rFonts w:ascii="Aptos" w:hAnsi="Aptos"/>
                <w:b/>
                <w:sz w:val="16"/>
              </w:rPr>
              <w:t>Assumed pre money value</w:t>
            </w:r>
          </w:p>
        </w:tc>
        <w:tc>
          <w:tcPr>
            <w:tcW w:type="dxa" w:w="1440"/>
            <w:vAlign w:val="top"/>
            <w:shd w:fill="D9EAF7"/>
          </w:tcPr>
          <w:p>
            <w:pPr>
              <w:spacing w:after="0" w:before="0"/>
            </w:pPr>
            <w:r>
              <w:rPr>
                <w:rFonts w:ascii="Aptos" w:hAnsi="Aptos"/>
                <w:b/>
                <w:sz w:val="16"/>
              </w:rPr>
            </w:r>
            <w:r>
              <w:rPr>
                <w:rFonts w:ascii="Aptos" w:hAnsi="Aptos"/>
                <w:b/>
                <w:sz w:val="16"/>
              </w:rPr>
              <w:t>Investor ownership</w:t>
            </w:r>
          </w:p>
        </w:tc>
        <w:tc>
          <w:tcPr>
            <w:tcW w:type="dxa" w:w="1440"/>
            <w:vAlign w:val="top"/>
            <w:shd w:fill="D9EAF7"/>
          </w:tcPr>
          <w:p>
            <w:pPr>
              <w:spacing w:after="0" w:before="0"/>
            </w:pPr>
            <w:r>
              <w:rPr>
                <w:rFonts w:ascii="Aptos" w:hAnsi="Aptos"/>
                <w:b/>
                <w:sz w:val="16"/>
              </w:rPr>
            </w:r>
            <w:r>
              <w:rPr>
                <w:rFonts w:ascii="Aptos" w:hAnsi="Aptos"/>
                <w:b/>
                <w:sz w:val="16"/>
              </w:rPr>
              <w:t>Sponsor ownership after round</w:t>
            </w:r>
          </w:p>
        </w:tc>
        <w:tc>
          <w:tcPr>
            <w:tcW w:type="dxa" w:w="3024"/>
            <w:vAlign w:val="top"/>
            <w:shd w:fill="D9EAF7"/>
          </w:tcPr>
          <w:p>
            <w:pPr>
              <w:spacing w:after="0" w:before="0"/>
            </w:pPr>
            <w:r>
              <w:rPr>
                <w:rFonts w:ascii="Aptos" w:hAnsi="Aptos"/>
                <w:b/>
                <w:sz w:val="16"/>
              </w:rPr>
            </w:r>
            <w:r>
              <w:rPr>
                <w:rFonts w:ascii="Aptos" w:hAnsi="Aptos"/>
                <w:b/>
                <w:sz w:val="16"/>
              </w:rPr>
              <w:t>Use case</w:t>
            </w:r>
          </w:p>
        </w:tc>
      </w:tr>
      <w:tr>
        <w:tc>
          <w:tcPr>
            <w:tcW w:type="dxa" w:w="2016"/>
            <w:vAlign w:val="top"/>
          </w:tcPr>
          <w:p>
            <w:pPr>
              <w:spacing w:after="0" w:before="0"/>
            </w:pPr>
            <w:r>
              <w:rPr>
                <w:rFonts w:ascii="Aptos" w:hAnsi="Aptos"/>
                <w:sz w:val="16"/>
              </w:rPr>
            </w:r>
            <w:r>
              <w:rPr>
                <w:rFonts w:ascii="Aptos" w:hAnsi="Aptos"/>
                <w:b w:val="0"/>
                <w:sz w:val="16"/>
              </w:rPr>
              <w:t>Sponsor control</w:t>
            </w:r>
          </w:p>
        </w:tc>
        <w:tc>
          <w:tcPr>
            <w:tcW w:type="dxa" w:w="1584"/>
            <w:vAlign w:val="top"/>
          </w:tcPr>
          <w:p>
            <w:pPr>
              <w:spacing w:after="0" w:before="0"/>
            </w:pPr>
            <w:r>
              <w:rPr>
                <w:rFonts w:ascii="Aptos" w:hAnsi="Aptos"/>
                <w:sz w:val="16"/>
              </w:rPr>
            </w:r>
            <w:r>
              <w:rPr>
                <w:rFonts w:ascii="Aptos" w:hAnsi="Aptos"/>
                <w:b w:val="0"/>
                <w:sz w:val="16"/>
              </w:rPr>
              <w:t>25.0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27.8 percent</w:t>
            </w:r>
          </w:p>
        </w:tc>
        <w:tc>
          <w:tcPr>
            <w:tcW w:type="dxa" w:w="1440"/>
            <w:vAlign w:val="top"/>
          </w:tcPr>
          <w:p>
            <w:pPr>
              <w:spacing w:after="0" w:before="0"/>
            </w:pPr>
            <w:r>
              <w:rPr>
                <w:rFonts w:ascii="Aptos" w:hAnsi="Aptos"/>
                <w:sz w:val="16"/>
              </w:rPr>
            </w:r>
            <w:r>
              <w:rPr>
                <w:rFonts w:ascii="Aptos" w:hAnsi="Aptos"/>
                <w:b w:val="0"/>
                <w:sz w:val="16"/>
              </w:rPr>
              <w:t>72.2 percent</w:t>
            </w:r>
          </w:p>
        </w:tc>
        <w:tc>
          <w:tcPr>
            <w:tcW w:type="dxa" w:w="3024"/>
            <w:vAlign w:val="top"/>
          </w:tcPr>
          <w:p>
            <w:pPr>
              <w:spacing w:after="0" w:before="0"/>
            </w:pPr>
            <w:r>
              <w:rPr>
                <w:rFonts w:ascii="Aptos" w:hAnsi="Aptos"/>
                <w:sz w:val="16"/>
              </w:rPr>
            </w:r>
            <w:r>
              <w:rPr>
                <w:rFonts w:ascii="Aptos" w:hAnsi="Aptos"/>
                <w:b w:val="0"/>
                <w:sz w:val="16"/>
              </w:rPr>
              <w:t>Highest sponsor control, requires stronger non dilutive support or later debt.</w:t>
            </w:r>
          </w:p>
        </w:tc>
      </w:tr>
      <w:tr>
        <w:tc>
          <w:tcPr>
            <w:tcW w:type="dxa" w:w="2016"/>
            <w:vAlign w:val="top"/>
          </w:tcPr>
          <w:p>
            <w:pPr>
              <w:spacing w:after="0" w:before="0"/>
            </w:pPr>
            <w:r>
              <w:rPr>
                <w:rFonts w:ascii="Aptos" w:hAnsi="Aptos"/>
                <w:sz w:val="16"/>
              </w:rPr>
            </w:r>
            <w:r>
              <w:rPr>
                <w:rFonts w:ascii="Aptos" w:hAnsi="Aptos"/>
                <w:b w:val="0"/>
                <w:sz w:val="16"/>
              </w:rPr>
              <w:t>Balanced infrastructure</w:t>
            </w:r>
          </w:p>
        </w:tc>
        <w:tc>
          <w:tcPr>
            <w:tcW w:type="dxa" w:w="1584"/>
            <w:vAlign w:val="top"/>
          </w:tcPr>
          <w:p>
            <w:pPr>
              <w:spacing w:after="0" w:before="0"/>
            </w:pPr>
            <w:r>
              <w:rPr>
                <w:rFonts w:ascii="Aptos" w:hAnsi="Aptos"/>
                <w:sz w:val="16"/>
              </w:rPr>
            </w:r>
            <w:r>
              <w:rPr>
                <w:rFonts w:ascii="Aptos" w:hAnsi="Aptos"/>
                <w:b w:val="0"/>
                <w:sz w:val="16"/>
              </w:rPr>
              <w:t>35.0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35.0 percent</w:t>
            </w:r>
          </w:p>
        </w:tc>
        <w:tc>
          <w:tcPr>
            <w:tcW w:type="dxa" w:w="1440"/>
            <w:vAlign w:val="top"/>
          </w:tcPr>
          <w:p>
            <w:pPr>
              <w:spacing w:after="0" w:before="0"/>
            </w:pPr>
            <w:r>
              <w:rPr>
                <w:rFonts w:ascii="Aptos" w:hAnsi="Aptos"/>
                <w:sz w:val="16"/>
              </w:rPr>
            </w:r>
            <w:r>
              <w:rPr>
                <w:rFonts w:ascii="Aptos" w:hAnsi="Aptos"/>
                <w:b w:val="0"/>
                <w:sz w:val="16"/>
              </w:rPr>
              <w:t>65.0 percent</w:t>
            </w:r>
          </w:p>
        </w:tc>
        <w:tc>
          <w:tcPr>
            <w:tcW w:type="dxa" w:w="3024"/>
            <w:vAlign w:val="top"/>
          </w:tcPr>
          <w:p>
            <w:pPr>
              <w:spacing w:after="0" w:before="0"/>
            </w:pPr>
            <w:r>
              <w:rPr>
                <w:rFonts w:ascii="Aptos" w:hAnsi="Aptos"/>
                <w:sz w:val="16"/>
              </w:rPr>
            </w:r>
            <w:r>
              <w:rPr>
                <w:rFonts w:ascii="Aptos" w:hAnsi="Aptos"/>
                <w:b w:val="0"/>
                <w:sz w:val="16"/>
              </w:rPr>
              <w:t>Recommended base case for early capital planning.</w:t>
            </w:r>
          </w:p>
        </w:tc>
      </w:tr>
      <w:tr>
        <w:tc>
          <w:tcPr>
            <w:tcW w:type="dxa" w:w="2016"/>
            <w:vAlign w:val="top"/>
          </w:tcPr>
          <w:p>
            <w:pPr>
              <w:spacing w:after="0" w:before="0"/>
            </w:pPr>
            <w:r>
              <w:rPr>
                <w:rFonts w:ascii="Aptos" w:hAnsi="Aptos"/>
                <w:sz w:val="16"/>
              </w:rPr>
            </w:r>
            <w:r>
              <w:rPr>
                <w:rFonts w:ascii="Aptos" w:hAnsi="Aptos"/>
                <w:b w:val="0"/>
                <w:sz w:val="16"/>
              </w:rPr>
              <w:t>Strategic partner heavy</w:t>
            </w:r>
          </w:p>
        </w:tc>
        <w:tc>
          <w:tcPr>
            <w:tcW w:type="dxa" w:w="1584"/>
            <w:vAlign w:val="top"/>
          </w:tcPr>
          <w:p>
            <w:pPr>
              <w:spacing w:after="0" w:before="0"/>
            </w:pPr>
            <w:r>
              <w:rPr>
                <w:rFonts w:ascii="Aptos" w:hAnsi="Aptos"/>
                <w:sz w:val="16"/>
              </w:rPr>
            </w:r>
            <w:r>
              <w:rPr>
                <w:rFonts w:ascii="Aptos" w:hAnsi="Aptos"/>
                <w:b w:val="0"/>
                <w:sz w:val="16"/>
              </w:rPr>
              <w:t>45.0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40.9 percent</w:t>
            </w:r>
          </w:p>
        </w:tc>
        <w:tc>
          <w:tcPr>
            <w:tcW w:type="dxa" w:w="1440"/>
            <w:vAlign w:val="top"/>
          </w:tcPr>
          <w:p>
            <w:pPr>
              <w:spacing w:after="0" w:before="0"/>
            </w:pPr>
            <w:r>
              <w:rPr>
                <w:rFonts w:ascii="Aptos" w:hAnsi="Aptos"/>
                <w:sz w:val="16"/>
              </w:rPr>
            </w:r>
            <w:r>
              <w:rPr>
                <w:rFonts w:ascii="Aptos" w:hAnsi="Aptos"/>
                <w:b w:val="0"/>
                <w:sz w:val="16"/>
              </w:rPr>
              <w:t>59.1 percent</w:t>
            </w:r>
          </w:p>
        </w:tc>
        <w:tc>
          <w:tcPr>
            <w:tcW w:type="dxa" w:w="3024"/>
            <w:vAlign w:val="top"/>
          </w:tcPr>
          <w:p>
            <w:pPr>
              <w:spacing w:after="0" w:before="0"/>
            </w:pPr>
            <w:r>
              <w:rPr>
                <w:rFonts w:ascii="Aptos" w:hAnsi="Aptos"/>
                <w:sz w:val="16"/>
              </w:rPr>
            </w:r>
            <w:r>
              <w:rPr>
                <w:rFonts w:ascii="Aptos" w:hAnsi="Aptos"/>
                <w:b w:val="0"/>
                <w:sz w:val="16"/>
              </w:rPr>
              <w:t>Reduces sponsor cash burden but gives strategic partners stronger influence.</w:t>
            </w:r>
          </w:p>
        </w:tc>
      </w:tr>
      <w:tr>
        <w:tc>
          <w:tcPr>
            <w:tcW w:type="dxa" w:w="2016"/>
            <w:vAlign w:val="top"/>
          </w:tcPr>
          <w:p>
            <w:pPr>
              <w:spacing w:after="0" w:before="0"/>
            </w:pPr>
            <w:r>
              <w:rPr>
                <w:rFonts w:ascii="Aptos" w:hAnsi="Aptos"/>
                <w:sz w:val="16"/>
              </w:rPr>
            </w:r>
            <w:r>
              <w:rPr>
                <w:rFonts w:ascii="Aptos" w:hAnsi="Aptos"/>
                <w:b w:val="0"/>
                <w:sz w:val="16"/>
              </w:rPr>
              <w:t>Delayed de risked equity</w:t>
            </w:r>
          </w:p>
        </w:tc>
        <w:tc>
          <w:tcPr>
            <w:tcW w:type="dxa" w:w="1584"/>
            <w:vAlign w:val="top"/>
          </w:tcPr>
          <w:p>
            <w:pPr>
              <w:spacing w:after="0" w:before="0"/>
            </w:pPr>
            <w:r>
              <w:rPr>
                <w:rFonts w:ascii="Aptos" w:hAnsi="Aptos"/>
                <w:sz w:val="16"/>
              </w:rPr>
            </w:r>
            <w:r>
              <w:rPr>
                <w:rFonts w:ascii="Aptos" w:hAnsi="Aptos"/>
                <w:b w:val="0"/>
                <w:sz w:val="16"/>
              </w:rPr>
              <w:t>25.0 billion USD</w:t>
            </w:r>
          </w:p>
        </w:tc>
        <w:tc>
          <w:tcPr>
            <w:tcW w:type="dxa" w:w="1584"/>
            <w:vAlign w:val="top"/>
          </w:tcPr>
          <w:p>
            <w:pPr>
              <w:spacing w:after="0" w:before="0"/>
            </w:pPr>
            <w:r>
              <w:rPr>
                <w:rFonts w:ascii="Aptos" w:hAnsi="Aptos"/>
                <w:sz w:val="16"/>
              </w:rPr>
            </w:r>
            <w:r>
              <w:rPr>
                <w:rFonts w:ascii="Aptos" w:hAnsi="Aptos"/>
                <w:b w:val="0"/>
                <w:sz w:val="16"/>
              </w:rPr>
              <w:t>100.0 billion USD</w:t>
            </w:r>
          </w:p>
        </w:tc>
        <w:tc>
          <w:tcPr>
            <w:tcW w:type="dxa" w:w="1440"/>
            <w:vAlign w:val="top"/>
          </w:tcPr>
          <w:p>
            <w:pPr>
              <w:spacing w:after="0" w:before="0"/>
            </w:pPr>
            <w:r>
              <w:rPr>
                <w:rFonts w:ascii="Aptos" w:hAnsi="Aptos"/>
                <w:sz w:val="16"/>
              </w:rPr>
            </w:r>
            <w:r>
              <w:rPr>
                <w:rFonts w:ascii="Aptos" w:hAnsi="Aptos"/>
                <w:b w:val="0"/>
                <w:sz w:val="16"/>
              </w:rPr>
              <w:t>20.0 percent</w:t>
            </w:r>
          </w:p>
        </w:tc>
        <w:tc>
          <w:tcPr>
            <w:tcW w:type="dxa" w:w="1440"/>
            <w:vAlign w:val="top"/>
          </w:tcPr>
          <w:p>
            <w:pPr>
              <w:spacing w:after="0" w:before="0"/>
            </w:pPr>
            <w:r>
              <w:rPr>
                <w:rFonts w:ascii="Aptos" w:hAnsi="Aptos"/>
                <w:sz w:val="16"/>
              </w:rPr>
            </w:r>
            <w:r>
              <w:rPr>
                <w:rFonts w:ascii="Aptos" w:hAnsi="Aptos"/>
                <w:b w:val="0"/>
                <w:sz w:val="16"/>
              </w:rPr>
              <w:t>80.0 percent</w:t>
            </w:r>
          </w:p>
        </w:tc>
        <w:tc>
          <w:tcPr>
            <w:tcW w:type="dxa" w:w="3024"/>
            <w:vAlign w:val="top"/>
          </w:tcPr>
          <w:p>
            <w:pPr>
              <w:spacing w:after="0" w:before="0"/>
            </w:pPr>
            <w:r>
              <w:rPr>
                <w:rFonts w:ascii="Aptos" w:hAnsi="Aptos"/>
                <w:sz w:val="16"/>
              </w:rPr>
            </w:r>
            <w:r>
              <w:rPr>
                <w:rFonts w:ascii="Aptos" w:hAnsi="Aptos"/>
                <w:b w:val="0"/>
                <w:sz w:val="16"/>
              </w:rPr>
              <w:t>Best if major equity is delayed until dependable power, underground shell, and water or oxygen risk are retired.</w:t>
            </w:r>
          </w:p>
        </w:tc>
      </w:tr>
    </w:tbl>
    <w:p>
      <w:pPr>
        <w:spacing w:after="120"/>
      </w:pPr>
      <w:r>
        <w:rPr>
          <w:rFonts w:ascii="Aptos" w:hAnsi="Aptos"/>
          <w:sz w:val="21"/>
        </w:rPr>
        <w:t>Board interpretation: The strongest control outcome comes from early government or partner cost share and customer prepayments, followed by larger equity after technical risk retirement. Issuing major equity before site confirmation and power risk retirement is the most dilutive path.</w:t>
      </w:r>
    </w:p>
    <w:p>
      <w:pPr>
        <w:pStyle w:val="Heading2"/>
        <w:spacing w:before="200" w:after="120"/>
      </w:pPr>
      <w:r>
        <w:rPr>
          <w:rFonts w:ascii="Aptos" w:hAnsi="Aptos"/>
          <w:b/>
          <w:sz w:val="24"/>
        </w:rPr>
        <w:t>16.4 Debt Capacity by Gate</w:t>
      </w:r>
    </w:p>
    <w:p>
      <w:pPr>
        <w:spacing w:after="120"/>
      </w:pPr>
      <w:r>
        <w:rPr>
          <w:rFonts w:ascii="Aptos" w:hAnsi="Aptos"/>
          <w:sz w:val="21"/>
        </w:rPr>
        <w:t>Debt should scale only as construction risk, utility risk, and revenue risk are retired. Early debt should be limited and sponsor supported. Later debt can be secured by contracted availability payments, offtake agreements, tenant leases, and strategic infrastructure rights.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1584"/>
            <w:vAlign w:val="top"/>
            <w:shd w:fill="D9EAF7"/>
          </w:tcPr>
          <w:p>
            <w:pPr>
              <w:spacing w:after="0" w:before="0"/>
            </w:pPr>
            <w:r>
              <w:rPr>
                <w:rFonts w:ascii="Aptos" w:hAnsi="Aptos"/>
                <w:b/>
                <w:sz w:val="16"/>
              </w:rPr>
            </w:r>
            <w:r>
              <w:rPr>
                <w:rFonts w:ascii="Aptos" w:hAnsi="Aptos"/>
                <w:b/>
                <w:sz w:val="16"/>
              </w:rPr>
              <w:t>Gate</w:t>
            </w:r>
          </w:p>
        </w:tc>
        <w:tc>
          <w:tcPr>
            <w:tcW w:type="dxa" w:w="3024"/>
            <w:vAlign w:val="top"/>
            <w:shd w:fill="D9EAF7"/>
          </w:tcPr>
          <w:p>
            <w:pPr>
              <w:spacing w:after="0" w:before="0"/>
            </w:pPr>
            <w:r>
              <w:rPr>
                <w:rFonts w:ascii="Aptos" w:hAnsi="Aptos"/>
                <w:b/>
                <w:sz w:val="16"/>
              </w:rPr>
            </w:r>
            <w:r>
              <w:rPr>
                <w:rFonts w:ascii="Aptos" w:hAnsi="Aptos"/>
                <w:b/>
                <w:sz w:val="16"/>
              </w:rPr>
              <w:t>Technical status</w:t>
            </w:r>
          </w:p>
        </w:tc>
        <w:tc>
          <w:tcPr>
            <w:tcW w:type="dxa" w:w="1728"/>
            <w:vAlign w:val="top"/>
            <w:shd w:fill="D9EAF7"/>
          </w:tcPr>
          <w:p>
            <w:pPr>
              <w:spacing w:after="0" w:before="0"/>
            </w:pPr>
            <w:r>
              <w:rPr>
                <w:rFonts w:ascii="Aptos" w:hAnsi="Aptos"/>
                <w:b/>
                <w:sz w:val="16"/>
              </w:rPr>
            </w:r>
            <w:r>
              <w:rPr>
                <w:rFonts w:ascii="Aptos" w:hAnsi="Aptos"/>
                <w:b/>
                <w:sz w:val="16"/>
              </w:rPr>
              <w:t>Indicative debt capacity</w:t>
            </w:r>
          </w:p>
        </w:tc>
        <w:tc>
          <w:tcPr>
            <w:tcW w:type="dxa" w:w="1728"/>
            <w:vAlign w:val="top"/>
            <w:shd w:fill="D9EAF7"/>
          </w:tcPr>
          <w:p>
            <w:pPr>
              <w:spacing w:after="0" w:before="0"/>
            </w:pPr>
            <w:r>
              <w:rPr>
                <w:rFonts w:ascii="Aptos" w:hAnsi="Aptos"/>
                <w:b/>
                <w:sz w:val="16"/>
              </w:rPr>
            </w:r>
            <w:r>
              <w:rPr>
                <w:rFonts w:ascii="Aptos" w:hAnsi="Aptos"/>
                <w:b/>
                <w:sz w:val="16"/>
              </w:rPr>
              <w:t>Debt type</w:t>
            </w:r>
          </w:p>
        </w:tc>
        <w:tc>
          <w:tcPr>
            <w:tcW w:type="dxa" w:w="3456"/>
            <w:vAlign w:val="top"/>
            <w:shd w:fill="D9EAF7"/>
          </w:tcPr>
          <w:p>
            <w:pPr>
              <w:spacing w:after="0" w:before="0"/>
            </w:pPr>
            <w:r>
              <w:rPr>
                <w:rFonts w:ascii="Aptos" w:hAnsi="Aptos"/>
                <w:b/>
                <w:sz w:val="16"/>
              </w:rPr>
            </w:r>
            <w:r>
              <w:rPr>
                <w:rFonts w:ascii="Aptos" w:hAnsi="Aptos"/>
                <w:b/>
                <w:sz w:val="16"/>
              </w:rPr>
              <w:t>Required evidence</w:t>
            </w:r>
          </w:p>
        </w:tc>
      </w:tr>
      <w:tr>
        <w:tc>
          <w:tcPr>
            <w:tcW w:type="dxa" w:w="1584"/>
            <w:vAlign w:val="top"/>
          </w:tcPr>
          <w:p>
            <w:pPr>
              <w:spacing w:after="0" w:before="0"/>
            </w:pPr>
            <w:r>
              <w:rPr>
                <w:rFonts w:ascii="Aptos" w:hAnsi="Aptos"/>
                <w:sz w:val="16"/>
              </w:rPr>
            </w:r>
            <w:r>
              <w:rPr>
                <w:rFonts w:ascii="Aptos" w:hAnsi="Aptos"/>
                <w:b w:val="0"/>
                <w:sz w:val="16"/>
              </w:rPr>
              <w:t>G1 Site confirmation</w:t>
            </w:r>
          </w:p>
        </w:tc>
        <w:tc>
          <w:tcPr>
            <w:tcW w:type="dxa" w:w="3024"/>
            <w:vAlign w:val="top"/>
          </w:tcPr>
          <w:p>
            <w:pPr>
              <w:spacing w:after="0" w:before="0"/>
            </w:pPr>
            <w:r>
              <w:rPr>
                <w:rFonts w:ascii="Aptos" w:hAnsi="Aptos"/>
                <w:sz w:val="16"/>
              </w:rPr>
            </w:r>
            <w:r>
              <w:rPr>
                <w:rFonts w:ascii="Aptos" w:hAnsi="Aptos"/>
                <w:b w:val="0"/>
                <w:sz w:val="16"/>
              </w:rPr>
              <w:t>District plan, shaft zones, pad zones, utility corridors fixed</w:t>
            </w:r>
          </w:p>
        </w:tc>
        <w:tc>
          <w:tcPr>
            <w:tcW w:type="dxa" w:w="1728"/>
            <w:vAlign w:val="top"/>
          </w:tcPr>
          <w:p>
            <w:pPr>
              <w:spacing w:after="0" w:before="0"/>
            </w:pPr>
            <w:r>
              <w:rPr>
                <w:rFonts w:ascii="Aptos" w:hAnsi="Aptos"/>
                <w:sz w:val="16"/>
              </w:rPr>
            </w:r>
            <w:r>
              <w:rPr>
                <w:rFonts w:ascii="Aptos" w:hAnsi="Aptos"/>
                <w:b w:val="0"/>
                <w:sz w:val="16"/>
              </w:rPr>
              <w:t>0 to 5 billion USD</w:t>
            </w:r>
          </w:p>
        </w:tc>
        <w:tc>
          <w:tcPr>
            <w:tcW w:type="dxa" w:w="1728"/>
            <w:vAlign w:val="top"/>
          </w:tcPr>
          <w:p>
            <w:pPr>
              <w:spacing w:after="0" w:before="0"/>
            </w:pPr>
            <w:r>
              <w:rPr>
                <w:rFonts w:ascii="Aptos" w:hAnsi="Aptos"/>
                <w:sz w:val="16"/>
              </w:rPr>
            </w:r>
            <w:r>
              <w:rPr>
                <w:rFonts w:ascii="Aptos" w:hAnsi="Aptos"/>
                <w:b w:val="0"/>
                <w:sz w:val="16"/>
              </w:rPr>
              <w:t>Limited bridge or sponsor backed facility</w:t>
            </w:r>
          </w:p>
        </w:tc>
        <w:tc>
          <w:tcPr>
            <w:tcW w:type="dxa" w:w="3456"/>
            <w:vAlign w:val="top"/>
          </w:tcPr>
          <w:p>
            <w:pPr>
              <w:spacing w:after="0" w:before="0"/>
            </w:pPr>
            <w:r>
              <w:rPr>
                <w:rFonts w:ascii="Aptos" w:hAnsi="Aptos"/>
                <w:sz w:val="16"/>
              </w:rPr>
            </w:r>
            <w:r>
              <w:rPr>
                <w:rFonts w:ascii="Aptos" w:hAnsi="Aptos"/>
                <w:b w:val="0"/>
                <w:sz w:val="16"/>
              </w:rPr>
              <w:t>Site data, board authorization, preliminary partner support.</w:t>
            </w:r>
          </w:p>
        </w:tc>
      </w:tr>
      <w:tr>
        <w:tc>
          <w:tcPr>
            <w:tcW w:type="dxa" w:w="1584"/>
            <w:vAlign w:val="top"/>
          </w:tcPr>
          <w:p>
            <w:pPr>
              <w:spacing w:after="0" w:before="0"/>
            </w:pPr>
            <w:r>
              <w:rPr>
                <w:rFonts w:ascii="Aptos" w:hAnsi="Aptos"/>
                <w:sz w:val="16"/>
              </w:rPr>
            </w:r>
            <w:r>
              <w:rPr>
                <w:rFonts w:ascii="Aptos" w:hAnsi="Aptos"/>
                <w:b w:val="0"/>
                <w:sz w:val="16"/>
              </w:rPr>
              <w:t>G3 Dependable power</w:t>
            </w:r>
          </w:p>
        </w:tc>
        <w:tc>
          <w:tcPr>
            <w:tcW w:type="dxa" w:w="3024"/>
            <w:vAlign w:val="top"/>
          </w:tcPr>
          <w:p>
            <w:pPr>
              <w:spacing w:after="0" w:before="0"/>
            </w:pPr>
            <w:r>
              <w:rPr>
                <w:rFonts w:ascii="Aptos" w:hAnsi="Aptos"/>
                <w:sz w:val="16"/>
              </w:rPr>
            </w:r>
            <w:r>
              <w:rPr>
                <w:rFonts w:ascii="Aptos" w:hAnsi="Aptos"/>
                <w:b w:val="0"/>
                <w:sz w:val="16"/>
              </w:rPr>
              <w:t>Initial dependable power and emergency restart demonstrated</w:t>
            </w:r>
          </w:p>
        </w:tc>
        <w:tc>
          <w:tcPr>
            <w:tcW w:type="dxa" w:w="1728"/>
            <w:vAlign w:val="top"/>
          </w:tcPr>
          <w:p>
            <w:pPr>
              <w:spacing w:after="0" w:before="0"/>
            </w:pPr>
            <w:r>
              <w:rPr>
                <w:rFonts w:ascii="Aptos" w:hAnsi="Aptos"/>
                <w:sz w:val="16"/>
              </w:rPr>
            </w:r>
            <w:r>
              <w:rPr>
                <w:rFonts w:ascii="Aptos" w:hAnsi="Aptos"/>
                <w:b w:val="0"/>
                <w:sz w:val="16"/>
              </w:rPr>
              <w:t>5 to 12 billion USD</w:t>
            </w:r>
          </w:p>
        </w:tc>
        <w:tc>
          <w:tcPr>
            <w:tcW w:type="dxa" w:w="1728"/>
            <w:vAlign w:val="top"/>
          </w:tcPr>
          <w:p>
            <w:pPr>
              <w:spacing w:after="0" w:before="0"/>
            </w:pPr>
            <w:r>
              <w:rPr>
                <w:rFonts w:ascii="Aptos" w:hAnsi="Aptos"/>
                <w:sz w:val="16"/>
              </w:rPr>
            </w:r>
            <w:r>
              <w:rPr>
                <w:rFonts w:ascii="Aptos" w:hAnsi="Aptos"/>
                <w:b w:val="0"/>
                <w:sz w:val="16"/>
              </w:rPr>
              <w:t>Secured equipment or infrastructure facility</w:t>
            </w:r>
          </w:p>
        </w:tc>
        <w:tc>
          <w:tcPr>
            <w:tcW w:type="dxa" w:w="3456"/>
            <w:vAlign w:val="top"/>
          </w:tcPr>
          <w:p>
            <w:pPr>
              <w:spacing w:after="0" w:before="0"/>
            </w:pPr>
            <w:r>
              <w:rPr>
                <w:rFonts w:ascii="Aptos" w:hAnsi="Aptos"/>
                <w:sz w:val="16"/>
              </w:rPr>
            </w:r>
            <w:r>
              <w:rPr>
                <w:rFonts w:ascii="Aptos" w:hAnsi="Aptos"/>
                <w:b w:val="0"/>
                <w:sz w:val="16"/>
              </w:rPr>
              <w:t>Power package progress, delivery schedule, insurance path.</w:t>
            </w:r>
          </w:p>
        </w:tc>
      </w:tr>
      <w:tr>
        <w:tc>
          <w:tcPr>
            <w:tcW w:type="dxa" w:w="1584"/>
            <w:vAlign w:val="top"/>
          </w:tcPr>
          <w:p>
            <w:pPr>
              <w:spacing w:after="0" w:before="0"/>
            </w:pPr>
            <w:r>
              <w:rPr>
                <w:rFonts w:ascii="Aptos" w:hAnsi="Aptos"/>
                <w:sz w:val="16"/>
              </w:rPr>
            </w:r>
            <w:r>
              <w:rPr>
                <w:rFonts w:ascii="Aptos" w:hAnsi="Aptos"/>
                <w:b w:val="0"/>
                <w:sz w:val="16"/>
              </w:rPr>
              <w:t>G5 Sustained occupancy</w:t>
            </w:r>
          </w:p>
        </w:tc>
        <w:tc>
          <w:tcPr>
            <w:tcW w:type="dxa" w:w="3024"/>
            <w:vAlign w:val="top"/>
          </w:tcPr>
          <w:p>
            <w:pPr>
              <w:spacing w:after="0" w:before="0"/>
            </w:pPr>
            <w:r>
              <w:rPr>
                <w:rFonts w:ascii="Aptos" w:hAnsi="Aptos"/>
                <w:sz w:val="16"/>
              </w:rPr>
            </w:r>
            <w:r>
              <w:rPr>
                <w:rFonts w:ascii="Aptos" w:hAnsi="Aptos"/>
                <w:b w:val="0"/>
                <w:sz w:val="16"/>
              </w:rPr>
              <w:t>R1 and R2, life support, mission control, medical core, first embarkation path complete</w:t>
            </w:r>
          </w:p>
        </w:tc>
        <w:tc>
          <w:tcPr>
            <w:tcW w:type="dxa" w:w="1728"/>
            <w:vAlign w:val="top"/>
          </w:tcPr>
          <w:p>
            <w:pPr>
              <w:spacing w:after="0" w:before="0"/>
            </w:pPr>
            <w:r>
              <w:rPr>
                <w:rFonts w:ascii="Aptos" w:hAnsi="Aptos"/>
                <w:sz w:val="16"/>
              </w:rPr>
            </w:r>
            <w:r>
              <w:rPr>
                <w:rFonts w:ascii="Aptos" w:hAnsi="Aptos"/>
                <w:b w:val="0"/>
                <w:sz w:val="16"/>
              </w:rPr>
              <w:t>12 to 20 billion USD</w:t>
            </w:r>
          </w:p>
        </w:tc>
        <w:tc>
          <w:tcPr>
            <w:tcW w:type="dxa" w:w="1728"/>
            <w:vAlign w:val="top"/>
          </w:tcPr>
          <w:p>
            <w:pPr>
              <w:spacing w:after="0" w:before="0"/>
            </w:pPr>
            <w:r>
              <w:rPr>
                <w:rFonts w:ascii="Aptos" w:hAnsi="Aptos"/>
                <w:sz w:val="16"/>
              </w:rPr>
            </w:r>
            <w:r>
              <w:rPr>
                <w:rFonts w:ascii="Aptos" w:hAnsi="Aptos"/>
                <w:b w:val="0"/>
                <w:sz w:val="16"/>
              </w:rPr>
              <w:t>Hybrid construction debt</w:t>
            </w:r>
          </w:p>
        </w:tc>
        <w:tc>
          <w:tcPr>
            <w:tcW w:type="dxa" w:w="3456"/>
            <w:vAlign w:val="top"/>
          </w:tcPr>
          <w:p>
            <w:pPr>
              <w:spacing w:after="0" w:before="0"/>
            </w:pPr>
            <w:r>
              <w:rPr>
                <w:rFonts w:ascii="Aptos" w:hAnsi="Aptos"/>
                <w:sz w:val="16"/>
              </w:rPr>
            </w:r>
            <w:r>
              <w:rPr>
                <w:rFonts w:ascii="Aptos" w:hAnsi="Aptos"/>
                <w:b w:val="0"/>
                <w:sz w:val="16"/>
              </w:rPr>
              <w:t>Occupancy gate evidence and critical utility performance.</w:t>
            </w:r>
          </w:p>
        </w:tc>
      </w:tr>
      <w:tr>
        <w:tc>
          <w:tcPr>
            <w:tcW w:type="dxa" w:w="1584"/>
            <w:vAlign w:val="top"/>
          </w:tcPr>
          <w:p>
            <w:pPr>
              <w:spacing w:after="0" w:before="0"/>
            </w:pPr>
            <w:r>
              <w:rPr>
                <w:rFonts w:ascii="Aptos" w:hAnsi="Aptos"/>
                <w:sz w:val="16"/>
              </w:rPr>
            </w:r>
            <w:r>
              <w:rPr>
                <w:rFonts w:ascii="Aptos" w:hAnsi="Aptos"/>
                <w:b w:val="0"/>
                <w:sz w:val="16"/>
              </w:rPr>
              <w:t>G6 Industrial life support</w:t>
            </w:r>
          </w:p>
        </w:tc>
        <w:tc>
          <w:tcPr>
            <w:tcW w:type="dxa" w:w="3024"/>
            <w:vAlign w:val="top"/>
          </w:tcPr>
          <w:p>
            <w:pPr>
              <w:spacing w:after="0" w:before="0"/>
            </w:pPr>
            <w:r>
              <w:rPr>
                <w:rFonts w:ascii="Aptos" w:hAnsi="Aptos"/>
                <w:sz w:val="16"/>
              </w:rPr>
            </w:r>
            <w:r>
              <w:rPr>
                <w:rFonts w:ascii="Aptos" w:hAnsi="Aptos"/>
                <w:b w:val="0"/>
                <w:sz w:val="16"/>
              </w:rPr>
              <w:t>Stable water production, purification, oxygen generation, protected reserves green</w:t>
            </w:r>
          </w:p>
        </w:tc>
        <w:tc>
          <w:tcPr>
            <w:tcW w:type="dxa" w:w="1728"/>
            <w:vAlign w:val="top"/>
          </w:tcPr>
          <w:p>
            <w:pPr>
              <w:spacing w:after="0" w:before="0"/>
            </w:pPr>
            <w:r>
              <w:rPr>
                <w:rFonts w:ascii="Aptos" w:hAnsi="Aptos"/>
                <w:sz w:val="16"/>
              </w:rPr>
            </w:r>
            <w:r>
              <w:rPr>
                <w:rFonts w:ascii="Aptos" w:hAnsi="Aptos"/>
                <w:b w:val="0"/>
                <w:sz w:val="16"/>
              </w:rPr>
              <w:t>20 to 35 billion USD</w:t>
            </w:r>
          </w:p>
        </w:tc>
        <w:tc>
          <w:tcPr>
            <w:tcW w:type="dxa" w:w="1728"/>
            <w:vAlign w:val="top"/>
          </w:tcPr>
          <w:p>
            <w:pPr>
              <w:spacing w:after="0" w:before="0"/>
            </w:pPr>
            <w:r>
              <w:rPr>
                <w:rFonts w:ascii="Aptos" w:hAnsi="Aptos"/>
                <w:sz w:val="16"/>
              </w:rPr>
            </w:r>
            <w:r>
              <w:rPr>
                <w:rFonts w:ascii="Aptos" w:hAnsi="Aptos"/>
                <w:b w:val="0"/>
                <w:sz w:val="16"/>
              </w:rPr>
              <w:t>Project debt</w:t>
            </w:r>
          </w:p>
        </w:tc>
        <w:tc>
          <w:tcPr>
            <w:tcW w:type="dxa" w:w="3456"/>
            <w:vAlign w:val="top"/>
          </w:tcPr>
          <w:p>
            <w:pPr>
              <w:spacing w:after="0" w:before="0"/>
            </w:pPr>
            <w:r>
              <w:rPr>
                <w:rFonts w:ascii="Aptos" w:hAnsi="Aptos"/>
                <w:sz w:val="16"/>
              </w:rPr>
            </w:r>
            <w:r>
              <w:rPr>
                <w:rFonts w:ascii="Aptos" w:hAnsi="Aptos"/>
                <w:b w:val="0"/>
                <w:sz w:val="16"/>
              </w:rPr>
              <w:t>Of-take commitments, operating data, reserve compliance.</w:t>
            </w:r>
          </w:p>
        </w:tc>
      </w:tr>
      <w:tr>
        <w:tc>
          <w:tcPr>
            <w:tcW w:type="dxa" w:w="1584"/>
            <w:vAlign w:val="top"/>
          </w:tcPr>
          <w:p>
            <w:pPr>
              <w:spacing w:after="0" w:before="0"/>
            </w:pPr>
            <w:r>
              <w:rPr>
                <w:rFonts w:ascii="Aptos" w:hAnsi="Aptos"/>
                <w:sz w:val="16"/>
              </w:rPr>
            </w:r>
            <w:r>
              <w:rPr>
                <w:rFonts w:ascii="Aptos" w:hAnsi="Aptos"/>
                <w:b w:val="0"/>
                <w:sz w:val="16"/>
              </w:rPr>
              <w:t>G8 Mature operation</w:t>
            </w:r>
          </w:p>
        </w:tc>
        <w:tc>
          <w:tcPr>
            <w:tcW w:type="dxa" w:w="3024"/>
            <w:vAlign w:val="top"/>
          </w:tcPr>
          <w:p>
            <w:pPr>
              <w:spacing w:after="0" w:before="0"/>
            </w:pPr>
            <w:r>
              <w:rPr>
                <w:rFonts w:ascii="Aptos" w:hAnsi="Aptos"/>
                <w:sz w:val="16"/>
              </w:rPr>
            </w:r>
            <w:r>
              <w:rPr>
                <w:rFonts w:ascii="Aptos" w:hAnsi="Aptos"/>
                <w:b w:val="0"/>
                <w:sz w:val="16"/>
              </w:rPr>
              <w:t>Endurance validation and 72 hour evacuation certification complete</w:t>
            </w:r>
          </w:p>
        </w:tc>
        <w:tc>
          <w:tcPr>
            <w:tcW w:type="dxa" w:w="1728"/>
            <w:vAlign w:val="top"/>
          </w:tcPr>
          <w:p>
            <w:pPr>
              <w:spacing w:after="0" w:before="0"/>
            </w:pPr>
            <w:r>
              <w:rPr>
                <w:rFonts w:ascii="Aptos" w:hAnsi="Aptos"/>
                <w:sz w:val="16"/>
              </w:rPr>
            </w:r>
            <w:r>
              <w:rPr>
                <w:rFonts w:ascii="Aptos" w:hAnsi="Aptos"/>
                <w:b w:val="0"/>
                <w:sz w:val="16"/>
              </w:rPr>
              <w:t>35 to 45 billion USD</w:t>
            </w:r>
          </w:p>
        </w:tc>
        <w:tc>
          <w:tcPr>
            <w:tcW w:type="dxa" w:w="1728"/>
            <w:vAlign w:val="top"/>
          </w:tcPr>
          <w:p>
            <w:pPr>
              <w:spacing w:after="0" w:before="0"/>
            </w:pPr>
            <w:r>
              <w:rPr>
                <w:rFonts w:ascii="Aptos" w:hAnsi="Aptos"/>
                <w:sz w:val="16"/>
              </w:rPr>
            </w:r>
            <w:r>
              <w:rPr>
                <w:rFonts w:ascii="Aptos" w:hAnsi="Aptos"/>
                <w:b w:val="0"/>
                <w:sz w:val="16"/>
              </w:rPr>
              <w:t>Long tenor infrastructure refinancing</w:t>
            </w:r>
          </w:p>
        </w:tc>
        <w:tc>
          <w:tcPr>
            <w:tcW w:type="dxa" w:w="3456"/>
            <w:vAlign w:val="top"/>
          </w:tcPr>
          <w:p>
            <w:pPr>
              <w:spacing w:after="0" w:before="0"/>
            </w:pPr>
            <w:r>
              <w:rPr>
                <w:rFonts w:ascii="Aptos" w:hAnsi="Aptos"/>
                <w:sz w:val="16"/>
              </w:rPr>
            </w:r>
            <w:r>
              <w:rPr>
                <w:rFonts w:ascii="Aptos" w:hAnsi="Aptos"/>
                <w:b w:val="0"/>
                <w:sz w:val="16"/>
              </w:rPr>
              <w:t>Revenue history, availability contracts, insurance, operational acceptance.</w:t>
            </w:r>
          </w:p>
        </w:tc>
      </w:tr>
    </w:tbl>
    <w:p>
      <w:pPr>
        <w:pStyle w:val="Heading2"/>
        <w:spacing w:before="200" w:after="120"/>
      </w:pPr>
      <w:r>
        <w:rPr>
          <w:rFonts w:ascii="Aptos" w:hAnsi="Aptos"/>
          <w:b/>
          <w:sz w:val="24"/>
        </w:rPr>
        <w:t>16.5 Anchor Customer Financing Terms</w:t>
      </w:r>
    </w:p>
    <w:p>
      <w:pPr>
        <w:spacing w:after="120"/>
      </w:pPr>
      <w:r>
        <w:rPr>
          <w:rFonts w:ascii="Aptos" w:hAnsi="Aptos"/>
          <w:sz w:val="21"/>
        </w:rPr>
        <w:t>Anchor customer agreements should be structured to improve project finance quality. The installation should sell capacity, readiness, and priority access, not only spot commodities.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016"/>
            <w:vAlign w:val="top"/>
            <w:shd w:fill="D9EAF7"/>
          </w:tcPr>
          <w:p>
            <w:pPr>
              <w:spacing w:after="0" w:before="0"/>
            </w:pPr>
            <w:r>
              <w:rPr>
                <w:rFonts w:ascii="Aptos" w:hAnsi="Aptos"/>
                <w:b/>
                <w:sz w:val="16"/>
              </w:rPr>
            </w:r>
            <w:r>
              <w:rPr>
                <w:rFonts w:ascii="Aptos" w:hAnsi="Aptos"/>
                <w:b/>
                <w:sz w:val="16"/>
              </w:rPr>
              <w:t>Agreement type</w:t>
            </w:r>
          </w:p>
        </w:tc>
        <w:tc>
          <w:tcPr>
            <w:tcW w:type="dxa" w:w="3312"/>
            <w:vAlign w:val="top"/>
            <w:shd w:fill="D9EAF7"/>
          </w:tcPr>
          <w:p>
            <w:pPr>
              <w:spacing w:after="0" w:before="0"/>
            </w:pPr>
            <w:r>
              <w:rPr>
                <w:rFonts w:ascii="Aptos" w:hAnsi="Aptos"/>
                <w:b/>
                <w:sz w:val="16"/>
              </w:rPr>
            </w:r>
            <w:r>
              <w:rPr>
                <w:rFonts w:ascii="Aptos" w:hAnsi="Aptos"/>
                <w:b/>
                <w:sz w:val="16"/>
              </w:rPr>
              <w:t>Commercial structure</w:t>
            </w:r>
          </w:p>
        </w:tc>
        <w:tc>
          <w:tcPr>
            <w:tcW w:type="dxa" w:w="2160"/>
            <w:vAlign w:val="top"/>
            <w:shd w:fill="D9EAF7"/>
          </w:tcPr>
          <w:p>
            <w:pPr>
              <w:spacing w:after="0" w:before="0"/>
            </w:pPr>
            <w:r>
              <w:rPr>
                <w:rFonts w:ascii="Aptos" w:hAnsi="Aptos"/>
                <w:b/>
                <w:sz w:val="16"/>
              </w:rPr>
            </w:r>
            <w:r>
              <w:rPr>
                <w:rFonts w:ascii="Aptos" w:hAnsi="Aptos"/>
                <w:b/>
                <w:sz w:val="16"/>
              </w:rPr>
              <w:t>Financing value</w:t>
            </w:r>
          </w:p>
        </w:tc>
        <w:tc>
          <w:tcPr>
            <w:tcW w:type="dxa" w:w="2880"/>
            <w:vAlign w:val="top"/>
            <w:shd w:fill="D9EAF7"/>
          </w:tcPr>
          <w:p>
            <w:pPr>
              <w:spacing w:after="0" w:before="0"/>
            </w:pPr>
            <w:r>
              <w:rPr>
                <w:rFonts w:ascii="Aptos" w:hAnsi="Aptos"/>
                <w:b/>
                <w:sz w:val="16"/>
              </w:rPr>
            </w:r>
            <w:r>
              <w:rPr>
                <w:rFonts w:ascii="Aptos" w:hAnsi="Aptos"/>
                <w:b/>
                <w:sz w:val="16"/>
              </w:rPr>
              <w:t>Board requirement</w:t>
            </w:r>
          </w:p>
        </w:tc>
      </w:tr>
      <w:tr>
        <w:tc>
          <w:tcPr>
            <w:tcW w:type="dxa" w:w="2016"/>
            <w:vAlign w:val="top"/>
          </w:tcPr>
          <w:p>
            <w:pPr>
              <w:spacing w:after="0" w:before="0"/>
            </w:pPr>
            <w:r>
              <w:rPr>
                <w:rFonts w:ascii="Aptos" w:hAnsi="Aptos"/>
                <w:sz w:val="16"/>
              </w:rPr>
            </w:r>
            <w:r>
              <w:rPr>
                <w:rFonts w:ascii="Aptos" w:hAnsi="Aptos"/>
                <w:b w:val="0"/>
                <w:sz w:val="16"/>
              </w:rPr>
              <w:t>Propellant offtake</w:t>
            </w:r>
          </w:p>
        </w:tc>
        <w:tc>
          <w:tcPr>
            <w:tcW w:type="dxa" w:w="3312"/>
            <w:vAlign w:val="top"/>
          </w:tcPr>
          <w:p>
            <w:pPr>
              <w:spacing w:after="0" w:before="0"/>
            </w:pPr>
            <w:r>
              <w:rPr>
                <w:rFonts w:ascii="Aptos" w:hAnsi="Aptos"/>
                <w:sz w:val="16"/>
              </w:rPr>
            </w:r>
            <w:r>
              <w:rPr>
                <w:rFonts w:ascii="Aptos" w:hAnsi="Aptos"/>
                <w:b w:val="0"/>
                <w:sz w:val="16"/>
              </w:rPr>
              <w:t>Take or pay volumes, price floors, priority delivery class, reserve protection clause</w:t>
            </w:r>
          </w:p>
        </w:tc>
        <w:tc>
          <w:tcPr>
            <w:tcW w:type="dxa" w:w="2160"/>
            <w:vAlign w:val="top"/>
          </w:tcPr>
          <w:p>
            <w:pPr>
              <w:spacing w:after="0" w:before="0"/>
            </w:pPr>
            <w:r>
              <w:rPr>
                <w:rFonts w:ascii="Aptos" w:hAnsi="Aptos"/>
                <w:sz w:val="16"/>
              </w:rPr>
            </w:r>
            <w:r>
              <w:rPr>
                <w:rFonts w:ascii="Aptos" w:hAnsi="Aptos"/>
                <w:b w:val="0"/>
                <w:sz w:val="16"/>
              </w:rPr>
              <w:t>Supports debt and equipment financing after G6</w:t>
            </w:r>
          </w:p>
        </w:tc>
        <w:tc>
          <w:tcPr>
            <w:tcW w:type="dxa" w:w="2880"/>
            <w:vAlign w:val="top"/>
          </w:tcPr>
          <w:p>
            <w:pPr>
              <w:spacing w:after="0" w:before="0"/>
            </w:pPr>
            <w:r>
              <w:rPr>
                <w:rFonts w:ascii="Aptos" w:hAnsi="Aptos"/>
                <w:sz w:val="16"/>
              </w:rPr>
            </w:r>
            <w:r>
              <w:rPr>
                <w:rFonts w:ascii="Aptos" w:hAnsi="Aptos"/>
                <w:b w:val="0"/>
                <w:sz w:val="16"/>
              </w:rPr>
              <w:t>Contract 40 to 60 percent of planned early export capacity before full cryogenic capital release.</w:t>
            </w:r>
          </w:p>
        </w:tc>
      </w:tr>
      <w:tr>
        <w:tc>
          <w:tcPr>
            <w:tcW w:type="dxa" w:w="2016"/>
            <w:vAlign w:val="top"/>
          </w:tcPr>
          <w:p>
            <w:pPr>
              <w:spacing w:after="0" w:before="0"/>
            </w:pPr>
            <w:r>
              <w:rPr>
                <w:rFonts w:ascii="Aptos" w:hAnsi="Aptos"/>
                <w:sz w:val="16"/>
              </w:rPr>
            </w:r>
            <w:r>
              <w:rPr>
                <w:rFonts w:ascii="Aptos" w:hAnsi="Aptos"/>
                <w:b w:val="0"/>
                <w:sz w:val="16"/>
              </w:rPr>
              <w:t>Strategic availability</w:t>
            </w:r>
          </w:p>
        </w:tc>
        <w:tc>
          <w:tcPr>
            <w:tcW w:type="dxa" w:w="3312"/>
            <w:vAlign w:val="top"/>
          </w:tcPr>
          <w:p>
            <w:pPr>
              <w:spacing w:after="0" w:before="0"/>
            </w:pPr>
            <w:r>
              <w:rPr>
                <w:rFonts w:ascii="Aptos" w:hAnsi="Aptos"/>
                <w:sz w:val="16"/>
              </w:rPr>
            </w:r>
            <w:r>
              <w:rPr>
                <w:rFonts w:ascii="Aptos" w:hAnsi="Aptos"/>
                <w:b w:val="0"/>
                <w:sz w:val="16"/>
              </w:rPr>
              <w:t>Annual availability payment plus activation fee for refuge, medical, rescue, emergency oxygen, and evacuation readiness</w:t>
            </w:r>
          </w:p>
        </w:tc>
        <w:tc>
          <w:tcPr>
            <w:tcW w:type="dxa" w:w="2160"/>
            <w:vAlign w:val="top"/>
          </w:tcPr>
          <w:p>
            <w:pPr>
              <w:spacing w:after="0" w:before="0"/>
            </w:pPr>
            <w:r>
              <w:rPr>
                <w:rFonts w:ascii="Aptos" w:hAnsi="Aptos"/>
                <w:sz w:val="16"/>
              </w:rPr>
            </w:r>
            <w:r>
              <w:rPr>
                <w:rFonts w:ascii="Aptos" w:hAnsi="Aptos"/>
                <w:b w:val="0"/>
                <w:sz w:val="16"/>
              </w:rPr>
              <w:t>Reduces commodity price dependence</w:t>
            </w:r>
          </w:p>
        </w:tc>
        <w:tc>
          <w:tcPr>
            <w:tcW w:type="dxa" w:w="2880"/>
            <w:vAlign w:val="top"/>
          </w:tcPr>
          <w:p>
            <w:pPr>
              <w:spacing w:after="0" w:before="0"/>
            </w:pPr>
            <w:r>
              <w:rPr>
                <w:rFonts w:ascii="Aptos" w:hAnsi="Aptos"/>
                <w:sz w:val="16"/>
              </w:rPr>
            </w:r>
            <w:r>
              <w:rPr>
                <w:rFonts w:ascii="Aptos" w:hAnsi="Aptos"/>
                <w:b w:val="0"/>
                <w:sz w:val="16"/>
              </w:rPr>
              <w:t>Secure at least two anchor availability customers before F5.</w:t>
            </w:r>
          </w:p>
        </w:tc>
      </w:tr>
      <w:tr>
        <w:tc>
          <w:tcPr>
            <w:tcW w:type="dxa" w:w="2016"/>
            <w:vAlign w:val="top"/>
          </w:tcPr>
          <w:p>
            <w:pPr>
              <w:spacing w:after="0" w:before="0"/>
            </w:pPr>
            <w:r>
              <w:rPr>
                <w:rFonts w:ascii="Aptos" w:hAnsi="Aptos"/>
                <w:sz w:val="16"/>
              </w:rPr>
            </w:r>
            <w:r>
              <w:rPr>
                <w:rFonts w:ascii="Aptos" w:hAnsi="Aptos"/>
                <w:b w:val="0"/>
                <w:sz w:val="16"/>
              </w:rPr>
              <w:t>Landing and logistics framework</w:t>
            </w:r>
          </w:p>
        </w:tc>
        <w:tc>
          <w:tcPr>
            <w:tcW w:type="dxa" w:w="3312"/>
            <w:vAlign w:val="top"/>
          </w:tcPr>
          <w:p>
            <w:pPr>
              <w:spacing w:after="0" w:before="0"/>
            </w:pPr>
            <w:r>
              <w:rPr>
                <w:rFonts w:ascii="Aptos" w:hAnsi="Aptos"/>
                <w:sz w:val="16"/>
              </w:rPr>
            </w:r>
            <w:r>
              <w:rPr>
                <w:rFonts w:ascii="Aptos" w:hAnsi="Aptos"/>
                <w:b w:val="0"/>
                <w:sz w:val="16"/>
              </w:rPr>
              <w:t>Reserved windows, pad fees, cargo handling, storage, hazard surcharge, emergency response fee</w:t>
            </w:r>
          </w:p>
        </w:tc>
        <w:tc>
          <w:tcPr>
            <w:tcW w:type="dxa" w:w="2160"/>
            <w:vAlign w:val="top"/>
          </w:tcPr>
          <w:p>
            <w:pPr>
              <w:spacing w:after="0" w:before="0"/>
            </w:pPr>
            <w:r>
              <w:rPr>
                <w:rFonts w:ascii="Aptos" w:hAnsi="Aptos"/>
                <w:sz w:val="16"/>
              </w:rPr>
            </w:r>
            <w:r>
              <w:rPr>
                <w:rFonts w:ascii="Aptos" w:hAnsi="Aptos"/>
                <w:b w:val="0"/>
                <w:sz w:val="16"/>
              </w:rPr>
              <w:t>Creates recurring service revenue before full commodity scale</w:t>
            </w:r>
          </w:p>
        </w:tc>
        <w:tc>
          <w:tcPr>
            <w:tcW w:type="dxa" w:w="2880"/>
            <w:vAlign w:val="top"/>
          </w:tcPr>
          <w:p>
            <w:pPr>
              <w:spacing w:after="0" w:before="0"/>
            </w:pPr>
            <w:r>
              <w:rPr>
                <w:rFonts w:ascii="Aptos" w:hAnsi="Aptos"/>
                <w:sz w:val="16"/>
              </w:rPr>
            </w:r>
            <w:r>
              <w:rPr>
                <w:rFonts w:ascii="Aptos" w:hAnsi="Aptos"/>
                <w:b w:val="0"/>
                <w:sz w:val="16"/>
              </w:rPr>
              <w:t>Convert early framework agreements into funded mission schedules before F6.</w:t>
            </w:r>
          </w:p>
        </w:tc>
      </w:tr>
      <w:tr>
        <w:tc>
          <w:tcPr>
            <w:tcW w:type="dxa" w:w="2016"/>
            <w:vAlign w:val="top"/>
          </w:tcPr>
          <w:p>
            <w:pPr>
              <w:spacing w:after="0" w:before="0"/>
            </w:pPr>
            <w:r>
              <w:rPr>
                <w:rFonts w:ascii="Aptos" w:hAnsi="Aptos"/>
                <w:sz w:val="16"/>
              </w:rPr>
            </w:r>
            <w:r>
              <w:rPr>
                <w:rFonts w:ascii="Aptos" w:hAnsi="Aptos"/>
                <w:b w:val="0"/>
                <w:sz w:val="16"/>
              </w:rPr>
              <w:t>Research and tenant leases</w:t>
            </w:r>
          </w:p>
        </w:tc>
        <w:tc>
          <w:tcPr>
            <w:tcW w:type="dxa" w:w="3312"/>
            <w:vAlign w:val="top"/>
          </w:tcPr>
          <w:p>
            <w:pPr>
              <w:spacing w:after="0" w:before="0"/>
            </w:pPr>
            <w:r>
              <w:rPr>
                <w:rFonts w:ascii="Aptos" w:hAnsi="Aptos"/>
                <w:sz w:val="16"/>
              </w:rPr>
            </w:r>
            <w:r>
              <w:rPr>
                <w:rFonts w:ascii="Aptos" w:hAnsi="Aptos"/>
                <w:b w:val="0"/>
                <w:sz w:val="16"/>
              </w:rPr>
              <w:t>Seat year, module lease, power allocation, consumables allowance, data rights</w:t>
            </w:r>
          </w:p>
        </w:tc>
        <w:tc>
          <w:tcPr>
            <w:tcW w:type="dxa" w:w="2160"/>
            <w:vAlign w:val="top"/>
          </w:tcPr>
          <w:p>
            <w:pPr>
              <w:spacing w:after="0" w:before="0"/>
            </w:pPr>
            <w:r>
              <w:rPr>
                <w:rFonts w:ascii="Aptos" w:hAnsi="Aptos"/>
                <w:sz w:val="16"/>
              </w:rPr>
            </w:r>
            <w:r>
              <w:rPr>
                <w:rFonts w:ascii="Aptos" w:hAnsi="Aptos"/>
                <w:b w:val="0"/>
                <w:sz w:val="16"/>
              </w:rPr>
              <w:t>Diversifies revenue and improves public partner value</w:t>
            </w:r>
          </w:p>
        </w:tc>
        <w:tc>
          <w:tcPr>
            <w:tcW w:type="dxa" w:w="2880"/>
            <w:vAlign w:val="top"/>
          </w:tcPr>
          <w:p>
            <w:pPr>
              <w:spacing w:after="0" w:before="0"/>
            </w:pPr>
            <w:r>
              <w:rPr>
                <w:rFonts w:ascii="Aptos" w:hAnsi="Aptos"/>
                <w:sz w:val="16"/>
              </w:rPr>
            </w:r>
            <w:r>
              <w:rPr>
                <w:rFonts w:ascii="Aptos" w:hAnsi="Aptos"/>
                <w:b w:val="0"/>
                <w:sz w:val="16"/>
              </w:rPr>
              <w:t>Keep tenant headcount capped by reserve status and life support margin.</w:t>
            </w:r>
          </w:p>
        </w:tc>
      </w:tr>
      <w:tr>
        <w:tc>
          <w:tcPr>
            <w:tcW w:type="dxa" w:w="2016"/>
            <w:vAlign w:val="top"/>
          </w:tcPr>
          <w:p>
            <w:pPr>
              <w:spacing w:after="0" w:before="0"/>
            </w:pPr>
            <w:r>
              <w:rPr>
                <w:rFonts w:ascii="Aptos" w:hAnsi="Aptos"/>
                <w:sz w:val="16"/>
              </w:rPr>
            </w:r>
            <w:r>
              <w:rPr>
                <w:rFonts w:ascii="Aptos" w:hAnsi="Aptos"/>
                <w:b w:val="0"/>
                <w:sz w:val="16"/>
              </w:rPr>
              <w:t>Customer prepayment</w:t>
            </w:r>
          </w:p>
        </w:tc>
        <w:tc>
          <w:tcPr>
            <w:tcW w:type="dxa" w:w="3312"/>
            <w:vAlign w:val="top"/>
          </w:tcPr>
          <w:p>
            <w:pPr>
              <w:spacing w:after="0" w:before="0"/>
            </w:pPr>
            <w:r>
              <w:rPr>
                <w:rFonts w:ascii="Aptos" w:hAnsi="Aptos"/>
                <w:sz w:val="16"/>
              </w:rPr>
            </w:r>
            <w:r>
              <w:rPr>
                <w:rFonts w:ascii="Aptos" w:hAnsi="Aptos"/>
                <w:b w:val="0"/>
                <w:sz w:val="16"/>
              </w:rPr>
              <w:t>Prepaid capacity or deposit against future offtake and services</w:t>
            </w:r>
          </w:p>
        </w:tc>
        <w:tc>
          <w:tcPr>
            <w:tcW w:type="dxa" w:w="2160"/>
            <w:vAlign w:val="top"/>
          </w:tcPr>
          <w:p>
            <w:pPr>
              <w:spacing w:after="0" w:before="0"/>
            </w:pPr>
            <w:r>
              <w:rPr>
                <w:rFonts w:ascii="Aptos" w:hAnsi="Aptos"/>
                <w:sz w:val="16"/>
              </w:rPr>
            </w:r>
            <w:r>
              <w:rPr>
                <w:rFonts w:ascii="Aptos" w:hAnsi="Aptos"/>
                <w:b w:val="0"/>
                <w:sz w:val="16"/>
              </w:rPr>
              <w:t>Reduces equity need and supports milestone financing</w:t>
            </w:r>
          </w:p>
        </w:tc>
        <w:tc>
          <w:tcPr>
            <w:tcW w:type="dxa" w:w="2880"/>
            <w:vAlign w:val="top"/>
          </w:tcPr>
          <w:p>
            <w:pPr>
              <w:spacing w:after="0" w:before="0"/>
            </w:pPr>
            <w:r>
              <w:rPr>
                <w:rFonts w:ascii="Aptos" w:hAnsi="Aptos"/>
                <w:sz w:val="16"/>
              </w:rPr>
            </w:r>
            <w:r>
              <w:rPr>
                <w:rFonts w:ascii="Aptos" w:hAnsi="Aptos"/>
                <w:b w:val="0"/>
                <w:sz w:val="16"/>
              </w:rPr>
              <w:t>Credit prepayments only if refund and force majeure terms are acceptable.</w:t>
            </w:r>
          </w:p>
        </w:tc>
      </w:tr>
    </w:tbl>
    <w:p>
      <w:pPr>
        <w:pStyle w:val="Heading2"/>
        <w:spacing w:before="200" w:after="120"/>
      </w:pPr>
      <w:r>
        <w:rPr>
          <w:rFonts w:ascii="Aptos" w:hAnsi="Aptos"/>
          <w:b/>
          <w:sz w:val="24"/>
        </w:rPr>
        <w:t>16.6 Government and Partner Cost Share Pathways</w:t>
      </w:r>
    </w:p>
    <w:p>
      <w:pPr>
        <w:spacing w:after="120"/>
      </w:pPr>
      <w:r>
        <w:rPr>
          <w:rFonts w:ascii="Aptos" w:hAnsi="Aptos"/>
          <w:sz w:val="21"/>
        </w:rPr>
        <w:t>Government and partner support is justified by public infrastructure value. The base provides science access, safety infrastructure, communications, navigation, emergency refuge, medical stabilization, cislunar logistics, and industrial demonstration value.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304"/>
            <w:vAlign w:val="top"/>
            <w:shd w:fill="D9EAF7"/>
          </w:tcPr>
          <w:p>
            <w:pPr>
              <w:spacing w:after="0" w:before="0"/>
            </w:pPr>
            <w:r>
              <w:rPr>
                <w:rFonts w:ascii="Aptos" w:hAnsi="Aptos"/>
                <w:b/>
                <w:sz w:val="16"/>
              </w:rPr>
            </w:r>
            <w:r>
              <w:rPr>
                <w:rFonts w:ascii="Aptos" w:hAnsi="Aptos"/>
                <w:b/>
                <w:sz w:val="16"/>
              </w:rPr>
              <w:t>Pathway</w:t>
            </w:r>
          </w:p>
        </w:tc>
        <w:tc>
          <w:tcPr>
            <w:tcW w:type="dxa" w:w="2016"/>
            <w:vAlign w:val="top"/>
            <w:shd w:fill="D9EAF7"/>
          </w:tcPr>
          <w:p>
            <w:pPr>
              <w:spacing w:after="0" w:before="0"/>
            </w:pPr>
            <w:r>
              <w:rPr>
                <w:rFonts w:ascii="Aptos" w:hAnsi="Aptos"/>
                <w:b/>
                <w:sz w:val="16"/>
              </w:rPr>
            </w:r>
            <w:r>
              <w:rPr>
                <w:rFonts w:ascii="Aptos" w:hAnsi="Aptos"/>
                <w:b/>
                <w:sz w:val="16"/>
              </w:rPr>
              <w:t>Target contribution</w:t>
            </w:r>
          </w:p>
        </w:tc>
        <w:tc>
          <w:tcPr>
            <w:tcW w:type="dxa" w:w="3312"/>
            <w:vAlign w:val="top"/>
            <w:shd w:fill="D9EAF7"/>
          </w:tcPr>
          <w:p>
            <w:pPr>
              <w:spacing w:after="0" w:before="0"/>
            </w:pPr>
            <w:r>
              <w:rPr>
                <w:rFonts w:ascii="Aptos" w:hAnsi="Aptos"/>
                <w:b/>
                <w:sz w:val="16"/>
              </w:rPr>
            </w:r>
            <w:r>
              <w:rPr>
                <w:rFonts w:ascii="Aptos" w:hAnsi="Aptos"/>
                <w:b/>
                <w:sz w:val="16"/>
              </w:rPr>
              <w:t>Eligible scope</w:t>
            </w:r>
          </w:p>
        </w:tc>
        <w:tc>
          <w:tcPr>
            <w:tcW w:type="dxa" w:w="2448"/>
            <w:vAlign w:val="top"/>
            <w:shd w:fill="D9EAF7"/>
          </w:tcPr>
          <w:p>
            <w:pPr>
              <w:spacing w:after="0" w:before="0"/>
            </w:pPr>
            <w:r>
              <w:rPr>
                <w:rFonts w:ascii="Aptos" w:hAnsi="Aptos"/>
                <w:b/>
                <w:sz w:val="16"/>
              </w:rPr>
            </w:r>
            <w:r>
              <w:rPr>
                <w:rFonts w:ascii="Aptos" w:hAnsi="Aptos"/>
                <w:b/>
                <w:sz w:val="16"/>
              </w:rPr>
              <w:t>Risk reduced</w:t>
            </w:r>
          </w:p>
        </w:tc>
      </w:tr>
      <w:tr>
        <w:tc>
          <w:tcPr>
            <w:tcW w:type="dxa" w:w="2304"/>
            <w:vAlign w:val="top"/>
          </w:tcPr>
          <w:p>
            <w:pPr>
              <w:spacing w:after="0" w:before="0"/>
            </w:pPr>
            <w:r>
              <w:rPr>
                <w:rFonts w:ascii="Aptos" w:hAnsi="Aptos"/>
                <w:sz w:val="16"/>
              </w:rPr>
            </w:r>
            <w:r>
              <w:rPr>
                <w:rFonts w:ascii="Aptos" w:hAnsi="Aptos"/>
                <w:b w:val="0"/>
                <w:sz w:val="16"/>
              </w:rPr>
              <w:t>Milestone based public cost share</w:t>
            </w:r>
          </w:p>
        </w:tc>
        <w:tc>
          <w:tcPr>
            <w:tcW w:type="dxa" w:w="2016"/>
            <w:vAlign w:val="top"/>
          </w:tcPr>
          <w:p>
            <w:pPr>
              <w:spacing w:after="0" w:before="0"/>
            </w:pPr>
            <w:r>
              <w:rPr>
                <w:rFonts w:ascii="Aptos" w:hAnsi="Aptos"/>
                <w:sz w:val="16"/>
              </w:rPr>
            </w:r>
            <w:r>
              <w:rPr>
                <w:rFonts w:ascii="Aptos" w:hAnsi="Aptos"/>
                <w:b w:val="0"/>
                <w:sz w:val="16"/>
              </w:rPr>
              <w:t>10 to 20 billion USD</w:t>
            </w:r>
          </w:p>
        </w:tc>
        <w:tc>
          <w:tcPr>
            <w:tcW w:type="dxa" w:w="3312"/>
            <w:vAlign w:val="top"/>
          </w:tcPr>
          <w:p>
            <w:pPr>
              <w:spacing w:after="0" w:before="0"/>
            </w:pPr>
            <w:r>
              <w:rPr>
                <w:rFonts w:ascii="Aptos" w:hAnsi="Aptos"/>
                <w:sz w:val="16"/>
              </w:rPr>
            </w:r>
            <w:r>
              <w:rPr>
                <w:rFonts w:ascii="Aptos" w:hAnsi="Aptos"/>
                <w:b w:val="0"/>
                <w:sz w:val="16"/>
              </w:rPr>
              <w:t>Survey, site preparation, power risk retirement, life support demonstrations, water and oxygen production</w:t>
            </w:r>
          </w:p>
        </w:tc>
        <w:tc>
          <w:tcPr>
            <w:tcW w:type="dxa" w:w="2448"/>
            <w:vAlign w:val="top"/>
          </w:tcPr>
          <w:p>
            <w:pPr>
              <w:spacing w:after="0" w:before="0"/>
            </w:pPr>
            <w:r>
              <w:rPr>
                <w:rFonts w:ascii="Aptos" w:hAnsi="Aptos"/>
                <w:sz w:val="16"/>
              </w:rPr>
            </w:r>
            <w:r>
              <w:rPr>
                <w:rFonts w:ascii="Aptos" w:hAnsi="Aptos"/>
                <w:b w:val="0"/>
                <w:sz w:val="16"/>
              </w:rPr>
              <w:t>Technical and early capital risk.</w:t>
            </w:r>
          </w:p>
        </w:tc>
      </w:tr>
      <w:tr>
        <w:tc>
          <w:tcPr>
            <w:tcW w:type="dxa" w:w="2304"/>
            <w:vAlign w:val="top"/>
          </w:tcPr>
          <w:p>
            <w:pPr>
              <w:spacing w:after="0" w:before="0"/>
            </w:pPr>
            <w:r>
              <w:rPr>
                <w:rFonts w:ascii="Aptos" w:hAnsi="Aptos"/>
                <w:sz w:val="16"/>
              </w:rPr>
            </w:r>
            <w:r>
              <w:rPr>
                <w:rFonts w:ascii="Aptos" w:hAnsi="Aptos"/>
                <w:b w:val="0"/>
                <w:sz w:val="16"/>
              </w:rPr>
              <w:t>Government furnished infrastructure</w:t>
            </w:r>
          </w:p>
        </w:tc>
        <w:tc>
          <w:tcPr>
            <w:tcW w:type="dxa" w:w="2016"/>
            <w:vAlign w:val="top"/>
          </w:tcPr>
          <w:p>
            <w:pPr>
              <w:spacing w:after="0" w:before="0"/>
            </w:pPr>
            <w:r>
              <w:rPr>
                <w:rFonts w:ascii="Aptos" w:hAnsi="Aptos"/>
                <w:sz w:val="16"/>
              </w:rPr>
            </w:r>
            <w:r>
              <w:rPr>
                <w:rFonts w:ascii="Aptos" w:hAnsi="Aptos"/>
                <w:b w:val="0"/>
                <w:sz w:val="16"/>
              </w:rPr>
              <w:t>5 to 15 billion USD equivalent</w:t>
            </w:r>
          </w:p>
        </w:tc>
        <w:tc>
          <w:tcPr>
            <w:tcW w:type="dxa" w:w="3312"/>
            <w:vAlign w:val="top"/>
          </w:tcPr>
          <w:p>
            <w:pPr>
              <w:spacing w:after="0" w:before="0"/>
            </w:pPr>
            <w:r>
              <w:rPr>
                <w:rFonts w:ascii="Aptos" w:hAnsi="Aptos"/>
                <w:sz w:val="16"/>
              </w:rPr>
            </w:r>
            <w:r>
              <w:rPr>
                <w:rFonts w:ascii="Aptos" w:hAnsi="Aptos"/>
                <w:b w:val="0"/>
                <w:sz w:val="16"/>
              </w:rPr>
              <w:t>Communications relay, navigation services, science payload infrastructure, orbital receiving nodes</w:t>
            </w:r>
          </w:p>
        </w:tc>
        <w:tc>
          <w:tcPr>
            <w:tcW w:type="dxa" w:w="2448"/>
            <w:vAlign w:val="top"/>
          </w:tcPr>
          <w:p>
            <w:pPr>
              <w:spacing w:after="0" w:before="0"/>
            </w:pPr>
            <w:r>
              <w:rPr>
                <w:rFonts w:ascii="Aptos" w:hAnsi="Aptos"/>
                <w:sz w:val="16"/>
              </w:rPr>
            </w:r>
            <w:r>
              <w:rPr>
                <w:rFonts w:ascii="Aptos" w:hAnsi="Aptos"/>
                <w:b w:val="0"/>
                <w:sz w:val="16"/>
              </w:rPr>
              <w:t>Delivery, communications, and customer adoption risk.</w:t>
            </w:r>
          </w:p>
        </w:tc>
      </w:tr>
      <w:tr>
        <w:tc>
          <w:tcPr>
            <w:tcW w:type="dxa" w:w="2304"/>
            <w:vAlign w:val="top"/>
          </w:tcPr>
          <w:p>
            <w:pPr>
              <w:spacing w:after="0" w:before="0"/>
            </w:pPr>
            <w:r>
              <w:rPr>
                <w:rFonts w:ascii="Aptos" w:hAnsi="Aptos"/>
                <w:sz w:val="16"/>
              </w:rPr>
            </w:r>
            <w:r>
              <w:rPr>
                <w:rFonts w:ascii="Aptos" w:hAnsi="Aptos"/>
                <w:b w:val="0"/>
                <w:sz w:val="16"/>
              </w:rPr>
              <w:t>Strategic availability contracts</w:t>
            </w:r>
          </w:p>
        </w:tc>
        <w:tc>
          <w:tcPr>
            <w:tcW w:type="dxa" w:w="2016"/>
            <w:vAlign w:val="top"/>
          </w:tcPr>
          <w:p>
            <w:pPr>
              <w:spacing w:after="0" w:before="0"/>
            </w:pPr>
            <w:r>
              <w:rPr>
                <w:rFonts w:ascii="Aptos" w:hAnsi="Aptos"/>
                <w:sz w:val="16"/>
              </w:rPr>
            </w:r>
            <w:r>
              <w:rPr>
                <w:rFonts w:ascii="Aptos" w:hAnsi="Aptos"/>
                <w:b w:val="0"/>
                <w:sz w:val="16"/>
              </w:rPr>
              <w:t>2 to 7.5 billion USD per year at maturity</w:t>
            </w:r>
          </w:p>
        </w:tc>
        <w:tc>
          <w:tcPr>
            <w:tcW w:type="dxa" w:w="3312"/>
            <w:vAlign w:val="top"/>
          </w:tcPr>
          <w:p>
            <w:pPr>
              <w:spacing w:after="0" w:before="0"/>
            </w:pPr>
            <w:r>
              <w:rPr>
                <w:rFonts w:ascii="Aptos" w:hAnsi="Aptos"/>
                <w:sz w:val="16"/>
              </w:rPr>
            </w:r>
            <w:r>
              <w:rPr>
                <w:rFonts w:ascii="Aptos" w:hAnsi="Aptos"/>
                <w:b w:val="0"/>
                <w:sz w:val="16"/>
              </w:rPr>
              <w:t>Emergency refuge, evacuation readiness, medical stabilization, rescue, protected reserves</w:t>
            </w:r>
          </w:p>
        </w:tc>
        <w:tc>
          <w:tcPr>
            <w:tcW w:type="dxa" w:w="2448"/>
            <w:vAlign w:val="top"/>
          </w:tcPr>
          <w:p>
            <w:pPr>
              <w:spacing w:after="0" w:before="0"/>
            </w:pPr>
            <w:r>
              <w:rPr>
                <w:rFonts w:ascii="Aptos" w:hAnsi="Aptos"/>
                <w:sz w:val="16"/>
              </w:rPr>
            </w:r>
            <w:r>
              <w:rPr>
                <w:rFonts w:ascii="Aptos" w:hAnsi="Aptos"/>
                <w:b w:val="0"/>
                <w:sz w:val="16"/>
              </w:rPr>
              <w:t>Operating revenue risk.</w:t>
            </w:r>
          </w:p>
        </w:tc>
      </w:tr>
      <w:tr>
        <w:tc>
          <w:tcPr>
            <w:tcW w:type="dxa" w:w="2304"/>
            <w:vAlign w:val="top"/>
          </w:tcPr>
          <w:p>
            <w:pPr>
              <w:spacing w:after="0" w:before="0"/>
            </w:pPr>
            <w:r>
              <w:rPr>
                <w:rFonts w:ascii="Aptos" w:hAnsi="Aptos"/>
                <w:sz w:val="16"/>
              </w:rPr>
            </w:r>
            <w:r>
              <w:rPr>
                <w:rFonts w:ascii="Aptos" w:hAnsi="Aptos"/>
                <w:b w:val="0"/>
                <w:sz w:val="16"/>
              </w:rPr>
              <w:t>International or agency tenancy</w:t>
            </w:r>
          </w:p>
        </w:tc>
        <w:tc>
          <w:tcPr>
            <w:tcW w:type="dxa" w:w="2016"/>
            <w:vAlign w:val="top"/>
          </w:tcPr>
          <w:p>
            <w:pPr>
              <w:spacing w:after="0" w:before="0"/>
            </w:pPr>
            <w:r>
              <w:rPr>
                <w:rFonts w:ascii="Aptos" w:hAnsi="Aptos"/>
                <w:sz w:val="16"/>
              </w:rPr>
            </w:r>
            <w:r>
              <w:rPr>
                <w:rFonts w:ascii="Aptos" w:hAnsi="Aptos"/>
                <w:b w:val="0"/>
                <w:sz w:val="16"/>
              </w:rPr>
              <w:t>1 to 6 billion USD per year at maturity</w:t>
            </w:r>
          </w:p>
        </w:tc>
        <w:tc>
          <w:tcPr>
            <w:tcW w:type="dxa" w:w="3312"/>
            <w:vAlign w:val="top"/>
          </w:tcPr>
          <w:p>
            <w:pPr>
              <w:spacing w:after="0" w:before="0"/>
            </w:pPr>
            <w:r>
              <w:rPr>
                <w:rFonts w:ascii="Aptos" w:hAnsi="Aptos"/>
                <w:sz w:val="16"/>
              </w:rPr>
            </w:r>
            <w:r>
              <w:rPr>
                <w:rFonts w:ascii="Aptos" w:hAnsi="Aptos"/>
                <w:b w:val="0"/>
                <w:sz w:val="16"/>
              </w:rPr>
              <w:t>Research labs, crew seat years, module leases, data rights</w:t>
            </w:r>
          </w:p>
        </w:tc>
        <w:tc>
          <w:tcPr>
            <w:tcW w:type="dxa" w:w="2448"/>
            <w:vAlign w:val="top"/>
          </w:tcPr>
          <w:p>
            <w:pPr>
              <w:spacing w:after="0" w:before="0"/>
            </w:pPr>
            <w:r>
              <w:rPr>
                <w:rFonts w:ascii="Aptos" w:hAnsi="Aptos"/>
                <w:sz w:val="16"/>
              </w:rPr>
            </w:r>
            <w:r>
              <w:rPr>
                <w:rFonts w:ascii="Aptos" w:hAnsi="Aptos"/>
                <w:b w:val="0"/>
                <w:sz w:val="16"/>
              </w:rPr>
              <w:t>Utilization and political risk.</w:t>
            </w:r>
          </w:p>
        </w:tc>
      </w:tr>
      <w:tr>
        <w:tc>
          <w:tcPr>
            <w:tcW w:type="dxa" w:w="2304"/>
            <w:vAlign w:val="top"/>
          </w:tcPr>
          <w:p>
            <w:pPr>
              <w:spacing w:after="0" w:before="0"/>
            </w:pPr>
            <w:r>
              <w:rPr>
                <w:rFonts w:ascii="Aptos" w:hAnsi="Aptos"/>
                <w:sz w:val="16"/>
              </w:rPr>
            </w:r>
            <w:r>
              <w:rPr>
                <w:rFonts w:ascii="Aptos" w:hAnsi="Aptos"/>
                <w:b w:val="0"/>
                <w:sz w:val="16"/>
              </w:rPr>
              <w:t>Industrial partner in kind contribution</w:t>
            </w:r>
          </w:p>
        </w:tc>
        <w:tc>
          <w:tcPr>
            <w:tcW w:type="dxa" w:w="2016"/>
            <w:vAlign w:val="top"/>
          </w:tcPr>
          <w:p>
            <w:pPr>
              <w:spacing w:after="0" w:before="0"/>
            </w:pPr>
            <w:r>
              <w:rPr>
                <w:rFonts w:ascii="Aptos" w:hAnsi="Aptos"/>
                <w:sz w:val="16"/>
              </w:rPr>
            </w:r>
            <w:r>
              <w:rPr>
                <w:rFonts w:ascii="Aptos" w:hAnsi="Aptos"/>
                <w:b w:val="0"/>
                <w:sz w:val="16"/>
              </w:rPr>
              <w:t>15 to 25 billion USD equivalent</w:t>
            </w:r>
          </w:p>
        </w:tc>
        <w:tc>
          <w:tcPr>
            <w:tcW w:type="dxa" w:w="3312"/>
            <w:vAlign w:val="top"/>
          </w:tcPr>
          <w:p>
            <w:pPr>
              <w:spacing w:after="0" w:before="0"/>
            </w:pPr>
            <w:r>
              <w:rPr>
                <w:rFonts w:ascii="Aptos" w:hAnsi="Aptos"/>
                <w:sz w:val="16"/>
              </w:rPr>
            </w:r>
            <w:r>
              <w:rPr>
                <w:rFonts w:ascii="Aptos" w:hAnsi="Aptos"/>
                <w:b w:val="0"/>
                <w:sz w:val="16"/>
              </w:rPr>
              <w:t>Robotics, power, electrolysis, cryogenic systems, pressure modules, software, maintenance</w:t>
            </w:r>
          </w:p>
        </w:tc>
        <w:tc>
          <w:tcPr>
            <w:tcW w:type="dxa" w:w="2448"/>
            <w:vAlign w:val="top"/>
          </w:tcPr>
          <w:p>
            <w:pPr>
              <w:spacing w:after="0" w:before="0"/>
            </w:pPr>
            <w:r>
              <w:rPr>
                <w:rFonts w:ascii="Aptos" w:hAnsi="Aptos"/>
                <w:sz w:val="16"/>
              </w:rPr>
            </w:r>
            <w:r>
              <w:rPr>
                <w:rFonts w:ascii="Aptos" w:hAnsi="Aptos"/>
                <w:b w:val="0"/>
                <w:sz w:val="16"/>
              </w:rPr>
              <w:t>CapEx and integration risk.</w:t>
            </w:r>
          </w:p>
        </w:tc>
      </w:tr>
    </w:tbl>
    <w:p>
      <w:pPr>
        <w:pStyle w:val="Heading2"/>
        <w:spacing w:before="200" w:after="120"/>
      </w:pPr>
      <w:r>
        <w:rPr>
          <w:rFonts w:ascii="Aptos" w:hAnsi="Aptos"/>
          <w:b/>
          <w:sz w:val="24"/>
        </w:rPr>
        <w:t>16.7 Project Finance Milestones and Covenants</w:t>
      </w:r>
    </w:p>
    <w:p>
      <w:pPr>
        <w:spacing w:after="120"/>
      </w:pPr>
      <w:r>
        <w:rPr>
          <w:rFonts w:ascii="Aptos" w:hAnsi="Aptos"/>
          <w:sz w:val="21"/>
        </w:rPr>
        <w:t>The financing plan should use hard evidence gates. Funding release should be tied to technical completion, reserve compliance, safety certification, and contracted revenue progress.</w:t>
      </w:r>
    </w:p>
    <w:tbl>
      <w:tblPr>
        <w:tblStyle w:val="TableGrid"/>
        <w:tblW w:type="auto" w:w="0"/>
        <w:jc w:val="center"/>
        <w:tblLook w:firstColumn="1" w:firstRow="1" w:lastColumn="0" w:lastRow="0" w:noHBand="0" w:noVBand="1" w:val="04A0"/>
      </w:tblPr>
      <w:tblGrid>
        <w:gridCol w:w="3456"/>
        <w:gridCol w:w="3456"/>
        <w:gridCol w:w="3456"/>
      </w:tblGrid>
      <w:tr>
        <w:tc>
          <w:tcPr>
            <w:tcW w:type="dxa" w:w="2160"/>
            <w:vAlign w:val="top"/>
            <w:shd w:fill="D9EAF7"/>
          </w:tcPr>
          <w:p>
            <w:pPr>
              <w:spacing w:after="0" w:before="0"/>
            </w:pPr>
            <w:r>
              <w:rPr>
                <w:rFonts w:ascii="Aptos" w:hAnsi="Aptos"/>
                <w:b/>
                <w:sz w:val="16"/>
              </w:rPr>
            </w:r>
            <w:r>
              <w:rPr>
                <w:rFonts w:ascii="Aptos" w:hAnsi="Aptos"/>
                <w:b/>
                <w:sz w:val="16"/>
              </w:rPr>
              <w:t>Milestone</w:t>
            </w:r>
          </w:p>
        </w:tc>
        <w:tc>
          <w:tcPr>
            <w:tcW w:type="dxa" w:w="4464"/>
            <w:vAlign w:val="top"/>
            <w:shd w:fill="D9EAF7"/>
          </w:tcPr>
          <w:p>
            <w:pPr>
              <w:spacing w:after="0" w:before="0"/>
            </w:pPr>
            <w:r>
              <w:rPr>
                <w:rFonts w:ascii="Aptos" w:hAnsi="Aptos"/>
                <w:b/>
                <w:sz w:val="16"/>
              </w:rPr>
            </w:r>
            <w:r>
              <w:rPr>
                <w:rFonts w:ascii="Aptos" w:hAnsi="Aptos"/>
                <w:b/>
                <w:sz w:val="16"/>
              </w:rPr>
              <w:t>Financing release condition</w:t>
            </w:r>
          </w:p>
        </w:tc>
        <w:tc>
          <w:tcPr>
            <w:tcW w:type="dxa" w:w="3744"/>
            <w:vAlign w:val="top"/>
            <w:shd w:fill="D9EAF7"/>
          </w:tcPr>
          <w:p>
            <w:pPr>
              <w:spacing w:after="0" w:before="0"/>
            </w:pPr>
            <w:r>
              <w:rPr>
                <w:rFonts w:ascii="Aptos" w:hAnsi="Aptos"/>
                <w:b/>
                <w:sz w:val="16"/>
              </w:rPr>
            </w:r>
            <w:r>
              <w:rPr>
                <w:rFonts w:ascii="Aptos" w:hAnsi="Aptos"/>
                <w:b/>
                <w:sz w:val="16"/>
              </w:rPr>
              <w:t>Suggested covenant</w:t>
            </w:r>
          </w:p>
        </w:tc>
      </w:tr>
      <w:tr>
        <w:tc>
          <w:tcPr>
            <w:tcW w:type="dxa" w:w="2160"/>
            <w:vAlign w:val="top"/>
          </w:tcPr>
          <w:p>
            <w:pPr>
              <w:spacing w:after="0" w:before="0"/>
            </w:pPr>
            <w:r>
              <w:rPr>
                <w:rFonts w:ascii="Aptos" w:hAnsi="Aptos"/>
                <w:sz w:val="16"/>
              </w:rPr>
            </w:r>
            <w:r>
              <w:rPr>
                <w:rFonts w:ascii="Aptos" w:hAnsi="Aptos"/>
                <w:b w:val="0"/>
                <w:sz w:val="16"/>
              </w:rPr>
              <w:t>F1 Seed and survey financing</w:t>
            </w:r>
          </w:p>
        </w:tc>
        <w:tc>
          <w:tcPr>
            <w:tcW w:type="dxa" w:w="4464"/>
            <w:vAlign w:val="top"/>
          </w:tcPr>
          <w:p>
            <w:pPr>
              <w:spacing w:after="0" w:before="0"/>
            </w:pPr>
            <w:r>
              <w:rPr>
                <w:rFonts w:ascii="Aptos" w:hAnsi="Aptos"/>
                <w:sz w:val="16"/>
              </w:rPr>
            </w:r>
            <w:r>
              <w:rPr>
                <w:rFonts w:ascii="Aptos" w:hAnsi="Aptos"/>
                <w:b w:val="0"/>
                <w:sz w:val="16"/>
              </w:rPr>
              <w:t>Program charter, requirements freeze, survey package approved</w:t>
            </w:r>
          </w:p>
        </w:tc>
        <w:tc>
          <w:tcPr>
            <w:tcW w:type="dxa" w:w="3744"/>
            <w:vAlign w:val="top"/>
          </w:tcPr>
          <w:p>
            <w:pPr>
              <w:spacing w:after="0" w:before="0"/>
            </w:pPr>
            <w:r>
              <w:rPr>
                <w:rFonts w:ascii="Aptos" w:hAnsi="Aptos"/>
                <w:sz w:val="16"/>
              </w:rPr>
            </w:r>
            <w:r>
              <w:rPr>
                <w:rFonts w:ascii="Aptos" w:hAnsi="Aptos"/>
                <w:b w:val="0"/>
                <w:sz w:val="16"/>
              </w:rPr>
              <w:t>No full build obligation before site confirmation.</w:t>
            </w:r>
          </w:p>
        </w:tc>
      </w:tr>
      <w:tr>
        <w:tc>
          <w:tcPr>
            <w:tcW w:type="dxa" w:w="2160"/>
            <w:vAlign w:val="top"/>
          </w:tcPr>
          <w:p>
            <w:pPr>
              <w:spacing w:after="0" w:before="0"/>
            </w:pPr>
            <w:r>
              <w:rPr>
                <w:rFonts w:ascii="Aptos" w:hAnsi="Aptos"/>
                <w:sz w:val="16"/>
              </w:rPr>
            </w:r>
            <w:r>
              <w:rPr>
                <w:rFonts w:ascii="Aptos" w:hAnsi="Aptos"/>
                <w:b w:val="0"/>
                <w:sz w:val="16"/>
              </w:rPr>
              <w:t>F2 Site activation financing</w:t>
            </w:r>
          </w:p>
        </w:tc>
        <w:tc>
          <w:tcPr>
            <w:tcW w:type="dxa" w:w="4464"/>
            <w:vAlign w:val="top"/>
          </w:tcPr>
          <w:p>
            <w:pPr>
              <w:spacing w:after="0" w:before="0"/>
            </w:pPr>
            <w:r>
              <w:rPr>
                <w:rFonts w:ascii="Aptos" w:hAnsi="Aptos"/>
                <w:sz w:val="16"/>
              </w:rPr>
            </w:r>
            <w:r>
              <w:rPr>
                <w:rFonts w:ascii="Aptos" w:hAnsi="Aptos"/>
                <w:b w:val="0"/>
                <w:sz w:val="16"/>
              </w:rPr>
              <w:t>Site master plan frozen and early landing risk reduced</w:t>
            </w:r>
          </w:p>
        </w:tc>
        <w:tc>
          <w:tcPr>
            <w:tcW w:type="dxa" w:w="3744"/>
            <w:vAlign w:val="top"/>
          </w:tcPr>
          <w:p>
            <w:pPr>
              <w:spacing w:after="0" w:before="0"/>
            </w:pPr>
            <w:r>
              <w:rPr>
                <w:rFonts w:ascii="Aptos" w:hAnsi="Aptos"/>
                <w:sz w:val="16"/>
              </w:rPr>
            </w:r>
            <w:r>
              <w:rPr>
                <w:rFonts w:ascii="Aptos" w:hAnsi="Aptos"/>
                <w:b w:val="0"/>
                <w:sz w:val="16"/>
              </w:rPr>
              <w:t>Capital limited to power, corridors, and early civil works until G3.</w:t>
            </w:r>
          </w:p>
        </w:tc>
      </w:tr>
      <w:tr>
        <w:tc>
          <w:tcPr>
            <w:tcW w:type="dxa" w:w="2160"/>
            <w:vAlign w:val="top"/>
          </w:tcPr>
          <w:p>
            <w:pPr>
              <w:spacing w:after="0" w:before="0"/>
            </w:pPr>
            <w:r>
              <w:rPr>
                <w:rFonts w:ascii="Aptos" w:hAnsi="Aptos"/>
                <w:sz w:val="16"/>
              </w:rPr>
            </w:r>
            <w:r>
              <w:rPr>
                <w:rFonts w:ascii="Aptos" w:hAnsi="Aptos"/>
                <w:b w:val="0"/>
                <w:sz w:val="16"/>
              </w:rPr>
              <w:t>F3 Power and shell financing</w:t>
            </w:r>
          </w:p>
        </w:tc>
        <w:tc>
          <w:tcPr>
            <w:tcW w:type="dxa" w:w="4464"/>
            <w:vAlign w:val="top"/>
          </w:tcPr>
          <w:p>
            <w:pPr>
              <w:spacing w:after="0" w:before="0"/>
            </w:pPr>
            <w:r>
              <w:rPr>
                <w:rFonts w:ascii="Aptos" w:hAnsi="Aptos"/>
                <w:sz w:val="16"/>
              </w:rPr>
            </w:r>
            <w:r>
              <w:rPr>
                <w:rFonts w:ascii="Aptos" w:hAnsi="Aptos"/>
                <w:b w:val="0"/>
                <w:sz w:val="16"/>
              </w:rPr>
              <w:t>Dependable power package and underground excavation path validated</w:t>
            </w:r>
          </w:p>
        </w:tc>
        <w:tc>
          <w:tcPr>
            <w:tcW w:type="dxa" w:w="3744"/>
            <w:vAlign w:val="top"/>
          </w:tcPr>
          <w:p>
            <w:pPr>
              <w:spacing w:after="0" w:before="0"/>
            </w:pPr>
            <w:r>
              <w:rPr>
                <w:rFonts w:ascii="Aptos" w:hAnsi="Aptos"/>
                <w:sz w:val="16"/>
              </w:rPr>
            </w:r>
            <w:r>
              <w:rPr>
                <w:rFonts w:ascii="Aptos" w:hAnsi="Aptos"/>
                <w:b w:val="0"/>
                <w:sz w:val="16"/>
              </w:rPr>
              <w:t>Population cap linked to refuge readiness, not financial schedule.</w:t>
            </w:r>
          </w:p>
        </w:tc>
      </w:tr>
      <w:tr>
        <w:tc>
          <w:tcPr>
            <w:tcW w:type="dxa" w:w="2160"/>
            <w:vAlign w:val="top"/>
          </w:tcPr>
          <w:p>
            <w:pPr>
              <w:spacing w:after="0" w:before="0"/>
            </w:pPr>
            <w:r>
              <w:rPr>
                <w:rFonts w:ascii="Aptos" w:hAnsi="Aptos"/>
                <w:sz w:val="16"/>
              </w:rPr>
            </w:r>
            <w:r>
              <w:rPr>
                <w:rFonts w:ascii="Aptos" w:hAnsi="Aptos"/>
                <w:b w:val="0"/>
                <w:sz w:val="16"/>
              </w:rPr>
              <w:t>F4 Habitat and industrial life support financing</w:t>
            </w:r>
          </w:p>
        </w:tc>
        <w:tc>
          <w:tcPr>
            <w:tcW w:type="dxa" w:w="4464"/>
            <w:vAlign w:val="top"/>
          </w:tcPr>
          <w:p>
            <w:pPr>
              <w:spacing w:after="0" w:before="0"/>
            </w:pPr>
            <w:r>
              <w:rPr>
                <w:rFonts w:ascii="Aptos" w:hAnsi="Aptos"/>
                <w:sz w:val="16"/>
              </w:rPr>
            </w:r>
            <w:r>
              <w:rPr>
                <w:rFonts w:ascii="Aptos" w:hAnsi="Aptos"/>
                <w:b w:val="0"/>
                <w:sz w:val="16"/>
              </w:rPr>
              <w:t>R1, R2, life support, command, and medical core progressing on plan</w:t>
            </w:r>
          </w:p>
        </w:tc>
        <w:tc>
          <w:tcPr>
            <w:tcW w:type="dxa" w:w="3744"/>
            <w:vAlign w:val="top"/>
          </w:tcPr>
          <w:p>
            <w:pPr>
              <w:spacing w:after="0" w:before="0"/>
            </w:pPr>
            <w:r>
              <w:rPr>
                <w:rFonts w:ascii="Aptos" w:hAnsi="Aptos"/>
                <w:sz w:val="16"/>
              </w:rPr>
            </w:r>
            <w:r>
              <w:rPr>
                <w:rFonts w:ascii="Aptos" w:hAnsi="Aptos"/>
                <w:b w:val="0"/>
                <w:sz w:val="16"/>
              </w:rPr>
              <w:t>No expansion above certified occupancy caps.</w:t>
            </w:r>
          </w:p>
        </w:tc>
      </w:tr>
      <w:tr>
        <w:tc>
          <w:tcPr>
            <w:tcW w:type="dxa" w:w="2160"/>
            <w:vAlign w:val="top"/>
          </w:tcPr>
          <w:p>
            <w:pPr>
              <w:spacing w:after="0" w:before="0"/>
            </w:pPr>
            <w:r>
              <w:rPr>
                <w:rFonts w:ascii="Aptos" w:hAnsi="Aptos"/>
                <w:sz w:val="16"/>
              </w:rPr>
            </w:r>
            <w:r>
              <w:rPr>
                <w:rFonts w:ascii="Aptos" w:hAnsi="Aptos"/>
                <w:b w:val="0"/>
                <w:sz w:val="16"/>
              </w:rPr>
              <w:t>F5 Cryogenic and evacuation financing</w:t>
            </w:r>
          </w:p>
        </w:tc>
        <w:tc>
          <w:tcPr>
            <w:tcW w:type="dxa" w:w="4464"/>
            <w:vAlign w:val="top"/>
          </w:tcPr>
          <w:p>
            <w:pPr>
              <w:spacing w:after="0" w:before="0"/>
            </w:pPr>
            <w:r>
              <w:rPr>
                <w:rFonts w:ascii="Aptos" w:hAnsi="Aptos"/>
                <w:sz w:val="16"/>
              </w:rPr>
            </w:r>
            <w:r>
              <w:rPr>
                <w:rFonts w:ascii="Aptos" w:hAnsi="Aptos"/>
                <w:b w:val="0"/>
                <w:sz w:val="16"/>
              </w:rPr>
              <w:t>Stable water and oxygen production plus green protected reserves</w:t>
            </w:r>
          </w:p>
        </w:tc>
        <w:tc>
          <w:tcPr>
            <w:tcW w:type="dxa" w:w="3744"/>
            <w:vAlign w:val="top"/>
          </w:tcPr>
          <w:p>
            <w:pPr>
              <w:spacing w:after="0" w:before="0"/>
            </w:pPr>
            <w:r>
              <w:rPr>
                <w:rFonts w:ascii="Aptos" w:hAnsi="Aptos"/>
                <w:sz w:val="16"/>
              </w:rPr>
            </w:r>
            <w:r>
              <w:rPr>
                <w:rFonts w:ascii="Aptos" w:hAnsi="Aptos"/>
                <w:b w:val="0"/>
                <w:sz w:val="16"/>
              </w:rPr>
              <w:t>Commodity export subordinated to emergency reserve compliance.</w:t>
            </w:r>
          </w:p>
        </w:tc>
      </w:tr>
      <w:tr>
        <w:tc>
          <w:tcPr>
            <w:tcW w:type="dxa" w:w="2160"/>
            <w:vAlign w:val="top"/>
          </w:tcPr>
          <w:p>
            <w:pPr>
              <w:spacing w:after="0" w:before="0"/>
            </w:pPr>
            <w:r>
              <w:rPr>
                <w:rFonts w:ascii="Aptos" w:hAnsi="Aptos"/>
                <w:sz w:val="16"/>
              </w:rPr>
            </w:r>
            <w:r>
              <w:rPr>
                <w:rFonts w:ascii="Aptos" w:hAnsi="Aptos"/>
                <w:b w:val="0"/>
                <w:sz w:val="16"/>
              </w:rPr>
              <w:t>F6 Mature operation financing</w:t>
            </w:r>
          </w:p>
        </w:tc>
        <w:tc>
          <w:tcPr>
            <w:tcW w:type="dxa" w:w="4464"/>
            <w:vAlign w:val="top"/>
          </w:tcPr>
          <w:p>
            <w:pPr>
              <w:spacing w:after="0" w:before="0"/>
            </w:pPr>
            <w:r>
              <w:rPr>
                <w:rFonts w:ascii="Aptos" w:hAnsi="Aptos"/>
                <w:sz w:val="16"/>
              </w:rPr>
            </w:r>
            <w:r>
              <w:rPr>
                <w:rFonts w:ascii="Aptos" w:hAnsi="Aptos"/>
                <w:b w:val="0"/>
                <w:sz w:val="16"/>
              </w:rPr>
              <w:t>R1 through R4, two embarkation zones, and integrated endurance testing complete</w:t>
            </w:r>
          </w:p>
        </w:tc>
        <w:tc>
          <w:tcPr>
            <w:tcW w:type="dxa" w:w="3744"/>
            <w:vAlign w:val="top"/>
          </w:tcPr>
          <w:p>
            <w:pPr>
              <w:spacing w:after="0" w:before="0"/>
            </w:pPr>
            <w:r>
              <w:rPr>
                <w:rFonts w:ascii="Aptos" w:hAnsi="Aptos"/>
                <w:sz w:val="16"/>
              </w:rPr>
            </w:r>
            <w:r>
              <w:rPr>
                <w:rFonts w:ascii="Aptos" w:hAnsi="Aptos"/>
                <w:b w:val="0"/>
                <w:sz w:val="16"/>
              </w:rPr>
              <w:t>Debt service coverage linked to contracted revenue and reserve status.</w:t>
            </w:r>
          </w:p>
        </w:tc>
      </w:tr>
    </w:tbl>
    <w:p>
      <w:pPr>
        <w:pStyle w:val="Heading2"/>
        <w:spacing w:before="200" w:after="120"/>
      </w:pPr>
      <w:r>
        <w:rPr>
          <w:rFonts w:ascii="Aptos" w:hAnsi="Aptos"/>
          <w:b/>
          <w:sz w:val="24"/>
        </w:rPr>
        <w:t>16.8 Board Investment Decision Memo</w:t>
      </w:r>
    </w:p>
    <w:tbl>
      <w:tblPr>
        <w:tblStyle w:val="TableGrid"/>
        <w:tblW w:type="auto" w:w="0"/>
        <w:jc w:val="center"/>
        <w:tblLook w:firstColumn="1" w:firstRow="1" w:lastColumn="0" w:lastRow="0" w:noHBand="0" w:noVBand="1" w:val="04A0"/>
      </w:tblPr>
      <w:tblGrid>
        <w:gridCol w:w="5184"/>
        <w:gridCol w:w="5184"/>
      </w:tblGrid>
      <w:tr>
        <w:tc>
          <w:tcPr>
            <w:tcW w:type="dxa" w:w="3600"/>
            <w:vAlign w:val="top"/>
            <w:shd w:fill="D9EAF7"/>
          </w:tcPr>
          <w:p>
            <w:pPr>
              <w:spacing w:after="0" w:before="0"/>
            </w:pPr>
            <w:r>
              <w:rPr>
                <w:rFonts w:ascii="Aptos" w:hAnsi="Aptos"/>
                <w:b/>
                <w:sz w:val="16"/>
              </w:rPr>
            </w:r>
            <w:r>
              <w:rPr>
                <w:rFonts w:ascii="Aptos" w:hAnsi="Aptos"/>
                <w:b/>
                <w:sz w:val="16"/>
              </w:rPr>
              <w:t>Decision item</w:t>
            </w:r>
          </w:p>
        </w:tc>
        <w:tc>
          <w:tcPr>
            <w:tcW w:type="dxa" w:w="6768"/>
            <w:vAlign w:val="top"/>
            <w:shd w:fill="D9EAF7"/>
          </w:tcPr>
          <w:p>
            <w:pPr>
              <w:spacing w:after="0" w:before="0"/>
            </w:pPr>
            <w:r>
              <w:rPr>
                <w:rFonts w:ascii="Aptos" w:hAnsi="Aptos"/>
                <w:b/>
                <w:sz w:val="16"/>
              </w:rPr>
            </w:r>
            <w:r>
              <w:rPr>
                <w:rFonts w:ascii="Aptos" w:hAnsi="Aptos"/>
                <w:b/>
                <w:sz w:val="16"/>
              </w:rPr>
              <w:t>Recommended board position</w:t>
            </w:r>
          </w:p>
        </w:tc>
      </w:tr>
      <w:tr>
        <w:tc>
          <w:tcPr>
            <w:tcW w:type="dxa" w:w="3600"/>
            <w:vAlign w:val="top"/>
          </w:tcPr>
          <w:p>
            <w:pPr>
              <w:spacing w:after="0" w:before="0"/>
            </w:pPr>
            <w:r>
              <w:rPr>
                <w:rFonts w:ascii="Aptos" w:hAnsi="Aptos"/>
                <w:sz w:val="16"/>
              </w:rPr>
            </w:r>
            <w:r>
              <w:rPr>
                <w:rFonts w:ascii="Aptos" w:hAnsi="Aptos"/>
                <w:b w:val="0"/>
                <w:sz w:val="16"/>
              </w:rPr>
              <w:t>Approve full Phase 1 at once</w:t>
            </w:r>
          </w:p>
        </w:tc>
        <w:tc>
          <w:tcPr>
            <w:tcW w:type="dxa" w:w="6768"/>
            <w:vAlign w:val="top"/>
          </w:tcPr>
          <w:p>
            <w:pPr>
              <w:spacing w:after="0" w:before="0"/>
            </w:pPr>
            <w:r>
              <w:rPr>
                <w:rFonts w:ascii="Aptos" w:hAnsi="Aptos"/>
                <w:sz w:val="16"/>
              </w:rPr>
            </w:r>
            <w:r>
              <w:rPr>
                <w:rFonts w:ascii="Aptos" w:hAnsi="Aptos"/>
                <w:b w:val="0"/>
                <w:sz w:val="16"/>
              </w:rPr>
              <w:t>Not recommended. Use staged authorization.</w:t>
            </w:r>
          </w:p>
        </w:tc>
      </w:tr>
      <w:tr>
        <w:tc>
          <w:tcPr>
            <w:tcW w:type="dxa" w:w="3600"/>
            <w:vAlign w:val="top"/>
          </w:tcPr>
          <w:p>
            <w:pPr>
              <w:spacing w:after="0" w:before="0"/>
            </w:pPr>
            <w:r>
              <w:rPr>
                <w:rFonts w:ascii="Aptos" w:hAnsi="Aptos"/>
                <w:sz w:val="16"/>
              </w:rPr>
            </w:r>
            <w:r>
              <w:rPr>
                <w:rFonts w:ascii="Aptos" w:hAnsi="Aptos"/>
                <w:b w:val="0"/>
                <w:sz w:val="16"/>
              </w:rPr>
              <w:t>Approve Funding Gate F1</w:t>
            </w:r>
          </w:p>
        </w:tc>
        <w:tc>
          <w:tcPr>
            <w:tcW w:type="dxa" w:w="6768"/>
            <w:vAlign w:val="top"/>
          </w:tcPr>
          <w:p>
            <w:pPr>
              <w:spacing w:after="0" w:before="0"/>
            </w:pPr>
            <w:r>
              <w:rPr>
                <w:rFonts w:ascii="Aptos" w:hAnsi="Aptos"/>
                <w:sz w:val="16"/>
              </w:rPr>
            </w:r>
            <w:r>
              <w:rPr>
                <w:rFonts w:ascii="Aptos" w:hAnsi="Aptos"/>
                <w:b w:val="0"/>
                <w:sz w:val="16"/>
              </w:rPr>
              <w:t>Recommended. Fund site confirmation, survey, program controls, and long lead procurement definition.</w:t>
            </w:r>
          </w:p>
        </w:tc>
      </w:tr>
      <w:tr>
        <w:tc>
          <w:tcPr>
            <w:tcW w:type="dxa" w:w="3600"/>
            <w:vAlign w:val="top"/>
          </w:tcPr>
          <w:p>
            <w:pPr>
              <w:spacing w:after="0" w:before="0"/>
            </w:pPr>
            <w:r>
              <w:rPr>
                <w:rFonts w:ascii="Aptos" w:hAnsi="Aptos"/>
                <w:sz w:val="16"/>
              </w:rPr>
            </w:r>
            <w:r>
              <w:rPr>
                <w:rFonts w:ascii="Aptos" w:hAnsi="Aptos"/>
                <w:b w:val="0"/>
                <w:sz w:val="16"/>
              </w:rPr>
              <w:t>Release power island long lead funds</w:t>
            </w:r>
          </w:p>
        </w:tc>
        <w:tc>
          <w:tcPr>
            <w:tcW w:type="dxa" w:w="6768"/>
            <w:vAlign w:val="top"/>
          </w:tcPr>
          <w:p>
            <w:pPr>
              <w:spacing w:after="0" w:before="0"/>
            </w:pPr>
            <w:r>
              <w:rPr>
                <w:rFonts w:ascii="Aptos" w:hAnsi="Aptos"/>
                <w:sz w:val="16"/>
              </w:rPr>
            </w:r>
            <w:r>
              <w:rPr>
                <w:rFonts w:ascii="Aptos" w:hAnsi="Aptos"/>
                <w:b w:val="0"/>
                <w:sz w:val="16"/>
              </w:rPr>
              <w:t>Recommended only after site freeze and partner or government cost share pathway is active.</w:t>
            </w:r>
          </w:p>
        </w:tc>
      </w:tr>
      <w:tr>
        <w:tc>
          <w:tcPr>
            <w:tcW w:type="dxa" w:w="3600"/>
            <w:vAlign w:val="top"/>
          </w:tcPr>
          <w:p>
            <w:pPr>
              <w:spacing w:after="0" w:before="0"/>
            </w:pPr>
            <w:r>
              <w:rPr>
                <w:rFonts w:ascii="Aptos" w:hAnsi="Aptos"/>
                <w:sz w:val="16"/>
              </w:rPr>
            </w:r>
            <w:r>
              <w:rPr>
                <w:rFonts w:ascii="Aptos" w:hAnsi="Aptos"/>
                <w:b w:val="0"/>
                <w:sz w:val="16"/>
              </w:rPr>
              <w:t>Release full habitat and population ramp funds</w:t>
            </w:r>
          </w:p>
        </w:tc>
        <w:tc>
          <w:tcPr>
            <w:tcW w:type="dxa" w:w="6768"/>
            <w:vAlign w:val="top"/>
          </w:tcPr>
          <w:p>
            <w:pPr>
              <w:spacing w:after="0" w:before="0"/>
            </w:pPr>
            <w:r>
              <w:rPr>
                <w:rFonts w:ascii="Aptos" w:hAnsi="Aptos"/>
                <w:sz w:val="16"/>
              </w:rPr>
            </w:r>
            <w:r>
              <w:rPr>
                <w:rFonts w:ascii="Aptos" w:hAnsi="Aptos"/>
                <w:b w:val="0"/>
                <w:sz w:val="16"/>
              </w:rPr>
              <w:t>Recommended only after dependable power, pressure shell plan, R1 and R2 path, and life support procurement readiness are verified.</w:t>
            </w:r>
          </w:p>
        </w:tc>
      </w:tr>
      <w:tr>
        <w:tc>
          <w:tcPr>
            <w:tcW w:type="dxa" w:w="3600"/>
            <w:vAlign w:val="top"/>
          </w:tcPr>
          <w:p>
            <w:pPr>
              <w:spacing w:after="0" w:before="0"/>
            </w:pPr>
            <w:r>
              <w:rPr>
                <w:rFonts w:ascii="Aptos" w:hAnsi="Aptos"/>
                <w:sz w:val="16"/>
              </w:rPr>
            </w:r>
            <w:r>
              <w:rPr>
                <w:rFonts w:ascii="Aptos" w:hAnsi="Aptos"/>
                <w:b w:val="0"/>
                <w:sz w:val="16"/>
              </w:rPr>
              <w:t>Release cryogenic export and large scale commercial infrastructure funds</w:t>
            </w:r>
          </w:p>
        </w:tc>
        <w:tc>
          <w:tcPr>
            <w:tcW w:type="dxa" w:w="6768"/>
            <w:vAlign w:val="top"/>
          </w:tcPr>
          <w:p>
            <w:pPr>
              <w:spacing w:after="0" w:before="0"/>
            </w:pPr>
            <w:r>
              <w:rPr>
                <w:rFonts w:ascii="Aptos" w:hAnsi="Aptos"/>
                <w:sz w:val="16"/>
              </w:rPr>
            </w:r>
            <w:r>
              <w:rPr>
                <w:rFonts w:ascii="Aptos" w:hAnsi="Aptos"/>
                <w:b w:val="0"/>
                <w:sz w:val="16"/>
              </w:rPr>
              <w:t>Recommended only after stable water, oxygen, and hydrogen production evidence and contracted offtake or availability agreements.</w:t>
            </w:r>
          </w:p>
        </w:tc>
      </w:tr>
      <w:tr>
        <w:tc>
          <w:tcPr>
            <w:tcW w:type="dxa" w:w="3600"/>
            <w:vAlign w:val="top"/>
          </w:tcPr>
          <w:p>
            <w:pPr>
              <w:spacing w:after="0" w:before="0"/>
            </w:pPr>
            <w:r>
              <w:rPr>
                <w:rFonts w:ascii="Aptos" w:hAnsi="Aptos"/>
                <w:sz w:val="16"/>
              </w:rPr>
            </w:r>
            <w:r>
              <w:rPr>
                <w:rFonts w:ascii="Aptos" w:hAnsi="Aptos"/>
                <w:b w:val="0"/>
                <w:sz w:val="16"/>
              </w:rPr>
              <w:t>Accept early dilution above 40 percent</w:t>
            </w:r>
          </w:p>
        </w:tc>
        <w:tc>
          <w:tcPr>
            <w:tcW w:type="dxa" w:w="6768"/>
            <w:vAlign w:val="top"/>
          </w:tcPr>
          <w:p>
            <w:pPr>
              <w:spacing w:after="0" w:before="0"/>
            </w:pPr>
            <w:r>
              <w:rPr>
                <w:rFonts w:ascii="Aptos" w:hAnsi="Aptos"/>
                <w:sz w:val="16"/>
              </w:rPr>
            </w:r>
            <w:r>
              <w:rPr>
                <w:rFonts w:ascii="Aptos" w:hAnsi="Aptos"/>
                <w:b w:val="0"/>
                <w:sz w:val="16"/>
              </w:rPr>
              <w:t>Not preferred unless it materially reduces sponsor risk, secures strategic capability, or brings guaranteed offtake and cost share.</w:t>
            </w:r>
          </w:p>
        </w:tc>
      </w:tr>
      <w:tr>
        <w:tc>
          <w:tcPr>
            <w:tcW w:type="dxa" w:w="3600"/>
            <w:vAlign w:val="top"/>
          </w:tcPr>
          <w:p>
            <w:pPr>
              <w:spacing w:after="0" w:before="0"/>
            </w:pPr>
            <w:r>
              <w:rPr>
                <w:rFonts w:ascii="Aptos" w:hAnsi="Aptos"/>
                <w:sz w:val="16"/>
              </w:rPr>
            </w:r>
            <w:r>
              <w:rPr>
                <w:rFonts w:ascii="Aptos" w:hAnsi="Aptos"/>
                <w:b w:val="0"/>
                <w:sz w:val="16"/>
              </w:rPr>
              <w:t>Proceeding condition</w:t>
            </w:r>
          </w:p>
        </w:tc>
        <w:tc>
          <w:tcPr>
            <w:tcW w:type="dxa" w:w="6768"/>
            <w:vAlign w:val="top"/>
          </w:tcPr>
          <w:p>
            <w:pPr>
              <w:spacing w:after="0" w:before="0"/>
            </w:pPr>
            <w:r>
              <w:rPr>
                <w:rFonts w:ascii="Aptos" w:hAnsi="Aptos"/>
                <w:sz w:val="16"/>
              </w:rPr>
            </w:r>
            <w:r>
              <w:rPr>
                <w:rFonts w:ascii="Aptos" w:hAnsi="Aptos"/>
                <w:b w:val="0"/>
                <w:sz w:val="16"/>
              </w:rPr>
              <w:t>Proceed if the board accepts a staged capital plan, strict population gates, protected reserve covenants, and pre F5 commercial commitment thresholds.</w:t>
            </w:r>
          </w:p>
        </w:tc>
      </w:tr>
    </w:tbl>
    <w:p>
      <w:pPr>
        <w:spacing w:after="120"/>
        <w:jc w:val="center"/>
      </w:pPr>
      <w:r>
        <w:rPr>
          <w:rFonts w:ascii="Aptos" w:hAnsi="Aptos"/>
          <w:b/>
          <w:sz w:val="21"/>
        </w:rPr>
        <w:t>Rev 2.6 conclusion: The Phase 1 installation is financeable only as staged critical infrastructure. The strongest investment path uses limited early equity, aggressive non dilutive cost share, partner furnished systems, customer prepayments, and debt only after major technical and commercial risks are retired. The board should approve early gates while preserving the right to stop, resize, or reprice the program if site, power, refuge, evacuation, or contracted revenue evidence fails to mature.</w:t>
      </w:r>
    </w:p>
    <w:p>
      <w:pPr>
        <w:spacing w:after="120"/>
      </w:pPr>
    </w:p>
    <w:p>
      <w:pPr>
        <w:spacing w:after="120"/>
      </w:pPr>
      <w:r>
        <w:rPr>
          <w:rFonts w:ascii="Aptos" w:hAnsi="Aptos"/>
        </w:rPr>
        <w:br w:type="page"/>
      </w:r>
    </w:p>
    <w:p>
      <w:pPr>
        <w:pStyle w:val="Heading1"/>
        <w:spacing w:before="200" w:after="120"/>
      </w:pPr>
      <w:r>
        <w:rPr>
          <w:rFonts w:ascii="Aptos" w:hAnsi="Aptos"/>
          <w:b/>
          <w:sz w:val="28"/>
        </w:rPr>
        <w:t>17. Surface Spaceport, Launch Rail, Renewable Energy, Seismic, and Mineral Processing Integration</w:t>
      </w:r>
    </w:p>
    <w:p>
      <w:pPr>
        <w:spacing w:after="120"/>
      </w:pPr>
      <w:r>
        <w:rPr>
          <w:rFonts w:ascii="Aptos" w:hAnsi="Aptos"/>
          <w:b w:val="0"/>
          <w:i w:val="0"/>
          <w:sz w:val="21"/>
        </w:rPr>
        <w:t>Rev 2.7 expands the lunar south pole installation from a protected ISRU base into a full surface logistics, industrial processing, and power reception complex. The added systems improve throughput, resilience, structural monitoring, and monetization while preserving the governing rule that life safety, refuge capacity, and 72 hour evacuation compliance outrank export growth.</w:t>
      </w:r>
    </w:p>
    <w:p>
      <w:pPr>
        <w:pStyle w:val="Heading2"/>
        <w:spacing w:before="200" w:after="120"/>
      </w:pPr>
      <w:r>
        <w:rPr>
          <w:rFonts w:ascii="Aptos" w:hAnsi="Aptos"/>
          <w:b/>
          <w:sz w:val="24"/>
        </w:rPr>
        <w:t>17.1 Integration Objective</w:t>
      </w:r>
    </w:p>
    <w:p>
      <w:pPr>
        <w:spacing w:after="120"/>
      </w:pPr>
      <w:r>
        <w:rPr>
          <w:rFonts w:ascii="Aptos" w:hAnsi="Aptos"/>
          <w:b w:val="0"/>
          <w:i w:val="0"/>
          <w:sz w:val="21"/>
        </w:rPr>
        <w:t>The integration objective is to add six surface systems without compromising the underground habitat, one lunar night refuge basis, or mass evacuation architecture. The new systems are phased so that the surface spaceport, solar farm, seismic monitoring, and mineral processing facility support Phase 1 maturity, while the hyperloop EM launch rail is treated as a controlled Phase 1B or Phase 2 industrial expansion item.</w:t>
      </w:r>
    </w:p>
    <w:p>
      <w:pPr>
        <w:pStyle w:val="ListBullet"/>
      </w:pPr>
      <w:r>
        <w:rPr>
          <w:rFonts w:ascii="Aptos" w:hAnsi="Aptos"/>
          <w:sz w:val="21"/>
        </w:rPr>
        <w:t>Surface spaceport increases launch, landing, crew transfer, cargo turnaround, and emergency departure throughput.</w:t>
      </w:r>
    </w:p>
    <w:p>
      <w:pPr>
        <w:pStyle w:val="ListBullet"/>
      </w:pPr>
      <w:r>
        <w:rPr>
          <w:rFonts w:ascii="Aptos" w:hAnsi="Aptos"/>
          <w:sz w:val="21"/>
        </w:rPr>
        <w:t>Hyperloop EM launch rail creates a cargo first, high energy surface to orbit logistics path after safety validation.</w:t>
      </w:r>
    </w:p>
    <w:p>
      <w:pPr>
        <w:pStyle w:val="ListBullet"/>
      </w:pPr>
      <w:r>
        <w:rPr>
          <w:rFonts w:ascii="Aptos" w:hAnsi="Aptos"/>
          <w:sz w:val="21"/>
        </w:rPr>
        <w:t>Surface microwave receiver adds beamed power reception and grid support from orbital or remote generation assets.</w:t>
      </w:r>
    </w:p>
    <w:p>
      <w:pPr>
        <w:pStyle w:val="ListBullet"/>
      </w:pPr>
      <w:r>
        <w:rPr>
          <w:rFonts w:ascii="Aptos" w:hAnsi="Aptos"/>
          <w:sz w:val="21"/>
        </w:rPr>
        <w:t>Surface solar farm adds renewable energy resilience and supports hydrogen reserve rebuilding.</w:t>
      </w:r>
    </w:p>
    <w:p>
      <w:pPr>
        <w:pStyle w:val="ListBullet"/>
      </w:pPr>
      <w:r>
        <w:rPr>
          <w:rFonts w:ascii="Aptos" w:hAnsi="Aptos"/>
          <w:sz w:val="21"/>
        </w:rPr>
        <w:t>Lunar seismic monitoring improves excavation safety, shaft protection, launch rail safety, and tenant assurance.</w:t>
      </w:r>
    </w:p>
    <w:p>
      <w:pPr>
        <w:pStyle w:val="ListBullet"/>
      </w:pPr>
      <w:r>
        <w:rPr>
          <w:rFonts w:ascii="Aptos" w:hAnsi="Aptos"/>
          <w:sz w:val="21"/>
        </w:rPr>
        <w:t>Separate mineral processing isolates dust, heat, vibration, and hazardous byproducts from life support and volatile processing.</w:t>
      </w:r>
    </w:p>
    <w:p>
      <w:pPr>
        <w:pStyle w:val="Heading2"/>
        <w:spacing w:before="200" w:after="120"/>
      </w:pPr>
      <w:r>
        <w:rPr>
          <w:rFonts w:ascii="Aptos" w:hAnsi="Aptos"/>
          <w:b/>
          <w:sz w:val="24"/>
        </w:rPr>
        <w:t>17.2 Expanded District Architecture</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pPr>
              <w:spacing w:after="0"/>
              <w:jc w:val="left"/>
            </w:pPr>
            <w:r>
              <w:rPr>
                <w:rFonts w:ascii="Aptos" w:hAnsi="Aptos"/>
                <w:b/>
                <w:sz w:val="16"/>
              </w:rPr>
            </w:r>
            <w:r>
              <w:rPr>
                <w:rFonts w:ascii="Aptos" w:hAnsi="Aptos"/>
                <w:b/>
                <w:sz w:val="16"/>
              </w:rPr>
              <w:t>District</w:t>
            </w:r>
          </w:p>
        </w:tc>
        <w:tc>
          <w:tcPr>
            <w:tcW w:type="dxa" w:w="2592"/>
            <w:vAlign w:val="top"/>
            <w:shd w:fill="D9EAF7"/>
          </w:tcPr>
          <w:p>
            <w:pPr>
              <w:spacing w:after="0"/>
              <w:jc w:val="left"/>
            </w:pPr>
            <w:r>
              <w:rPr>
                <w:rFonts w:ascii="Aptos" w:hAnsi="Aptos"/>
                <w:b/>
                <w:sz w:val="16"/>
              </w:rPr>
            </w:r>
            <w:r>
              <w:rPr>
                <w:rFonts w:ascii="Aptos" w:hAnsi="Aptos"/>
                <w:b/>
                <w:sz w:val="16"/>
              </w:rPr>
              <w:t>Name</w:t>
            </w:r>
          </w:p>
        </w:tc>
        <w:tc>
          <w:tcPr>
            <w:tcW w:type="dxa" w:w="2592"/>
            <w:vAlign w:val="top"/>
            <w:shd w:fill="D9EAF7"/>
          </w:tcPr>
          <w:p>
            <w:pPr>
              <w:spacing w:after="0"/>
              <w:jc w:val="left"/>
            </w:pPr>
            <w:r>
              <w:rPr>
                <w:rFonts w:ascii="Aptos" w:hAnsi="Aptos"/>
                <w:b/>
                <w:sz w:val="16"/>
              </w:rPr>
            </w:r>
            <w:r>
              <w:rPr>
                <w:rFonts w:ascii="Aptos" w:hAnsi="Aptos"/>
                <w:b/>
                <w:sz w:val="16"/>
              </w:rPr>
              <w:t>Facilities added</w:t>
            </w:r>
          </w:p>
        </w:tc>
        <w:tc>
          <w:tcPr>
            <w:tcW w:type="dxa" w:w="2592"/>
            <w:vAlign w:val="top"/>
            <w:shd w:fill="D9EAF7"/>
          </w:tcPr>
          <w:p>
            <w:pPr>
              <w:spacing w:after="0"/>
              <w:jc w:val="left"/>
            </w:pPr>
            <w:r>
              <w:rPr>
                <w:rFonts w:ascii="Aptos" w:hAnsi="Aptos"/>
                <w:b/>
                <w:sz w:val="16"/>
              </w:rPr>
            </w:r>
            <w:r>
              <w:rPr>
                <w:rFonts w:ascii="Aptos" w:hAnsi="Aptos"/>
                <w:b/>
                <w:sz w:val="16"/>
              </w:rPr>
              <w:t>Design posture</w:t>
            </w:r>
          </w:p>
        </w:tc>
      </w:tr>
      <w:tr>
        <w:tc>
          <w:tcPr>
            <w:tcW w:type="dxa" w:w="2592"/>
            <w:vAlign w:val="top"/>
          </w:tcPr>
          <w:p>
            <w:pPr>
              <w:spacing w:after="0"/>
              <w:jc w:val="left"/>
            </w:pPr>
            <w:r>
              <w:rPr>
                <w:rFonts w:ascii="Aptos" w:hAnsi="Aptos"/>
                <w:sz w:val="16"/>
              </w:rPr>
            </w:r>
            <w:r>
              <w:rPr>
                <w:rFonts w:ascii="Aptos" w:hAnsi="Aptos"/>
                <w:b w:val="0"/>
                <w:sz w:val="16"/>
              </w:rPr>
              <w:t>F</w:t>
            </w:r>
          </w:p>
        </w:tc>
        <w:tc>
          <w:tcPr>
            <w:tcW w:type="dxa" w:w="2592"/>
            <w:vAlign w:val="top"/>
          </w:tcPr>
          <w:p>
            <w:pPr>
              <w:spacing w:after="0"/>
              <w:jc w:val="left"/>
            </w:pPr>
            <w:r>
              <w:rPr>
                <w:rFonts w:ascii="Aptos" w:hAnsi="Aptos"/>
                <w:sz w:val="16"/>
              </w:rPr>
            </w:r>
            <w:r>
              <w:rPr>
                <w:rFonts w:ascii="Aptos" w:hAnsi="Aptos"/>
                <w:b w:val="0"/>
                <w:sz w:val="16"/>
              </w:rPr>
              <w:t>Surface spaceport and launch operations</w:t>
            </w:r>
          </w:p>
        </w:tc>
        <w:tc>
          <w:tcPr>
            <w:tcW w:type="dxa" w:w="2592"/>
            <w:vAlign w:val="top"/>
          </w:tcPr>
          <w:p>
            <w:pPr>
              <w:spacing w:after="0"/>
              <w:jc w:val="left"/>
            </w:pPr>
            <w:r>
              <w:rPr>
                <w:rFonts w:ascii="Aptos" w:hAnsi="Aptos"/>
                <w:sz w:val="16"/>
              </w:rPr>
            </w:r>
            <w:r>
              <w:rPr>
                <w:rFonts w:ascii="Aptos" w:hAnsi="Aptos"/>
                <w:b w:val="0"/>
                <w:sz w:val="16"/>
              </w:rPr>
              <w:t>Heavy pads, medium pads, passenger terminal, cargo orbital interface, turnaround hangars, launch operations center, hyperloop terminal interface.</w:t>
            </w:r>
          </w:p>
        </w:tc>
        <w:tc>
          <w:tcPr>
            <w:tcW w:type="dxa" w:w="2592"/>
            <w:vAlign w:val="top"/>
          </w:tcPr>
          <w:p>
            <w:pPr>
              <w:spacing w:after="0"/>
              <w:jc w:val="left"/>
            </w:pPr>
            <w:r>
              <w:rPr>
                <w:rFonts w:ascii="Aptos" w:hAnsi="Aptos"/>
                <w:sz w:val="16"/>
              </w:rPr>
            </w:r>
            <w:r>
              <w:rPr>
                <w:rFonts w:ascii="Aptos" w:hAnsi="Aptos"/>
                <w:b w:val="0"/>
                <w:sz w:val="16"/>
              </w:rPr>
              <w:t>Core Phase 1 logistics expansion. Must remain physically separated from habitat and emergency refuge access.</w:t>
            </w:r>
          </w:p>
        </w:tc>
      </w:tr>
      <w:tr>
        <w:tc>
          <w:tcPr>
            <w:tcW w:type="dxa" w:w="2592"/>
            <w:vAlign w:val="top"/>
          </w:tcPr>
          <w:p>
            <w:pPr>
              <w:spacing w:after="0"/>
              <w:jc w:val="left"/>
            </w:pPr>
            <w:r>
              <w:rPr>
                <w:rFonts w:ascii="Aptos" w:hAnsi="Aptos"/>
                <w:sz w:val="16"/>
              </w:rPr>
            </w:r>
            <w:r>
              <w:rPr>
                <w:rFonts w:ascii="Aptos" w:hAnsi="Aptos"/>
                <w:b w:val="0"/>
                <w:sz w:val="16"/>
              </w:rPr>
              <w:t>G</w:t>
            </w:r>
          </w:p>
        </w:tc>
        <w:tc>
          <w:tcPr>
            <w:tcW w:type="dxa" w:w="2592"/>
            <w:vAlign w:val="top"/>
          </w:tcPr>
          <w:p>
            <w:pPr>
              <w:spacing w:after="0"/>
              <w:jc w:val="left"/>
            </w:pPr>
            <w:r>
              <w:rPr>
                <w:rFonts w:ascii="Aptos" w:hAnsi="Aptos"/>
                <w:sz w:val="16"/>
              </w:rPr>
            </w:r>
            <w:r>
              <w:rPr>
                <w:rFonts w:ascii="Aptos" w:hAnsi="Aptos"/>
                <w:b w:val="0"/>
                <w:sz w:val="16"/>
              </w:rPr>
              <w:t>Renewable and directed energy reception</w:t>
            </w:r>
          </w:p>
        </w:tc>
        <w:tc>
          <w:tcPr>
            <w:tcW w:type="dxa" w:w="2592"/>
            <w:vAlign w:val="top"/>
          </w:tcPr>
          <w:p>
            <w:pPr>
              <w:spacing w:after="0"/>
              <w:jc w:val="left"/>
            </w:pPr>
            <w:r>
              <w:rPr>
                <w:rFonts w:ascii="Aptos" w:hAnsi="Aptos"/>
                <w:sz w:val="16"/>
              </w:rPr>
            </w:r>
            <w:r>
              <w:rPr>
                <w:rFonts w:ascii="Aptos" w:hAnsi="Aptos"/>
                <w:b w:val="0"/>
                <w:sz w:val="16"/>
              </w:rPr>
              <w:t>Solar farm, rectenna field, microwave conditioning station, local storage, HVDC export interface.</w:t>
            </w:r>
          </w:p>
        </w:tc>
        <w:tc>
          <w:tcPr>
            <w:tcW w:type="dxa" w:w="2592"/>
            <w:vAlign w:val="top"/>
          </w:tcPr>
          <w:p>
            <w:pPr>
              <w:spacing w:after="0"/>
              <w:jc w:val="left"/>
            </w:pPr>
            <w:r>
              <w:rPr>
                <w:rFonts w:ascii="Aptos" w:hAnsi="Aptos"/>
                <w:sz w:val="16"/>
              </w:rPr>
            </w:r>
            <w:r>
              <w:rPr>
                <w:rFonts w:ascii="Aptos" w:hAnsi="Aptos"/>
                <w:b w:val="0"/>
                <w:sz w:val="16"/>
              </w:rPr>
              <w:t>Energy resilience district. Supports noncritical loads, emergency reserves, hydrogen production, and launch rail charging.</w:t>
            </w:r>
          </w:p>
        </w:tc>
      </w:tr>
      <w:tr>
        <w:tc>
          <w:tcPr>
            <w:tcW w:type="dxa" w:w="2592"/>
            <w:vAlign w:val="top"/>
          </w:tcPr>
          <w:p>
            <w:pPr>
              <w:spacing w:after="0"/>
              <w:jc w:val="left"/>
            </w:pPr>
            <w:r>
              <w:rPr>
                <w:rFonts w:ascii="Aptos" w:hAnsi="Aptos"/>
                <w:sz w:val="16"/>
              </w:rPr>
            </w:r>
            <w:r>
              <w:rPr>
                <w:rFonts w:ascii="Aptos" w:hAnsi="Aptos"/>
                <w:b w:val="0"/>
                <w:sz w:val="16"/>
              </w:rPr>
              <w:t>H</w:t>
            </w:r>
          </w:p>
        </w:tc>
        <w:tc>
          <w:tcPr>
            <w:tcW w:type="dxa" w:w="2592"/>
            <w:vAlign w:val="top"/>
          </w:tcPr>
          <w:p>
            <w:pPr>
              <w:spacing w:after="0"/>
              <w:jc w:val="left"/>
            </w:pPr>
            <w:r>
              <w:rPr>
                <w:rFonts w:ascii="Aptos" w:hAnsi="Aptos"/>
                <w:sz w:val="16"/>
              </w:rPr>
            </w:r>
            <w:r>
              <w:rPr>
                <w:rFonts w:ascii="Aptos" w:hAnsi="Aptos"/>
                <w:b w:val="0"/>
                <w:sz w:val="16"/>
              </w:rPr>
              <w:t>Mineral processing and materials refining</w:t>
            </w:r>
          </w:p>
        </w:tc>
        <w:tc>
          <w:tcPr>
            <w:tcW w:type="dxa" w:w="2592"/>
            <w:vAlign w:val="top"/>
          </w:tcPr>
          <w:p>
            <w:pPr>
              <w:spacing w:after="0"/>
              <w:jc w:val="left"/>
            </w:pPr>
            <w:r>
              <w:rPr>
                <w:rFonts w:ascii="Aptos" w:hAnsi="Aptos"/>
                <w:sz w:val="16"/>
              </w:rPr>
            </w:r>
            <w:r>
              <w:rPr>
                <w:rFonts w:ascii="Aptos" w:hAnsi="Aptos"/>
                <w:b w:val="0"/>
                <w:sz w:val="16"/>
              </w:rPr>
              <w:t>Raw mineral yard, beneficiation hall, oxide and salt processing, metals recovery, ceramic and glass feedstock, slag management.</w:t>
            </w:r>
          </w:p>
        </w:tc>
        <w:tc>
          <w:tcPr>
            <w:tcW w:type="dxa" w:w="2592"/>
            <w:vAlign w:val="top"/>
          </w:tcPr>
          <w:p>
            <w:pPr>
              <w:spacing w:after="0"/>
              <w:jc w:val="left"/>
            </w:pPr>
            <w:r>
              <w:rPr>
                <w:rFonts w:ascii="Aptos" w:hAnsi="Aptos"/>
                <w:sz w:val="16"/>
              </w:rPr>
            </w:r>
            <w:r>
              <w:rPr>
                <w:rFonts w:ascii="Aptos" w:hAnsi="Aptos"/>
                <w:b w:val="0"/>
                <w:sz w:val="16"/>
              </w:rPr>
              <w:t>Industrial hazard district. Separate from volatile extraction, life support, habitat shafts, and protected evacuation routes.</w:t>
            </w:r>
          </w:p>
        </w:tc>
      </w:tr>
      <w:tr>
        <w:tc>
          <w:tcPr>
            <w:tcW w:type="dxa" w:w="2592"/>
            <w:vAlign w:val="top"/>
          </w:tcPr>
          <w:p>
            <w:pPr>
              <w:spacing w:after="0"/>
              <w:jc w:val="left"/>
            </w:pPr>
            <w:r>
              <w:rPr>
                <w:rFonts w:ascii="Aptos" w:hAnsi="Aptos"/>
                <w:sz w:val="16"/>
              </w:rPr>
            </w:r>
            <w:r>
              <w:rPr>
                <w:rFonts w:ascii="Aptos" w:hAnsi="Aptos"/>
                <w:b w:val="0"/>
                <w:sz w:val="16"/>
              </w:rPr>
              <w:t>I</w:t>
            </w:r>
          </w:p>
        </w:tc>
        <w:tc>
          <w:tcPr>
            <w:tcW w:type="dxa" w:w="2592"/>
            <w:vAlign w:val="top"/>
          </w:tcPr>
          <w:p>
            <w:pPr>
              <w:spacing w:after="0"/>
              <w:jc w:val="left"/>
            </w:pPr>
            <w:r>
              <w:rPr>
                <w:rFonts w:ascii="Aptos" w:hAnsi="Aptos"/>
                <w:sz w:val="16"/>
              </w:rPr>
            </w:r>
            <w:r>
              <w:rPr>
                <w:rFonts w:ascii="Aptos" w:hAnsi="Aptos"/>
                <w:b w:val="0"/>
                <w:sz w:val="16"/>
              </w:rPr>
              <w:t>Lunar geophysical and seismic monitoring network</w:t>
            </w:r>
          </w:p>
        </w:tc>
        <w:tc>
          <w:tcPr>
            <w:tcW w:type="dxa" w:w="2592"/>
            <w:vAlign w:val="top"/>
          </w:tcPr>
          <w:p>
            <w:pPr>
              <w:spacing w:after="0"/>
              <w:jc w:val="left"/>
            </w:pPr>
            <w:r>
              <w:rPr>
                <w:rFonts w:ascii="Aptos" w:hAnsi="Aptos"/>
                <w:sz w:val="16"/>
              </w:rPr>
            </w:r>
            <w:r>
              <w:rPr>
                <w:rFonts w:ascii="Aptos" w:hAnsi="Aptos"/>
                <w:b w:val="0"/>
                <w:sz w:val="16"/>
              </w:rPr>
              <w:t>Local base seismic ring, regional stations, structural health sensors, rail bed monitoring, pad monitoring, geophysical data center.</w:t>
            </w:r>
          </w:p>
        </w:tc>
        <w:tc>
          <w:tcPr>
            <w:tcW w:type="dxa" w:w="2592"/>
            <w:vAlign w:val="top"/>
          </w:tcPr>
          <w:p>
            <w:pPr>
              <w:spacing w:after="0"/>
              <w:jc w:val="left"/>
            </w:pPr>
            <w:r>
              <w:rPr>
                <w:rFonts w:ascii="Aptos" w:hAnsi="Aptos"/>
                <w:sz w:val="16"/>
              </w:rPr>
            </w:r>
            <w:r>
              <w:rPr>
                <w:rFonts w:ascii="Aptos" w:hAnsi="Aptos"/>
                <w:b w:val="0"/>
                <w:sz w:val="16"/>
              </w:rPr>
              <w:t>Distributed monitoring layer. Required before major rail, shaft, and spaceport expansion.</w:t>
            </w:r>
          </w:p>
        </w:tc>
      </w:tr>
      <w:tr>
        <w:tc>
          <w:tcPr>
            <w:tcW w:type="dxa" w:w="2592"/>
            <w:vAlign w:val="top"/>
          </w:tcPr>
          <w:p>
            <w:pPr>
              <w:spacing w:after="0"/>
            </w:pPr>
            <w:r>
              <w:rPr>
                <w:sz w:val="16"/>
              </w:rPr>
              <w:t>J</w:t>
            </w:r>
          </w:p>
        </w:tc>
        <w:tc>
          <w:tcPr>
            <w:tcW w:type="dxa" w:w="2592"/>
            <w:vAlign w:val="top"/>
          </w:tcPr>
          <w:p>
            <w:pPr>
              <w:spacing w:after="0"/>
            </w:pPr>
            <w:r>
              <w:rPr>
                <w:sz w:val="16"/>
              </w:rPr>
              <w:t>Lunar Biodiversity Vault</w:t>
            </w:r>
          </w:p>
        </w:tc>
        <w:tc>
          <w:tcPr>
            <w:tcW w:type="dxa" w:w="2592"/>
            <w:vAlign w:val="top"/>
          </w:tcPr>
          <w:p>
            <w:pPr>
              <w:spacing w:after="0"/>
            </w:pPr>
            <w:r>
              <w:rPr>
                <w:sz w:val="16"/>
              </w:rPr>
              <w:t>Cryogenic sample vaults, passive cold galleries, receiving and quarantine laboratory, clean storage, data and genetic reference archive.</w:t>
            </w:r>
          </w:p>
        </w:tc>
        <w:tc>
          <w:tcPr>
            <w:tcW w:type="dxa" w:w="2592"/>
            <w:vAlign w:val="top"/>
          </w:tcPr>
          <w:p>
            <w:pPr>
              <w:spacing w:after="0"/>
            </w:pPr>
            <w:r>
              <w:rPr>
                <w:sz w:val="16"/>
              </w:rPr>
              <w:t>Protected archive district. Must remain isolated from habitat bioload, industrial dust, radiation spikes, vibration, and launch hazard corridors.</w:t>
            </w:r>
          </w:p>
        </w:tc>
      </w:tr>
    </w:tbl>
    <w:p>
      <w:pPr>
        <w:spacing w:after="120"/>
      </w:pPr>
    </w:p>
    <w:p>
      <w:pPr>
        <w:pStyle w:val="Heading2"/>
        <w:spacing w:before="200" w:after="120"/>
      </w:pPr>
      <w:r>
        <w:rPr>
          <w:rFonts w:ascii="Aptos" w:hAnsi="Aptos"/>
          <w:b/>
          <w:sz w:val="24"/>
        </w:rPr>
        <w:t>17.3 Surface Spaceport Requirements</w:t>
      </w:r>
    </w:p>
    <w:p>
      <w:pPr>
        <w:spacing w:after="120"/>
      </w:pPr>
      <w:r>
        <w:rPr>
          <w:rFonts w:ascii="Aptos" w:hAnsi="Aptos"/>
          <w:b w:val="0"/>
          <w:i w:val="0"/>
          <w:sz w:val="21"/>
        </w:rPr>
        <w:t>The surface spaceport becomes the primary high throughput logistics node for crewed and uncrewed vehicle operations. It is separate from emergency embarkation zones, but must remain compatible with the 72 hour evacuation requirement.</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Element</w:t>
            </w:r>
          </w:p>
        </w:tc>
        <w:tc>
          <w:tcPr>
            <w:tcW w:type="dxa" w:w="3456"/>
            <w:vAlign w:val="top"/>
            <w:shd w:fill="D9EAF7"/>
          </w:tcPr>
          <w:p>
            <w:pPr>
              <w:spacing w:after="0"/>
              <w:jc w:val="left"/>
            </w:pPr>
            <w:r>
              <w:rPr>
                <w:rFonts w:ascii="Aptos" w:hAnsi="Aptos"/>
                <w:b/>
                <w:sz w:val="16"/>
              </w:rPr>
            </w:r>
            <w:r>
              <w:rPr>
                <w:rFonts w:ascii="Aptos" w:hAnsi="Aptos"/>
                <w:b/>
                <w:sz w:val="16"/>
              </w:rPr>
              <w:t>Function</w:t>
            </w:r>
          </w:p>
        </w:tc>
        <w:tc>
          <w:tcPr>
            <w:tcW w:type="dxa" w:w="3456"/>
            <w:vAlign w:val="top"/>
            <w:shd w:fill="D9EAF7"/>
          </w:tcPr>
          <w:p>
            <w:pPr>
              <w:spacing w:after="0"/>
              <w:jc w:val="left"/>
            </w:pPr>
            <w:r>
              <w:rPr>
                <w:rFonts w:ascii="Aptos" w:hAnsi="Aptos"/>
                <w:b/>
                <w:sz w:val="16"/>
              </w:rPr>
            </w:r>
            <w:r>
              <w:rPr>
                <w:rFonts w:ascii="Aptos" w:hAnsi="Aptos"/>
                <w:b/>
                <w:sz w:val="16"/>
              </w:rPr>
              <w:t>Planning baseline</w:t>
            </w:r>
          </w:p>
        </w:tc>
      </w:tr>
      <w:tr>
        <w:tc>
          <w:tcPr>
            <w:tcW w:type="dxa" w:w="3456"/>
            <w:vAlign w:val="top"/>
          </w:tcPr>
          <w:p>
            <w:pPr>
              <w:spacing w:after="0"/>
              <w:jc w:val="left"/>
            </w:pPr>
            <w:r>
              <w:rPr>
                <w:rFonts w:ascii="Aptos" w:hAnsi="Aptos"/>
                <w:sz w:val="16"/>
              </w:rPr>
            </w:r>
            <w:r>
              <w:rPr>
                <w:rFonts w:ascii="Aptos" w:hAnsi="Aptos"/>
                <w:b w:val="0"/>
                <w:sz w:val="16"/>
              </w:rPr>
              <w:t>F1 Heavy launch and landing apron</w:t>
            </w:r>
          </w:p>
        </w:tc>
        <w:tc>
          <w:tcPr>
            <w:tcW w:type="dxa" w:w="3456"/>
            <w:vAlign w:val="top"/>
          </w:tcPr>
          <w:p>
            <w:pPr>
              <w:spacing w:after="0"/>
              <w:jc w:val="left"/>
            </w:pPr>
            <w:r>
              <w:rPr>
                <w:rFonts w:ascii="Aptos" w:hAnsi="Aptos"/>
                <w:sz w:val="16"/>
              </w:rPr>
            </w:r>
            <w:r>
              <w:rPr>
                <w:rFonts w:ascii="Aptos" w:hAnsi="Aptos"/>
                <w:b w:val="0"/>
                <w:sz w:val="16"/>
              </w:rPr>
              <w:t>Receive and dispatch large cargo and propellant vehicles.</w:t>
            </w:r>
          </w:p>
        </w:tc>
        <w:tc>
          <w:tcPr>
            <w:tcW w:type="dxa" w:w="3456"/>
            <w:vAlign w:val="top"/>
          </w:tcPr>
          <w:p>
            <w:pPr>
              <w:spacing w:after="0"/>
              <w:jc w:val="left"/>
            </w:pPr>
            <w:r>
              <w:rPr>
                <w:rFonts w:ascii="Aptos" w:hAnsi="Aptos"/>
                <w:sz w:val="16"/>
              </w:rPr>
            </w:r>
            <w:r>
              <w:rPr>
                <w:rFonts w:ascii="Aptos" w:hAnsi="Aptos"/>
                <w:b w:val="0"/>
                <w:sz w:val="16"/>
              </w:rPr>
              <w:t>4 to 8 heavy pads with dust berms, plume hardened surfacing, guidance beacons, and pad recovery systems.</w:t>
            </w:r>
          </w:p>
        </w:tc>
      </w:tr>
      <w:tr>
        <w:tc>
          <w:tcPr>
            <w:tcW w:type="dxa" w:w="3456"/>
            <w:vAlign w:val="top"/>
          </w:tcPr>
          <w:p>
            <w:pPr>
              <w:spacing w:after="0"/>
              <w:jc w:val="left"/>
            </w:pPr>
            <w:r>
              <w:rPr>
                <w:rFonts w:ascii="Aptos" w:hAnsi="Aptos"/>
                <w:sz w:val="16"/>
              </w:rPr>
            </w:r>
            <w:r>
              <w:rPr>
                <w:rFonts w:ascii="Aptos" w:hAnsi="Aptos"/>
                <w:b w:val="0"/>
                <w:sz w:val="16"/>
              </w:rPr>
              <w:t>F2 Passenger and crew transfer terminal</w:t>
            </w:r>
          </w:p>
        </w:tc>
        <w:tc>
          <w:tcPr>
            <w:tcW w:type="dxa" w:w="3456"/>
            <w:vAlign w:val="top"/>
          </w:tcPr>
          <w:p>
            <w:pPr>
              <w:spacing w:after="0"/>
              <w:jc w:val="left"/>
            </w:pPr>
            <w:r>
              <w:rPr>
                <w:rFonts w:ascii="Aptos" w:hAnsi="Aptos"/>
                <w:sz w:val="16"/>
              </w:rPr>
            </w:r>
            <w:r>
              <w:rPr>
                <w:rFonts w:ascii="Aptos" w:hAnsi="Aptos"/>
                <w:b w:val="0"/>
                <w:sz w:val="16"/>
              </w:rPr>
              <w:t>Move crew and visitors between vehicles and protected transfer systems.</w:t>
            </w:r>
          </w:p>
        </w:tc>
        <w:tc>
          <w:tcPr>
            <w:tcW w:type="dxa" w:w="3456"/>
            <w:vAlign w:val="top"/>
          </w:tcPr>
          <w:p>
            <w:pPr>
              <w:spacing w:after="0"/>
              <w:jc w:val="left"/>
            </w:pPr>
            <w:r>
              <w:rPr>
                <w:rFonts w:ascii="Aptos" w:hAnsi="Aptos"/>
                <w:sz w:val="16"/>
              </w:rPr>
            </w:r>
            <w:r>
              <w:rPr>
                <w:rFonts w:ascii="Aptos" w:hAnsi="Aptos"/>
                <w:b w:val="0"/>
                <w:sz w:val="16"/>
              </w:rPr>
              <w:t>Pressurized halls, suit issue, screening, quarantine, medical stabilization, and manifest processing.</w:t>
            </w:r>
          </w:p>
        </w:tc>
      </w:tr>
      <w:tr>
        <w:tc>
          <w:tcPr>
            <w:tcW w:type="dxa" w:w="3456"/>
            <w:vAlign w:val="top"/>
          </w:tcPr>
          <w:p>
            <w:pPr>
              <w:spacing w:after="0"/>
              <w:jc w:val="left"/>
            </w:pPr>
            <w:r>
              <w:rPr>
                <w:rFonts w:ascii="Aptos" w:hAnsi="Aptos"/>
                <w:sz w:val="16"/>
              </w:rPr>
            </w:r>
            <w:r>
              <w:rPr>
                <w:rFonts w:ascii="Aptos" w:hAnsi="Aptos"/>
                <w:b w:val="0"/>
                <w:sz w:val="16"/>
              </w:rPr>
              <w:t>F3 Cargo orbital interface yard</w:t>
            </w:r>
          </w:p>
        </w:tc>
        <w:tc>
          <w:tcPr>
            <w:tcW w:type="dxa" w:w="3456"/>
            <w:vAlign w:val="top"/>
          </w:tcPr>
          <w:p>
            <w:pPr>
              <w:spacing w:after="0"/>
              <w:jc w:val="left"/>
            </w:pPr>
            <w:r>
              <w:rPr>
                <w:rFonts w:ascii="Aptos" w:hAnsi="Aptos"/>
                <w:sz w:val="16"/>
              </w:rPr>
            </w:r>
            <w:r>
              <w:rPr>
                <w:rFonts w:ascii="Aptos" w:hAnsi="Aptos"/>
                <w:b w:val="0"/>
                <w:sz w:val="16"/>
              </w:rPr>
              <w:t>Prepare outbound and inbound cargo for orbital logistics.</w:t>
            </w:r>
          </w:p>
        </w:tc>
        <w:tc>
          <w:tcPr>
            <w:tcW w:type="dxa" w:w="3456"/>
            <w:vAlign w:val="top"/>
          </w:tcPr>
          <w:p>
            <w:pPr>
              <w:spacing w:after="0"/>
              <w:jc w:val="left"/>
            </w:pPr>
            <w:r>
              <w:rPr>
                <w:rFonts w:ascii="Aptos" w:hAnsi="Aptos"/>
                <w:sz w:val="16"/>
              </w:rPr>
            </w:r>
            <w:r>
              <w:rPr>
                <w:rFonts w:ascii="Aptos" w:hAnsi="Aptos"/>
                <w:b w:val="0"/>
                <w:sz w:val="16"/>
              </w:rPr>
              <w:t>Cryogenic fueling lanes, containerized cargo transfer, robotic loaders, and hazardous cargo zones.</w:t>
            </w:r>
          </w:p>
        </w:tc>
      </w:tr>
      <w:tr>
        <w:tc>
          <w:tcPr>
            <w:tcW w:type="dxa" w:w="3456"/>
            <w:vAlign w:val="top"/>
          </w:tcPr>
          <w:p>
            <w:pPr>
              <w:spacing w:after="0"/>
              <w:jc w:val="left"/>
            </w:pPr>
            <w:r>
              <w:rPr>
                <w:rFonts w:ascii="Aptos" w:hAnsi="Aptos"/>
                <w:sz w:val="16"/>
              </w:rPr>
            </w:r>
            <w:r>
              <w:rPr>
                <w:rFonts w:ascii="Aptos" w:hAnsi="Aptos"/>
                <w:b w:val="0"/>
                <w:sz w:val="16"/>
              </w:rPr>
              <w:t>F4 Vehicle maintenance and turnaround hangars</w:t>
            </w:r>
          </w:p>
        </w:tc>
        <w:tc>
          <w:tcPr>
            <w:tcW w:type="dxa" w:w="3456"/>
            <w:vAlign w:val="top"/>
          </w:tcPr>
          <w:p>
            <w:pPr>
              <w:spacing w:after="0"/>
              <w:jc w:val="left"/>
            </w:pPr>
            <w:r>
              <w:rPr>
                <w:rFonts w:ascii="Aptos" w:hAnsi="Aptos"/>
                <w:sz w:val="16"/>
              </w:rPr>
            </w:r>
            <w:r>
              <w:rPr>
                <w:rFonts w:ascii="Aptos" w:hAnsi="Aptos"/>
                <w:b w:val="0"/>
                <w:sz w:val="16"/>
              </w:rPr>
              <w:t>Inspect, service, and return vehicles to flight status.</w:t>
            </w:r>
          </w:p>
        </w:tc>
        <w:tc>
          <w:tcPr>
            <w:tcW w:type="dxa" w:w="3456"/>
            <w:vAlign w:val="top"/>
          </w:tcPr>
          <w:p>
            <w:pPr>
              <w:spacing w:after="0"/>
              <w:jc w:val="left"/>
            </w:pPr>
            <w:r>
              <w:rPr>
                <w:rFonts w:ascii="Aptos" w:hAnsi="Aptos"/>
                <w:sz w:val="16"/>
              </w:rPr>
            </w:r>
            <w:r>
              <w:rPr>
                <w:rFonts w:ascii="Aptos" w:hAnsi="Aptos"/>
                <w:b w:val="0"/>
                <w:sz w:val="16"/>
              </w:rPr>
              <w:t>Pressure vessel repair, avionics support, tug maintenance, propellant interface testing, and dust removal.</w:t>
            </w:r>
          </w:p>
        </w:tc>
      </w:tr>
      <w:tr>
        <w:tc>
          <w:tcPr>
            <w:tcW w:type="dxa" w:w="3456"/>
            <w:vAlign w:val="top"/>
          </w:tcPr>
          <w:p>
            <w:pPr>
              <w:spacing w:after="0"/>
              <w:jc w:val="left"/>
            </w:pPr>
            <w:r>
              <w:rPr>
                <w:rFonts w:ascii="Aptos" w:hAnsi="Aptos"/>
                <w:sz w:val="16"/>
              </w:rPr>
            </w:r>
            <w:r>
              <w:rPr>
                <w:rFonts w:ascii="Aptos" w:hAnsi="Aptos"/>
                <w:b w:val="0"/>
                <w:sz w:val="16"/>
              </w:rPr>
              <w:t>F5 Launch operations center</w:t>
            </w:r>
          </w:p>
        </w:tc>
        <w:tc>
          <w:tcPr>
            <w:tcW w:type="dxa" w:w="3456"/>
            <w:vAlign w:val="top"/>
          </w:tcPr>
          <w:p>
            <w:pPr>
              <w:spacing w:after="0"/>
              <w:jc w:val="left"/>
            </w:pPr>
            <w:r>
              <w:rPr>
                <w:rFonts w:ascii="Aptos" w:hAnsi="Aptos"/>
                <w:sz w:val="16"/>
              </w:rPr>
            </w:r>
            <w:r>
              <w:rPr>
                <w:rFonts w:ascii="Aptos" w:hAnsi="Aptos"/>
                <w:b w:val="0"/>
                <w:sz w:val="16"/>
              </w:rPr>
              <w:t>Coordinate spaceport traffic and orbital departure sequence.</w:t>
            </w:r>
          </w:p>
        </w:tc>
        <w:tc>
          <w:tcPr>
            <w:tcW w:type="dxa" w:w="3456"/>
            <w:vAlign w:val="top"/>
          </w:tcPr>
          <w:p>
            <w:pPr>
              <w:spacing w:after="0"/>
              <w:jc w:val="left"/>
            </w:pPr>
            <w:r>
              <w:rPr>
                <w:rFonts w:ascii="Aptos" w:hAnsi="Aptos"/>
                <w:sz w:val="16"/>
              </w:rPr>
            </w:r>
            <w:r>
              <w:rPr>
                <w:rFonts w:ascii="Aptos" w:hAnsi="Aptos"/>
                <w:b w:val="0"/>
                <w:sz w:val="16"/>
              </w:rPr>
              <w:t>Local operations room integrated with mission control, emergency abort coordination, and orbital traffic interface.</w:t>
            </w:r>
          </w:p>
        </w:tc>
      </w:tr>
    </w:tbl>
    <w:p>
      <w:pPr>
        <w:spacing w:after="120"/>
      </w:pPr>
    </w:p>
    <w:p>
      <w:pPr>
        <w:pStyle w:val="Heading2"/>
        <w:spacing w:before="200" w:after="120"/>
      </w:pPr>
      <w:r>
        <w:rPr>
          <w:rFonts w:ascii="Aptos" w:hAnsi="Aptos"/>
          <w:b/>
          <w:sz w:val="24"/>
        </w:rPr>
        <w:t>17.4 Hyperloop Electromagnetic Launch Rail System</w:t>
      </w:r>
    </w:p>
    <w:p>
      <w:pPr>
        <w:spacing w:after="120"/>
      </w:pPr>
      <w:r>
        <w:rPr>
          <w:rFonts w:ascii="Aptos" w:hAnsi="Aptos"/>
          <w:b w:val="0"/>
          <w:i w:val="0"/>
          <w:sz w:val="21"/>
        </w:rPr>
        <w:t>The hyperloop EM launch rail is a cargo first launch assist system. It must not become a prerequisite for 1000 resident certification. It should mature through demonstration, cargo testing, and limited operational launch before any dual use or crew rated concept is considered.</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Phase</w:t>
            </w:r>
          </w:p>
        </w:tc>
        <w:tc>
          <w:tcPr>
            <w:tcW w:type="dxa" w:w="3456"/>
            <w:vAlign w:val="top"/>
            <w:shd w:fill="D9EAF7"/>
          </w:tcPr>
          <w:p>
            <w:pPr>
              <w:spacing w:after="0"/>
              <w:jc w:val="left"/>
            </w:pPr>
            <w:r>
              <w:rPr>
                <w:rFonts w:ascii="Aptos" w:hAnsi="Aptos"/>
                <w:b/>
                <w:sz w:val="16"/>
              </w:rPr>
            </w:r>
            <w:r>
              <w:rPr>
                <w:rFonts w:ascii="Aptos" w:hAnsi="Aptos"/>
                <w:b/>
                <w:sz w:val="16"/>
              </w:rPr>
              <w:t>Scope</w:t>
            </w:r>
          </w:p>
        </w:tc>
        <w:tc>
          <w:tcPr>
            <w:tcW w:type="dxa" w:w="3456"/>
            <w:vAlign w:val="top"/>
            <w:shd w:fill="D9EAF7"/>
          </w:tcPr>
          <w:p>
            <w:pPr>
              <w:spacing w:after="0"/>
              <w:jc w:val="left"/>
            </w:pPr>
            <w:r>
              <w:rPr>
                <w:rFonts w:ascii="Aptos" w:hAnsi="Aptos"/>
                <w:b/>
                <w:sz w:val="16"/>
              </w:rPr>
            </w:r>
            <w:r>
              <w:rPr>
                <w:rFonts w:ascii="Aptos" w:hAnsi="Aptos"/>
                <w:b/>
                <w:sz w:val="16"/>
              </w:rPr>
              <w:t>Exit criterion</w:t>
            </w:r>
          </w:p>
        </w:tc>
      </w:tr>
      <w:tr>
        <w:tc>
          <w:tcPr>
            <w:tcW w:type="dxa" w:w="3456"/>
            <w:vAlign w:val="top"/>
          </w:tcPr>
          <w:p>
            <w:pPr>
              <w:spacing w:after="0"/>
              <w:jc w:val="left"/>
            </w:pPr>
            <w:r>
              <w:rPr>
                <w:rFonts w:ascii="Aptos" w:hAnsi="Aptos"/>
                <w:sz w:val="16"/>
              </w:rPr>
            </w:r>
            <w:r>
              <w:rPr>
                <w:rFonts w:ascii="Aptos" w:hAnsi="Aptos"/>
                <w:b w:val="0"/>
                <w:sz w:val="16"/>
              </w:rPr>
              <w:t>1A Corridor reservation</w:t>
            </w:r>
          </w:p>
        </w:tc>
        <w:tc>
          <w:tcPr>
            <w:tcW w:type="dxa" w:w="3456"/>
            <w:vAlign w:val="top"/>
          </w:tcPr>
          <w:p>
            <w:pPr>
              <w:spacing w:after="0"/>
              <w:jc w:val="left"/>
            </w:pPr>
            <w:r>
              <w:rPr>
                <w:rFonts w:ascii="Aptos" w:hAnsi="Aptos"/>
                <w:sz w:val="16"/>
              </w:rPr>
            </w:r>
            <w:r>
              <w:rPr>
                <w:rFonts w:ascii="Aptos" w:hAnsi="Aptos"/>
                <w:b w:val="0"/>
                <w:sz w:val="16"/>
              </w:rPr>
              <w:t>Survey and reserve a long, stable launch alignment with exclusion zone, terrain model, rail bed geotechnical characterization, and no direct line to habitat or refuge assets.</w:t>
            </w:r>
          </w:p>
        </w:tc>
        <w:tc>
          <w:tcPr>
            <w:tcW w:type="dxa" w:w="3456"/>
            <w:vAlign w:val="top"/>
          </w:tcPr>
          <w:p>
            <w:pPr>
              <w:spacing w:after="0"/>
              <w:jc w:val="left"/>
            </w:pPr>
            <w:r>
              <w:rPr>
                <w:rFonts w:ascii="Aptos" w:hAnsi="Aptos"/>
                <w:sz w:val="16"/>
              </w:rPr>
            </w:r>
            <w:r>
              <w:rPr>
                <w:rFonts w:ascii="Aptos" w:hAnsi="Aptos"/>
                <w:b w:val="0"/>
                <w:sz w:val="16"/>
              </w:rPr>
              <w:t>Board accepts corridor alignment and hazard exclusion geometry.</w:t>
            </w:r>
          </w:p>
        </w:tc>
      </w:tr>
      <w:tr>
        <w:tc>
          <w:tcPr>
            <w:tcW w:type="dxa" w:w="3456"/>
            <w:vAlign w:val="top"/>
          </w:tcPr>
          <w:p>
            <w:pPr>
              <w:spacing w:after="0"/>
              <w:jc w:val="left"/>
            </w:pPr>
            <w:r>
              <w:rPr>
                <w:rFonts w:ascii="Aptos" w:hAnsi="Aptos"/>
                <w:sz w:val="16"/>
              </w:rPr>
            </w:r>
            <w:r>
              <w:rPr>
                <w:rFonts w:ascii="Aptos" w:hAnsi="Aptos"/>
                <w:b w:val="0"/>
                <w:sz w:val="16"/>
              </w:rPr>
              <w:t>1B Demonstration rail</w:t>
            </w:r>
          </w:p>
        </w:tc>
        <w:tc>
          <w:tcPr>
            <w:tcW w:type="dxa" w:w="3456"/>
            <w:vAlign w:val="top"/>
          </w:tcPr>
          <w:p>
            <w:pPr>
              <w:spacing w:after="0"/>
              <w:jc w:val="left"/>
            </w:pPr>
            <w:r>
              <w:rPr>
                <w:rFonts w:ascii="Aptos" w:hAnsi="Aptos"/>
                <w:sz w:val="16"/>
              </w:rPr>
            </w:r>
            <w:r>
              <w:rPr>
                <w:rFonts w:ascii="Aptos" w:hAnsi="Aptos"/>
                <w:b w:val="0"/>
                <w:sz w:val="16"/>
              </w:rPr>
              <w:t>Construct short rail, pulse power test yard, cargo sled test loop, rail cooling and anchoring demonstration, and dust intrusion controls.</w:t>
            </w:r>
          </w:p>
        </w:tc>
        <w:tc>
          <w:tcPr>
            <w:tcW w:type="dxa" w:w="3456"/>
            <w:vAlign w:val="top"/>
          </w:tcPr>
          <w:p>
            <w:pPr>
              <w:spacing w:after="0"/>
              <w:jc w:val="left"/>
            </w:pPr>
            <w:r>
              <w:rPr>
                <w:rFonts w:ascii="Aptos" w:hAnsi="Aptos"/>
                <w:sz w:val="16"/>
              </w:rPr>
            </w:r>
            <w:r>
              <w:rPr>
                <w:rFonts w:ascii="Aptos" w:hAnsi="Aptos"/>
                <w:b w:val="0"/>
                <w:sz w:val="16"/>
              </w:rPr>
              <w:t>Cargo sled acceleration, braking, and safe abort demonstrated.</w:t>
            </w:r>
          </w:p>
        </w:tc>
      </w:tr>
      <w:tr>
        <w:tc>
          <w:tcPr>
            <w:tcW w:type="dxa" w:w="3456"/>
            <w:vAlign w:val="top"/>
          </w:tcPr>
          <w:p>
            <w:pPr>
              <w:spacing w:after="0"/>
              <w:jc w:val="left"/>
            </w:pPr>
            <w:r>
              <w:rPr>
                <w:rFonts w:ascii="Aptos" w:hAnsi="Aptos"/>
                <w:sz w:val="16"/>
              </w:rPr>
            </w:r>
            <w:r>
              <w:rPr>
                <w:rFonts w:ascii="Aptos" w:hAnsi="Aptos"/>
                <w:b w:val="0"/>
                <w:sz w:val="16"/>
              </w:rPr>
              <w:t>1C Operational cargo line</w:t>
            </w:r>
          </w:p>
        </w:tc>
        <w:tc>
          <w:tcPr>
            <w:tcW w:type="dxa" w:w="3456"/>
            <w:vAlign w:val="top"/>
          </w:tcPr>
          <w:p>
            <w:pPr>
              <w:spacing w:after="0"/>
              <w:jc w:val="left"/>
            </w:pPr>
            <w:r>
              <w:rPr>
                <w:rFonts w:ascii="Aptos" w:hAnsi="Aptos"/>
                <w:sz w:val="16"/>
              </w:rPr>
            </w:r>
            <w:r>
              <w:rPr>
                <w:rFonts w:ascii="Aptos" w:hAnsi="Aptos"/>
                <w:b w:val="0"/>
                <w:sz w:val="16"/>
              </w:rPr>
              <w:t>Build cargo loading terminal, operational rail segments, terminal release system, sled maintenance hall, and orbital interface support.</w:t>
            </w:r>
          </w:p>
        </w:tc>
        <w:tc>
          <w:tcPr>
            <w:tcW w:type="dxa" w:w="3456"/>
            <w:vAlign w:val="top"/>
          </w:tcPr>
          <w:p>
            <w:pPr>
              <w:spacing w:after="0"/>
              <w:jc w:val="left"/>
            </w:pPr>
            <w:r>
              <w:rPr>
                <w:rFonts w:ascii="Aptos" w:hAnsi="Aptos"/>
                <w:sz w:val="16"/>
              </w:rPr>
            </w:r>
            <w:r>
              <w:rPr>
                <w:rFonts w:ascii="Aptos" w:hAnsi="Aptos"/>
                <w:b w:val="0"/>
                <w:sz w:val="16"/>
              </w:rPr>
              <w:t>Containerized cargo launch certification for approved mass classes.</w:t>
            </w:r>
          </w:p>
        </w:tc>
      </w:tr>
      <w:tr>
        <w:tc>
          <w:tcPr>
            <w:tcW w:type="dxa" w:w="3456"/>
            <w:vAlign w:val="top"/>
          </w:tcPr>
          <w:p>
            <w:pPr>
              <w:spacing w:after="0"/>
              <w:jc w:val="left"/>
            </w:pPr>
            <w:r>
              <w:rPr>
                <w:rFonts w:ascii="Aptos" w:hAnsi="Aptos"/>
                <w:sz w:val="16"/>
              </w:rPr>
            </w:r>
            <w:r>
              <w:rPr>
                <w:rFonts w:ascii="Aptos" w:hAnsi="Aptos"/>
                <w:b w:val="0"/>
                <w:sz w:val="16"/>
              </w:rPr>
              <w:t>2+ High throughput expansion</w:t>
            </w:r>
          </w:p>
        </w:tc>
        <w:tc>
          <w:tcPr>
            <w:tcW w:type="dxa" w:w="3456"/>
            <w:vAlign w:val="top"/>
          </w:tcPr>
          <w:p>
            <w:pPr>
              <w:spacing w:after="0"/>
              <w:jc w:val="left"/>
            </w:pPr>
            <w:r>
              <w:rPr>
                <w:rFonts w:ascii="Aptos" w:hAnsi="Aptos"/>
                <w:sz w:val="16"/>
              </w:rPr>
            </w:r>
            <w:r>
              <w:rPr>
                <w:rFonts w:ascii="Aptos" w:hAnsi="Aptos"/>
                <w:b w:val="0"/>
                <w:sz w:val="16"/>
              </w:rPr>
              <w:t>Extend launch corridor, increase launch cadence, integrate orbital depot routing, and evaluate future dual use feasibility.</w:t>
            </w:r>
          </w:p>
        </w:tc>
        <w:tc>
          <w:tcPr>
            <w:tcW w:type="dxa" w:w="3456"/>
            <w:vAlign w:val="top"/>
          </w:tcPr>
          <w:p>
            <w:pPr>
              <w:spacing w:after="0"/>
              <w:jc w:val="left"/>
            </w:pPr>
            <w:r>
              <w:rPr>
                <w:rFonts w:ascii="Aptos" w:hAnsi="Aptos"/>
                <w:sz w:val="16"/>
              </w:rPr>
            </w:r>
            <w:r>
              <w:rPr>
                <w:rFonts w:ascii="Aptos" w:hAnsi="Aptos"/>
                <w:b w:val="0"/>
                <w:sz w:val="16"/>
              </w:rPr>
              <w:t>Independent safety review and operational economics justify expansion.</w:t>
            </w:r>
          </w:p>
        </w:tc>
      </w:tr>
    </w:tbl>
    <w:p>
      <w:pPr>
        <w:spacing w:after="120"/>
      </w:pPr>
    </w:p>
    <w:p>
      <w:pPr>
        <w:pStyle w:val="Heading2"/>
        <w:spacing w:before="200" w:after="120"/>
      </w:pPr>
      <w:r>
        <w:rPr>
          <w:rFonts w:ascii="Aptos" w:hAnsi="Aptos"/>
          <w:b/>
          <w:sz w:val="24"/>
        </w:rPr>
        <w:t>17.5 Renewable and Directed Energy Systems</w:t>
      </w:r>
    </w:p>
    <w:p>
      <w:pPr>
        <w:spacing w:after="120"/>
      </w:pPr>
      <w:r>
        <w:rPr>
          <w:rFonts w:ascii="Aptos" w:hAnsi="Aptos"/>
          <w:b w:val="0"/>
          <w:i w:val="0"/>
          <w:sz w:val="21"/>
        </w:rPr>
        <w:t>The Rev 2.7 power hierarchy becomes reactor first, solar second, microwave reception third, and emergency protected batteries and fuel cells fourth. The solar and microwave systems reduce dependence on reactor output for noncritical loads and provide peak support for hydrogen reserve rebuilding and high energy industrial operations.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System</w:t>
            </w:r>
          </w:p>
        </w:tc>
        <w:tc>
          <w:tcPr>
            <w:tcW w:type="dxa" w:w="3456"/>
            <w:vAlign w:val="top"/>
            <w:shd w:fill="D9EAF7"/>
          </w:tcPr>
          <w:p>
            <w:pPr>
              <w:spacing w:after="0"/>
              <w:jc w:val="left"/>
            </w:pPr>
            <w:r>
              <w:rPr>
                <w:rFonts w:ascii="Aptos" w:hAnsi="Aptos"/>
                <w:b/>
                <w:sz w:val="16"/>
              </w:rPr>
            </w:r>
            <w:r>
              <w:rPr>
                <w:rFonts w:ascii="Aptos" w:hAnsi="Aptos"/>
                <w:b/>
                <w:sz w:val="16"/>
              </w:rPr>
              <w:t>Primary function</w:t>
            </w:r>
          </w:p>
        </w:tc>
        <w:tc>
          <w:tcPr>
            <w:tcW w:type="dxa" w:w="3456"/>
            <w:vAlign w:val="top"/>
            <w:shd w:fill="D9EAF7"/>
          </w:tcPr>
          <w:p>
            <w:pPr>
              <w:spacing w:after="0"/>
              <w:jc w:val="left"/>
            </w:pPr>
            <w:r>
              <w:rPr>
                <w:rFonts w:ascii="Aptos" w:hAnsi="Aptos"/>
                <w:b/>
                <w:sz w:val="16"/>
              </w:rPr>
            </w:r>
            <w:r>
              <w:rPr>
                <w:rFonts w:ascii="Aptos" w:hAnsi="Aptos"/>
                <w:b/>
                <w:sz w:val="16"/>
              </w:rPr>
              <w:t>Utility integration</w:t>
            </w:r>
          </w:p>
        </w:tc>
      </w:tr>
      <w:tr>
        <w:tc>
          <w:tcPr>
            <w:tcW w:type="dxa" w:w="3456"/>
            <w:vAlign w:val="top"/>
          </w:tcPr>
          <w:p>
            <w:pPr>
              <w:spacing w:after="0"/>
              <w:jc w:val="left"/>
            </w:pPr>
            <w:r>
              <w:rPr>
                <w:rFonts w:ascii="Aptos" w:hAnsi="Aptos"/>
                <w:sz w:val="16"/>
              </w:rPr>
            </w:r>
            <w:r>
              <w:rPr>
                <w:rFonts w:ascii="Aptos" w:hAnsi="Aptos"/>
                <w:b w:val="0"/>
                <w:sz w:val="16"/>
              </w:rPr>
              <w:t>Surface solar farm</w:t>
            </w:r>
          </w:p>
        </w:tc>
        <w:tc>
          <w:tcPr>
            <w:tcW w:type="dxa" w:w="3456"/>
            <w:vAlign w:val="top"/>
          </w:tcPr>
          <w:p>
            <w:pPr>
              <w:spacing w:after="0"/>
              <w:jc w:val="left"/>
            </w:pPr>
            <w:r>
              <w:rPr>
                <w:rFonts w:ascii="Aptos" w:hAnsi="Aptos"/>
                <w:sz w:val="16"/>
              </w:rPr>
            </w:r>
            <w:r>
              <w:rPr>
                <w:rFonts w:ascii="Aptos" w:hAnsi="Aptos"/>
                <w:b w:val="0"/>
                <w:sz w:val="16"/>
              </w:rPr>
              <w:t>Provide resilient renewable energy from polar illumination zones.</w:t>
            </w:r>
          </w:p>
        </w:tc>
        <w:tc>
          <w:tcPr>
            <w:tcW w:type="dxa" w:w="3456"/>
            <w:vAlign w:val="top"/>
          </w:tcPr>
          <w:p>
            <w:pPr>
              <w:spacing w:after="0"/>
              <w:jc w:val="left"/>
            </w:pPr>
            <w:r>
              <w:rPr>
                <w:rFonts w:ascii="Aptos" w:hAnsi="Aptos"/>
                <w:sz w:val="16"/>
              </w:rPr>
            </w:r>
            <w:r>
              <w:rPr>
                <w:rFonts w:ascii="Aptos" w:hAnsi="Aptos"/>
                <w:b w:val="0"/>
                <w:sz w:val="16"/>
              </w:rPr>
              <w:t>Local storage and HVDC export through Corridor P6. Supports noncritical loads, reserve charging, and hydrogen production when reserves are below green threshold.</w:t>
            </w:r>
          </w:p>
        </w:tc>
      </w:tr>
      <w:tr>
        <w:tc>
          <w:tcPr>
            <w:tcW w:type="dxa" w:w="3456"/>
            <w:vAlign w:val="top"/>
          </w:tcPr>
          <w:p>
            <w:pPr>
              <w:spacing w:after="0"/>
              <w:jc w:val="left"/>
            </w:pPr>
            <w:r>
              <w:rPr>
                <w:rFonts w:ascii="Aptos" w:hAnsi="Aptos"/>
                <w:sz w:val="16"/>
              </w:rPr>
            </w:r>
            <w:r>
              <w:rPr>
                <w:rFonts w:ascii="Aptos" w:hAnsi="Aptos"/>
                <w:b w:val="0"/>
                <w:sz w:val="16"/>
              </w:rPr>
              <w:t>Microwave power receiver</w:t>
            </w:r>
          </w:p>
        </w:tc>
        <w:tc>
          <w:tcPr>
            <w:tcW w:type="dxa" w:w="3456"/>
            <w:vAlign w:val="top"/>
          </w:tcPr>
          <w:p>
            <w:pPr>
              <w:spacing w:after="0"/>
              <w:jc w:val="left"/>
            </w:pPr>
            <w:r>
              <w:rPr>
                <w:rFonts w:ascii="Aptos" w:hAnsi="Aptos"/>
                <w:sz w:val="16"/>
              </w:rPr>
            </w:r>
            <w:r>
              <w:rPr>
                <w:rFonts w:ascii="Aptos" w:hAnsi="Aptos"/>
                <w:b w:val="0"/>
                <w:sz w:val="16"/>
              </w:rPr>
              <w:t>Receive beamed power from orbital or remote generation assets.</w:t>
            </w:r>
          </w:p>
        </w:tc>
        <w:tc>
          <w:tcPr>
            <w:tcW w:type="dxa" w:w="3456"/>
            <w:vAlign w:val="top"/>
          </w:tcPr>
          <w:p>
            <w:pPr>
              <w:spacing w:after="0"/>
              <w:jc w:val="left"/>
            </w:pPr>
            <w:r>
              <w:rPr>
                <w:rFonts w:ascii="Aptos" w:hAnsi="Aptos"/>
                <w:sz w:val="16"/>
              </w:rPr>
            </w:r>
            <w:r>
              <w:rPr>
                <w:rFonts w:ascii="Aptos" w:hAnsi="Aptos"/>
                <w:b w:val="0"/>
                <w:sz w:val="16"/>
              </w:rPr>
              <w:t>Rectenna field to conditioning station to HVDC tie. Automatic beam shutdown, exclusion enforcement, and thermal rejection required.</w:t>
            </w:r>
          </w:p>
        </w:tc>
      </w:tr>
      <w:tr>
        <w:tc>
          <w:tcPr>
            <w:tcW w:type="dxa" w:w="3456"/>
            <w:vAlign w:val="top"/>
          </w:tcPr>
          <w:p>
            <w:pPr>
              <w:spacing w:after="0"/>
              <w:jc w:val="left"/>
            </w:pPr>
            <w:r>
              <w:rPr>
                <w:rFonts w:ascii="Aptos" w:hAnsi="Aptos"/>
                <w:sz w:val="16"/>
              </w:rPr>
            </w:r>
            <w:r>
              <w:rPr>
                <w:rFonts w:ascii="Aptos" w:hAnsi="Aptos"/>
                <w:b w:val="0"/>
                <w:sz w:val="16"/>
              </w:rPr>
              <w:t>Power conditioning and storage</w:t>
            </w:r>
          </w:p>
        </w:tc>
        <w:tc>
          <w:tcPr>
            <w:tcW w:type="dxa" w:w="3456"/>
            <w:vAlign w:val="top"/>
          </w:tcPr>
          <w:p>
            <w:pPr>
              <w:spacing w:after="0"/>
              <w:jc w:val="left"/>
            </w:pPr>
            <w:r>
              <w:rPr>
                <w:rFonts w:ascii="Aptos" w:hAnsi="Aptos"/>
                <w:sz w:val="16"/>
              </w:rPr>
            </w:r>
            <w:r>
              <w:rPr>
                <w:rFonts w:ascii="Aptos" w:hAnsi="Aptos"/>
                <w:b w:val="0"/>
                <w:sz w:val="16"/>
              </w:rPr>
              <w:t>Stabilize intermittent or beamed inputs before grid injection.</w:t>
            </w:r>
          </w:p>
        </w:tc>
        <w:tc>
          <w:tcPr>
            <w:tcW w:type="dxa" w:w="3456"/>
            <w:vAlign w:val="top"/>
          </w:tcPr>
          <w:p>
            <w:pPr>
              <w:spacing w:after="0"/>
              <w:jc w:val="left"/>
            </w:pPr>
            <w:r>
              <w:rPr>
                <w:rFonts w:ascii="Aptos" w:hAnsi="Aptos"/>
                <w:sz w:val="16"/>
              </w:rPr>
            </w:r>
            <w:r>
              <w:rPr>
                <w:rFonts w:ascii="Aptos" w:hAnsi="Aptos"/>
                <w:b w:val="0"/>
                <w:sz w:val="16"/>
              </w:rPr>
              <w:t>Dedicated converter yard, local batteries, isolation breakers, and grid synchronization controls.</w:t>
            </w:r>
          </w:p>
        </w:tc>
      </w:tr>
      <w:tr>
        <w:tc>
          <w:tcPr>
            <w:tcW w:type="dxa" w:w="3456"/>
            <w:vAlign w:val="top"/>
          </w:tcPr>
          <w:p>
            <w:pPr>
              <w:spacing w:after="0"/>
              <w:jc w:val="left"/>
            </w:pPr>
            <w:r>
              <w:rPr>
                <w:rFonts w:ascii="Aptos" w:hAnsi="Aptos"/>
                <w:sz w:val="16"/>
              </w:rPr>
            </w:r>
            <w:r>
              <w:rPr>
                <w:rFonts w:ascii="Aptos" w:hAnsi="Aptos"/>
                <w:b w:val="0"/>
                <w:sz w:val="16"/>
              </w:rPr>
              <w:t>Launch rail pulse power support</w:t>
            </w:r>
          </w:p>
        </w:tc>
        <w:tc>
          <w:tcPr>
            <w:tcW w:type="dxa" w:w="3456"/>
            <w:vAlign w:val="top"/>
          </w:tcPr>
          <w:p>
            <w:pPr>
              <w:spacing w:after="0"/>
              <w:jc w:val="left"/>
            </w:pPr>
            <w:r>
              <w:rPr>
                <w:rFonts w:ascii="Aptos" w:hAnsi="Aptos"/>
                <w:sz w:val="16"/>
              </w:rPr>
            </w:r>
            <w:r>
              <w:rPr>
                <w:rFonts w:ascii="Aptos" w:hAnsi="Aptos"/>
                <w:b w:val="0"/>
                <w:sz w:val="16"/>
              </w:rPr>
              <w:t>Charge rail pulse power banks from available generation.</w:t>
            </w:r>
          </w:p>
        </w:tc>
        <w:tc>
          <w:tcPr>
            <w:tcW w:type="dxa" w:w="3456"/>
            <w:vAlign w:val="top"/>
          </w:tcPr>
          <w:p>
            <w:pPr>
              <w:spacing w:after="0"/>
              <w:jc w:val="left"/>
            </w:pPr>
            <w:r>
              <w:rPr>
                <w:rFonts w:ascii="Aptos" w:hAnsi="Aptos"/>
                <w:sz w:val="16"/>
              </w:rPr>
            </w:r>
            <w:r>
              <w:rPr>
                <w:rFonts w:ascii="Aptos" w:hAnsi="Aptos"/>
                <w:b w:val="0"/>
                <w:sz w:val="16"/>
              </w:rPr>
              <w:t>Treated as interruptible industrial load. Must never reduce refuge, medical, command, or emergency power readiness.</w:t>
            </w:r>
          </w:p>
        </w:tc>
      </w:tr>
    </w:tbl>
    <w:p>
      <w:pPr>
        <w:spacing w:after="120"/>
      </w:pPr>
    </w:p>
    <w:p>
      <w:pPr>
        <w:pStyle w:val="Heading2"/>
        <w:spacing w:before="200" w:after="120"/>
      </w:pPr>
      <w:r>
        <w:rPr>
          <w:rFonts w:ascii="Aptos" w:hAnsi="Aptos"/>
          <w:b/>
          <w:sz w:val="24"/>
        </w:rPr>
        <w:t>17.6 Lunar Seismic Monitoring and Structural Geophysics</w:t>
      </w:r>
    </w:p>
    <w:p>
      <w:pPr>
        <w:spacing w:after="120"/>
      </w:pPr>
      <w:r>
        <w:rPr>
          <w:rFonts w:ascii="Aptos" w:hAnsi="Aptos"/>
          <w:b w:val="0"/>
          <w:i w:val="0"/>
          <w:sz w:val="21"/>
        </w:rPr>
        <w:t>The seismic system is a safety and science asset. It supports moonquake detection, impact warning, excavation control, foundation monitoring, shaft health, launch rail alignment assurance, and spaceport pad resilience.</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Subsystem</w:t>
            </w:r>
          </w:p>
        </w:tc>
        <w:tc>
          <w:tcPr>
            <w:tcW w:type="dxa" w:w="3456"/>
            <w:vAlign w:val="top"/>
            <w:shd w:fill="D9EAF7"/>
          </w:tcPr>
          <w:p>
            <w:pPr>
              <w:spacing w:after="0"/>
              <w:jc w:val="left"/>
            </w:pPr>
            <w:r>
              <w:rPr>
                <w:rFonts w:ascii="Aptos" w:hAnsi="Aptos"/>
                <w:b/>
                <w:sz w:val="16"/>
              </w:rPr>
            </w:r>
            <w:r>
              <w:rPr>
                <w:rFonts w:ascii="Aptos" w:hAnsi="Aptos"/>
                <w:b/>
                <w:sz w:val="16"/>
              </w:rPr>
              <w:t>Coverage</w:t>
            </w:r>
          </w:p>
        </w:tc>
        <w:tc>
          <w:tcPr>
            <w:tcW w:type="dxa" w:w="3456"/>
            <w:vAlign w:val="top"/>
            <w:shd w:fill="D9EAF7"/>
          </w:tcPr>
          <w:p>
            <w:pPr>
              <w:spacing w:after="0"/>
              <w:jc w:val="left"/>
            </w:pPr>
            <w:r>
              <w:rPr>
                <w:rFonts w:ascii="Aptos" w:hAnsi="Aptos"/>
                <w:b/>
                <w:sz w:val="16"/>
              </w:rPr>
            </w:r>
            <w:r>
              <w:rPr>
                <w:rFonts w:ascii="Aptos" w:hAnsi="Aptos"/>
                <w:b/>
                <w:sz w:val="16"/>
              </w:rPr>
              <w:t>Operational use</w:t>
            </w:r>
          </w:p>
        </w:tc>
      </w:tr>
      <w:tr>
        <w:tc>
          <w:tcPr>
            <w:tcW w:type="dxa" w:w="3456"/>
            <w:vAlign w:val="top"/>
          </w:tcPr>
          <w:p>
            <w:pPr>
              <w:spacing w:after="0"/>
              <w:jc w:val="left"/>
            </w:pPr>
            <w:r>
              <w:rPr>
                <w:rFonts w:ascii="Aptos" w:hAnsi="Aptos"/>
                <w:sz w:val="16"/>
              </w:rPr>
            </w:r>
            <w:r>
              <w:rPr>
                <w:rFonts w:ascii="Aptos" w:hAnsi="Aptos"/>
                <w:b w:val="0"/>
                <w:sz w:val="16"/>
              </w:rPr>
              <w:t>Local base seismic ring</w:t>
            </w:r>
          </w:p>
        </w:tc>
        <w:tc>
          <w:tcPr>
            <w:tcW w:type="dxa" w:w="3456"/>
            <w:vAlign w:val="top"/>
          </w:tcPr>
          <w:p>
            <w:pPr>
              <w:spacing w:after="0"/>
              <w:jc w:val="left"/>
            </w:pPr>
            <w:r>
              <w:rPr>
                <w:rFonts w:ascii="Aptos" w:hAnsi="Aptos"/>
                <w:sz w:val="16"/>
              </w:rPr>
            </w:r>
            <w:r>
              <w:rPr>
                <w:rFonts w:ascii="Aptos" w:hAnsi="Aptos"/>
                <w:b w:val="0"/>
                <w:sz w:val="16"/>
              </w:rPr>
              <w:t>Habitat, shafts, refuge clusters, power island, mineral district, spaceport, and rail terminal.</w:t>
            </w:r>
          </w:p>
        </w:tc>
        <w:tc>
          <w:tcPr>
            <w:tcW w:type="dxa" w:w="3456"/>
            <w:vAlign w:val="top"/>
          </w:tcPr>
          <w:p>
            <w:pPr>
              <w:spacing w:after="0"/>
              <w:jc w:val="left"/>
            </w:pPr>
            <w:r>
              <w:rPr>
                <w:rFonts w:ascii="Aptos" w:hAnsi="Aptos"/>
                <w:sz w:val="16"/>
              </w:rPr>
            </w:r>
            <w:r>
              <w:rPr>
                <w:rFonts w:ascii="Aptos" w:hAnsi="Aptos"/>
                <w:b w:val="0"/>
                <w:sz w:val="16"/>
              </w:rPr>
              <w:t>Detect local vibration, settlement, moonquake response, and construction induced changes.</w:t>
            </w:r>
          </w:p>
        </w:tc>
      </w:tr>
      <w:tr>
        <w:tc>
          <w:tcPr>
            <w:tcW w:type="dxa" w:w="3456"/>
            <w:vAlign w:val="top"/>
          </w:tcPr>
          <w:p>
            <w:pPr>
              <w:spacing w:after="0"/>
              <w:jc w:val="left"/>
            </w:pPr>
            <w:r>
              <w:rPr>
                <w:rFonts w:ascii="Aptos" w:hAnsi="Aptos"/>
                <w:sz w:val="16"/>
              </w:rPr>
            </w:r>
            <w:r>
              <w:rPr>
                <w:rFonts w:ascii="Aptos" w:hAnsi="Aptos"/>
                <w:b w:val="0"/>
                <w:sz w:val="16"/>
              </w:rPr>
              <w:t>Regional seismic stations</w:t>
            </w:r>
          </w:p>
        </w:tc>
        <w:tc>
          <w:tcPr>
            <w:tcW w:type="dxa" w:w="3456"/>
            <w:vAlign w:val="top"/>
          </w:tcPr>
          <w:p>
            <w:pPr>
              <w:spacing w:after="0"/>
              <w:jc w:val="left"/>
            </w:pPr>
            <w:r>
              <w:rPr>
                <w:rFonts w:ascii="Aptos" w:hAnsi="Aptos"/>
                <w:sz w:val="16"/>
              </w:rPr>
            </w:r>
            <w:r>
              <w:rPr>
                <w:rFonts w:ascii="Aptos" w:hAnsi="Aptos"/>
                <w:b w:val="0"/>
                <w:sz w:val="16"/>
              </w:rPr>
              <w:t>Outlying south polar terrain and volatile access routes.</w:t>
            </w:r>
          </w:p>
        </w:tc>
        <w:tc>
          <w:tcPr>
            <w:tcW w:type="dxa" w:w="3456"/>
            <w:vAlign w:val="top"/>
          </w:tcPr>
          <w:p>
            <w:pPr>
              <w:spacing w:after="0"/>
              <w:jc w:val="left"/>
            </w:pPr>
            <w:r>
              <w:rPr>
                <w:rFonts w:ascii="Aptos" w:hAnsi="Aptos"/>
                <w:sz w:val="16"/>
              </w:rPr>
            </w:r>
            <w:r>
              <w:rPr>
                <w:rFonts w:ascii="Aptos" w:hAnsi="Aptos"/>
                <w:b w:val="0"/>
                <w:sz w:val="16"/>
              </w:rPr>
              <w:t>Improve regional hazard awareness and scientific return.</w:t>
            </w:r>
          </w:p>
        </w:tc>
      </w:tr>
      <w:tr>
        <w:tc>
          <w:tcPr>
            <w:tcW w:type="dxa" w:w="3456"/>
            <w:vAlign w:val="top"/>
          </w:tcPr>
          <w:p>
            <w:pPr>
              <w:spacing w:after="0"/>
              <w:jc w:val="left"/>
            </w:pPr>
            <w:r>
              <w:rPr>
                <w:rFonts w:ascii="Aptos" w:hAnsi="Aptos"/>
                <w:sz w:val="16"/>
              </w:rPr>
            </w:r>
            <w:r>
              <w:rPr>
                <w:rFonts w:ascii="Aptos" w:hAnsi="Aptos"/>
                <w:b w:val="0"/>
                <w:sz w:val="16"/>
              </w:rPr>
              <w:t>Structural health monitoring</w:t>
            </w:r>
          </w:p>
        </w:tc>
        <w:tc>
          <w:tcPr>
            <w:tcW w:type="dxa" w:w="3456"/>
            <w:vAlign w:val="top"/>
          </w:tcPr>
          <w:p>
            <w:pPr>
              <w:spacing w:after="0"/>
              <w:jc w:val="left"/>
            </w:pPr>
            <w:r>
              <w:rPr>
                <w:rFonts w:ascii="Aptos" w:hAnsi="Aptos"/>
                <w:sz w:val="16"/>
              </w:rPr>
            </w:r>
            <w:r>
              <w:rPr>
                <w:rFonts w:ascii="Aptos" w:hAnsi="Aptos"/>
                <w:b w:val="0"/>
                <w:sz w:val="16"/>
              </w:rPr>
              <w:t>Shaft liners, pressure shell interfaces, rail bed, landing pads, berms, and utility corridors.</w:t>
            </w:r>
          </w:p>
        </w:tc>
        <w:tc>
          <w:tcPr>
            <w:tcW w:type="dxa" w:w="3456"/>
            <w:vAlign w:val="top"/>
          </w:tcPr>
          <w:p>
            <w:pPr>
              <w:spacing w:after="0"/>
              <w:jc w:val="left"/>
            </w:pPr>
            <w:r>
              <w:rPr>
                <w:rFonts w:ascii="Aptos" w:hAnsi="Aptos"/>
                <w:sz w:val="16"/>
              </w:rPr>
            </w:r>
            <w:r>
              <w:rPr>
                <w:rFonts w:ascii="Aptos" w:hAnsi="Aptos"/>
                <w:b w:val="0"/>
                <w:sz w:val="16"/>
              </w:rPr>
              <w:t>Trigger inspection or shutdown when vibration or strain thresholds are exceeded.</w:t>
            </w:r>
          </w:p>
        </w:tc>
      </w:tr>
      <w:tr>
        <w:tc>
          <w:tcPr>
            <w:tcW w:type="dxa" w:w="3456"/>
            <w:vAlign w:val="top"/>
          </w:tcPr>
          <w:p>
            <w:pPr>
              <w:spacing w:after="0"/>
              <w:jc w:val="left"/>
            </w:pPr>
            <w:r>
              <w:rPr>
                <w:rFonts w:ascii="Aptos" w:hAnsi="Aptos"/>
                <w:sz w:val="16"/>
              </w:rPr>
            </w:r>
            <w:r>
              <w:rPr>
                <w:rFonts w:ascii="Aptos" w:hAnsi="Aptos"/>
                <w:b w:val="0"/>
                <w:sz w:val="16"/>
              </w:rPr>
              <w:t>Geophysical data center</w:t>
            </w:r>
          </w:p>
        </w:tc>
        <w:tc>
          <w:tcPr>
            <w:tcW w:type="dxa" w:w="3456"/>
            <w:vAlign w:val="top"/>
          </w:tcPr>
          <w:p>
            <w:pPr>
              <w:spacing w:after="0"/>
              <w:jc w:val="left"/>
            </w:pPr>
            <w:r>
              <w:rPr>
                <w:rFonts w:ascii="Aptos" w:hAnsi="Aptos"/>
                <w:sz w:val="16"/>
              </w:rPr>
            </w:r>
            <w:r>
              <w:rPr>
                <w:rFonts w:ascii="Aptos" w:hAnsi="Aptos"/>
                <w:b w:val="0"/>
                <w:sz w:val="16"/>
              </w:rPr>
              <w:t>Mission control and alternate command integration.</w:t>
            </w:r>
          </w:p>
        </w:tc>
        <w:tc>
          <w:tcPr>
            <w:tcW w:type="dxa" w:w="3456"/>
            <w:vAlign w:val="top"/>
          </w:tcPr>
          <w:p>
            <w:pPr>
              <w:spacing w:after="0"/>
              <w:jc w:val="left"/>
            </w:pPr>
            <w:r>
              <w:rPr>
                <w:rFonts w:ascii="Aptos" w:hAnsi="Aptos"/>
                <w:sz w:val="16"/>
              </w:rPr>
            </w:r>
            <w:r>
              <w:rPr>
                <w:rFonts w:ascii="Aptos" w:hAnsi="Aptos"/>
                <w:b w:val="0"/>
                <w:sz w:val="16"/>
              </w:rPr>
              <w:t>Stores seismic data, informs excavation planning, supports tenant assurance and emergency response.</w:t>
            </w:r>
          </w:p>
        </w:tc>
      </w:tr>
    </w:tbl>
    <w:p>
      <w:pPr>
        <w:spacing w:after="120"/>
      </w:pPr>
    </w:p>
    <w:p>
      <w:pPr>
        <w:pStyle w:val="Heading2"/>
        <w:spacing w:before="200" w:after="120"/>
      </w:pPr>
      <w:r>
        <w:rPr>
          <w:rFonts w:ascii="Aptos" w:hAnsi="Aptos"/>
          <w:b/>
          <w:sz w:val="24"/>
        </w:rPr>
        <w:t>17.7 Separate Mineral Processing Facility</w:t>
      </w:r>
    </w:p>
    <w:p>
      <w:pPr>
        <w:spacing w:after="120"/>
      </w:pPr>
      <w:r>
        <w:rPr>
          <w:rFonts w:ascii="Aptos" w:hAnsi="Aptos"/>
          <w:b w:val="0"/>
          <w:i w:val="0"/>
          <w:sz w:val="21"/>
        </w:rPr>
        <w:t>The mineral processing facility is physically separated from the volatile extraction and life support plant. Separation is required because mineral processing introduces higher dust load, vibration, heat rejection demand, chemical risk, and slag or residue handling.</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Facility area</w:t>
            </w:r>
          </w:p>
        </w:tc>
        <w:tc>
          <w:tcPr>
            <w:tcW w:type="dxa" w:w="3456"/>
            <w:vAlign w:val="top"/>
            <w:shd w:fill="D9EAF7"/>
          </w:tcPr>
          <w:p>
            <w:pPr>
              <w:spacing w:after="0"/>
              <w:jc w:val="left"/>
            </w:pPr>
            <w:r>
              <w:rPr>
                <w:rFonts w:ascii="Aptos" w:hAnsi="Aptos"/>
                <w:b/>
                <w:sz w:val="16"/>
              </w:rPr>
            </w:r>
            <w:r>
              <w:rPr>
                <w:rFonts w:ascii="Aptos" w:hAnsi="Aptos"/>
                <w:b/>
                <w:sz w:val="16"/>
              </w:rPr>
              <w:t>Function</w:t>
            </w:r>
          </w:p>
        </w:tc>
        <w:tc>
          <w:tcPr>
            <w:tcW w:type="dxa" w:w="3456"/>
            <w:vAlign w:val="top"/>
            <w:shd w:fill="D9EAF7"/>
          </w:tcPr>
          <w:p>
            <w:pPr>
              <w:spacing w:after="0"/>
              <w:jc w:val="left"/>
            </w:pPr>
            <w:r>
              <w:rPr>
                <w:rFonts w:ascii="Aptos" w:hAnsi="Aptos"/>
                <w:b/>
                <w:sz w:val="16"/>
              </w:rPr>
            </w:r>
            <w:r>
              <w:rPr>
                <w:rFonts w:ascii="Aptos" w:hAnsi="Aptos"/>
                <w:b/>
                <w:sz w:val="16"/>
              </w:rPr>
              <w:t>Major equipment</w:t>
            </w:r>
          </w:p>
        </w:tc>
      </w:tr>
      <w:tr>
        <w:tc>
          <w:tcPr>
            <w:tcW w:type="dxa" w:w="3456"/>
            <w:vAlign w:val="top"/>
          </w:tcPr>
          <w:p>
            <w:pPr>
              <w:spacing w:after="0"/>
              <w:jc w:val="left"/>
            </w:pPr>
            <w:r>
              <w:rPr>
                <w:rFonts w:ascii="Aptos" w:hAnsi="Aptos"/>
                <w:sz w:val="16"/>
              </w:rPr>
            </w:r>
            <w:r>
              <w:rPr>
                <w:rFonts w:ascii="Aptos" w:hAnsi="Aptos"/>
                <w:b w:val="0"/>
                <w:sz w:val="16"/>
              </w:rPr>
              <w:t>H1 Raw mineral receiving yard</w:t>
            </w:r>
          </w:p>
        </w:tc>
        <w:tc>
          <w:tcPr>
            <w:tcW w:type="dxa" w:w="3456"/>
            <w:vAlign w:val="top"/>
          </w:tcPr>
          <w:p>
            <w:pPr>
              <w:spacing w:after="0"/>
              <w:jc w:val="left"/>
            </w:pPr>
            <w:r>
              <w:rPr>
                <w:rFonts w:ascii="Aptos" w:hAnsi="Aptos"/>
                <w:sz w:val="16"/>
              </w:rPr>
            </w:r>
            <w:r>
              <w:rPr>
                <w:rFonts w:ascii="Aptos" w:hAnsi="Aptos"/>
                <w:b w:val="0"/>
                <w:sz w:val="16"/>
              </w:rPr>
              <w:t>Receive, weigh, sample, and buffer mineral feedstock.</w:t>
            </w:r>
          </w:p>
        </w:tc>
        <w:tc>
          <w:tcPr>
            <w:tcW w:type="dxa" w:w="3456"/>
            <w:vAlign w:val="top"/>
          </w:tcPr>
          <w:p>
            <w:pPr>
              <w:spacing w:after="0"/>
              <w:jc w:val="left"/>
            </w:pPr>
            <w:r>
              <w:rPr>
                <w:rFonts w:ascii="Aptos" w:hAnsi="Aptos"/>
                <w:sz w:val="16"/>
              </w:rPr>
            </w:r>
            <w:r>
              <w:rPr>
                <w:rFonts w:ascii="Aptos" w:hAnsi="Aptos"/>
                <w:b w:val="0"/>
                <w:sz w:val="16"/>
              </w:rPr>
              <w:t>Dump points, sealed hoppers, sample stations, dust containment, haulage docks.</w:t>
            </w:r>
          </w:p>
        </w:tc>
      </w:tr>
      <w:tr>
        <w:tc>
          <w:tcPr>
            <w:tcW w:type="dxa" w:w="3456"/>
            <w:vAlign w:val="top"/>
          </w:tcPr>
          <w:p>
            <w:pPr>
              <w:spacing w:after="0"/>
              <w:jc w:val="left"/>
            </w:pPr>
            <w:r>
              <w:rPr>
                <w:rFonts w:ascii="Aptos" w:hAnsi="Aptos"/>
                <w:sz w:val="16"/>
              </w:rPr>
            </w:r>
            <w:r>
              <w:rPr>
                <w:rFonts w:ascii="Aptos" w:hAnsi="Aptos"/>
                <w:b w:val="0"/>
                <w:sz w:val="16"/>
              </w:rPr>
              <w:t>H2 Beneficiation hall</w:t>
            </w:r>
          </w:p>
        </w:tc>
        <w:tc>
          <w:tcPr>
            <w:tcW w:type="dxa" w:w="3456"/>
            <w:vAlign w:val="top"/>
          </w:tcPr>
          <w:p>
            <w:pPr>
              <w:spacing w:after="0"/>
              <w:jc w:val="left"/>
            </w:pPr>
            <w:r>
              <w:rPr>
                <w:rFonts w:ascii="Aptos" w:hAnsi="Aptos"/>
                <w:sz w:val="16"/>
              </w:rPr>
            </w:r>
            <w:r>
              <w:rPr>
                <w:rFonts w:ascii="Aptos" w:hAnsi="Aptos"/>
                <w:b w:val="0"/>
                <w:sz w:val="16"/>
              </w:rPr>
              <w:t>Crush, screen, classify, magnetically separate, and electrostatically sort feedstock.</w:t>
            </w:r>
          </w:p>
        </w:tc>
        <w:tc>
          <w:tcPr>
            <w:tcW w:type="dxa" w:w="3456"/>
            <w:vAlign w:val="top"/>
          </w:tcPr>
          <w:p>
            <w:pPr>
              <w:spacing w:after="0"/>
              <w:jc w:val="left"/>
            </w:pPr>
            <w:r>
              <w:rPr>
                <w:rFonts w:ascii="Aptos" w:hAnsi="Aptos"/>
                <w:sz w:val="16"/>
              </w:rPr>
            </w:r>
            <w:r>
              <w:rPr>
                <w:rFonts w:ascii="Aptos" w:hAnsi="Aptos"/>
                <w:b w:val="0"/>
                <w:sz w:val="16"/>
              </w:rPr>
              <w:t>Crushers, screens, magnetic separators, electrostatic separators, conveyors, dust collectors.</w:t>
            </w:r>
          </w:p>
        </w:tc>
      </w:tr>
      <w:tr>
        <w:tc>
          <w:tcPr>
            <w:tcW w:type="dxa" w:w="3456"/>
            <w:vAlign w:val="top"/>
          </w:tcPr>
          <w:p>
            <w:pPr>
              <w:spacing w:after="0"/>
              <w:jc w:val="left"/>
            </w:pPr>
            <w:r>
              <w:rPr>
                <w:rFonts w:ascii="Aptos" w:hAnsi="Aptos"/>
                <w:sz w:val="16"/>
              </w:rPr>
            </w:r>
            <w:r>
              <w:rPr>
                <w:rFonts w:ascii="Aptos" w:hAnsi="Aptos"/>
                <w:b w:val="0"/>
                <w:sz w:val="16"/>
              </w:rPr>
              <w:t>H3 Oxide and salt processing hall</w:t>
            </w:r>
          </w:p>
        </w:tc>
        <w:tc>
          <w:tcPr>
            <w:tcW w:type="dxa" w:w="3456"/>
            <w:vAlign w:val="top"/>
          </w:tcPr>
          <w:p>
            <w:pPr>
              <w:spacing w:after="0"/>
              <w:jc w:val="left"/>
            </w:pPr>
            <w:r>
              <w:rPr>
                <w:rFonts w:ascii="Aptos" w:hAnsi="Aptos"/>
                <w:sz w:val="16"/>
              </w:rPr>
            </w:r>
            <w:r>
              <w:rPr>
                <w:rFonts w:ascii="Aptos" w:hAnsi="Aptos"/>
                <w:b w:val="0"/>
                <w:sz w:val="16"/>
              </w:rPr>
              <w:t>Process oxygen bearing minerals, chlorides, sulfates, carbonates, and brine residue analog products.</w:t>
            </w:r>
          </w:p>
        </w:tc>
        <w:tc>
          <w:tcPr>
            <w:tcW w:type="dxa" w:w="3456"/>
            <w:vAlign w:val="top"/>
          </w:tcPr>
          <w:p>
            <w:pPr>
              <w:spacing w:after="0"/>
              <w:jc w:val="left"/>
            </w:pPr>
            <w:r>
              <w:rPr>
                <w:rFonts w:ascii="Aptos" w:hAnsi="Aptos"/>
                <w:sz w:val="16"/>
              </w:rPr>
            </w:r>
            <w:r>
              <w:rPr>
                <w:rFonts w:ascii="Aptos" w:hAnsi="Aptos"/>
                <w:b w:val="0"/>
                <w:sz w:val="16"/>
              </w:rPr>
              <w:t>Thermal reactors, electrochemical cells, condensers, scrubbers, byproduct capture systems.</w:t>
            </w:r>
          </w:p>
        </w:tc>
      </w:tr>
      <w:tr>
        <w:tc>
          <w:tcPr>
            <w:tcW w:type="dxa" w:w="3456"/>
            <w:vAlign w:val="top"/>
          </w:tcPr>
          <w:p>
            <w:pPr>
              <w:spacing w:after="0"/>
              <w:jc w:val="left"/>
            </w:pPr>
            <w:r>
              <w:rPr>
                <w:rFonts w:ascii="Aptos" w:hAnsi="Aptos"/>
                <w:sz w:val="16"/>
              </w:rPr>
            </w:r>
            <w:r>
              <w:rPr>
                <w:rFonts w:ascii="Aptos" w:hAnsi="Aptos"/>
                <w:b w:val="0"/>
                <w:sz w:val="16"/>
              </w:rPr>
              <w:t>H4 Metals recovery hall</w:t>
            </w:r>
          </w:p>
        </w:tc>
        <w:tc>
          <w:tcPr>
            <w:tcW w:type="dxa" w:w="3456"/>
            <w:vAlign w:val="top"/>
          </w:tcPr>
          <w:p>
            <w:pPr>
              <w:spacing w:after="0"/>
              <w:jc w:val="left"/>
            </w:pPr>
            <w:r>
              <w:rPr>
                <w:rFonts w:ascii="Aptos" w:hAnsi="Aptos"/>
                <w:sz w:val="16"/>
              </w:rPr>
            </w:r>
            <w:r>
              <w:rPr>
                <w:rFonts w:ascii="Aptos" w:hAnsi="Aptos"/>
                <w:b w:val="0"/>
                <w:sz w:val="16"/>
              </w:rPr>
              <w:t>Recover iron, titanium, aluminum, magnesium, nickel, and starter alloys where practical.</w:t>
            </w:r>
          </w:p>
        </w:tc>
        <w:tc>
          <w:tcPr>
            <w:tcW w:type="dxa" w:w="3456"/>
            <w:vAlign w:val="top"/>
          </w:tcPr>
          <w:p>
            <w:pPr>
              <w:spacing w:after="0"/>
              <w:jc w:val="left"/>
            </w:pPr>
            <w:r>
              <w:rPr>
                <w:rFonts w:ascii="Aptos" w:hAnsi="Aptos"/>
                <w:sz w:val="16"/>
              </w:rPr>
            </w:r>
            <w:r>
              <w:rPr>
                <w:rFonts w:ascii="Aptos" w:hAnsi="Aptos"/>
                <w:b w:val="0"/>
                <w:sz w:val="16"/>
              </w:rPr>
              <w:t>Reduction modules, electrorefining cells, casting or consolidation stations, robotic handlers.</w:t>
            </w:r>
          </w:p>
        </w:tc>
      </w:tr>
      <w:tr>
        <w:tc>
          <w:tcPr>
            <w:tcW w:type="dxa" w:w="3456"/>
            <w:vAlign w:val="top"/>
          </w:tcPr>
          <w:p>
            <w:pPr>
              <w:spacing w:after="0"/>
              <w:jc w:val="left"/>
            </w:pPr>
            <w:r>
              <w:rPr>
                <w:rFonts w:ascii="Aptos" w:hAnsi="Aptos"/>
                <w:sz w:val="16"/>
              </w:rPr>
            </w:r>
            <w:r>
              <w:rPr>
                <w:rFonts w:ascii="Aptos" w:hAnsi="Aptos"/>
                <w:b w:val="0"/>
                <w:sz w:val="16"/>
              </w:rPr>
              <w:t>H5 Ceramic, glass, and feedstock hall</w:t>
            </w:r>
          </w:p>
        </w:tc>
        <w:tc>
          <w:tcPr>
            <w:tcW w:type="dxa" w:w="3456"/>
            <w:vAlign w:val="top"/>
          </w:tcPr>
          <w:p>
            <w:pPr>
              <w:spacing w:after="0"/>
              <w:jc w:val="left"/>
            </w:pPr>
            <w:r>
              <w:rPr>
                <w:rFonts w:ascii="Aptos" w:hAnsi="Aptos"/>
                <w:sz w:val="16"/>
              </w:rPr>
            </w:r>
            <w:r>
              <w:rPr>
                <w:rFonts w:ascii="Aptos" w:hAnsi="Aptos"/>
                <w:b w:val="0"/>
                <w:sz w:val="16"/>
              </w:rPr>
              <w:t>Produce glass, ceramic powder, sintered feedstock, and construction grade industrial products.</w:t>
            </w:r>
          </w:p>
        </w:tc>
        <w:tc>
          <w:tcPr>
            <w:tcW w:type="dxa" w:w="3456"/>
            <w:vAlign w:val="top"/>
          </w:tcPr>
          <w:p>
            <w:pPr>
              <w:spacing w:after="0"/>
              <w:jc w:val="left"/>
            </w:pPr>
            <w:r>
              <w:rPr>
                <w:rFonts w:ascii="Aptos" w:hAnsi="Aptos"/>
                <w:sz w:val="16"/>
              </w:rPr>
            </w:r>
            <w:r>
              <w:rPr>
                <w:rFonts w:ascii="Aptos" w:hAnsi="Aptos"/>
                <w:b w:val="0"/>
                <w:sz w:val="16"/>
              </w:rPr>
              <w:t>Mills, furnaces, sintering units, powder handling, molds, quality control laboratory.</w:t>
            </w:r>
          </w:p>
        </w:tc>
      </w:tr>
      <w:tr>
        <w:tc>
          <w:tcPr>
            <w:tcW w:type="dxa" w:w="3456"/>
            <w:vAlign w:val="top"/>
          </w:tcPr>
          <w:p>
            <w:pPr>
              <w:spacing w:after="0"/>
              <w:jc w:val="left"/>
            </w:pPr>
            <w:r>
              <w:rPr>
                <w:rFonts w:ascii="Aptos" w:hAnsi="Aptos"/>
                <w:sz w:val="16"/>
              </w:rPr>
            </w:r>
            <w:r>
              <w:rPr>
                <w:rFonts w:ascii="Aptos" w:hAnsi="Aptos"/>
                <w:b w:val="0"/>
                <w:sz w:val="16"/>
              </w:rPr>
              <w:t>H6 Slag and hazardous residue management</w:t>
            </w:r>
          </w:p>
        </w:tc>
        <w:tc>
          <w:tcPr>
            <w:tcW w:type="dxa" w:w="3456"/>
            <w:vAlign w:val="top"/>
          </w:tcPr>
          <w:p>
            <w:pPr>
              <w:spacing w:after="0"/>
              <w:jc w:val="left"/>
            </w:pPr>
            <w:r>
              <w:rPr>
                <w:rFonts w:ascii="Aptos" w:hAnsi="Aptos"/>
                <w:sz w:val="16"/>
              </w:rPr>
            </w:r>
            <w:r>
              <w:rPr>
                <w:rFonts w:ascii="Aptos" w:hAnsi="Aptos"/>
                <w:b w:val="0"/>
                <w:sz w:val="16"/>
              </w:rPr>
              <w:t>Stabilize, store, and isolate residues and byproducts.</w:t>
            </w:r>
          </w:p>
        </w:tc>
        <w:tc>
          <w:tcPr>
            <w:tcW w:type="dxa" w:w="3456"/>
            <w:vAlign w:val="top"/>
          </w:tcPr>
          <w:p>
            <w:pPr>
              <w:spacing w:after="0"/>
              <w:jc w:val="left"/>
            </w:pPr>
            <w:r>
              <w:rPr>
                <w:rFonts w:ascii="Aptos" w:hAnsi="Aptos"/>
                <w:sz w:val="16"/>
              </w:rPr>
            </w:r>
            <w:r>
              <w:rPr>
                <w:rFonts w:ascii="Aptos" w:hAnsi="Aptos"/>
                <w:b w:val="0"/>
                <w:sz w:val="16"/>
              </w:rPr>
              <w:t>Berms, bins, encapsulation tools, monitoring, hazardous handling bays.</w:t>
            </w:r>
          </w:p>
        </w:tc>
      </w:tr>
    </w:tbl>
    <w:p>
      <w:pPr>
        <w:spacing w:after="120"/>
      </w:pPr>
    </w:p>
    <w:p>
      <w:pPr>
        <w:pStyle w:val="Heading2"/>
        <w:spacing w:before="200" w:after="120"/>
      </w:pPr>
      <w:r>
        <w:rPr>
          <w:rFonts w:ascii="Aptos" w:hAnsi="Aptos"/>
          <w:b/>
          <w:sz w:val="24"/>
        </w:rPr>
        <w:t>17.8 Utility Architecture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Corridor</w:t>
            </w:r>
          </w:p>
        </w:tc>
        <w:tc>
          <w:tcPr>
            <w:tcW w:type="dxa" w:w="3456"/>
            <w:vAlign w:val="top"/>
            <w:shd w:fill="D9EAF7"/>
          </w:tcPr>
          <w:p>
            <w:pPr>
              <w:spacing w:after="0"/>
              <w:jc w:val="left"/>
            </w:pPr>
            <w:r>
              <w:rPr>
                <w:rFonts w:ascii="Aptos" w:hAnsi="Aptos"/>
                <w:b/>
                <w:sz w:val="16"/>
              </w:rPr>
            </w:r>
            <w:r>
              <w:rPr>
                <w:rFonts w:ascii="Aptos" w:hAnsi="Aptos"/>
                <w:b/>
                <w:sz w:val="16"/>
              </w:rPr>
              <w:t>Primary service</w:t>
            </w:r>
          </w:p>
        </w:tc>
        <w:tc>
          <w:tcPr>
            <w:tcW w:type="dxa" w:w="3456"/>
            <w:vAlign w:val="top"/>
            <w:shd w:fill="D9EAF7"/>
          </w:tcPr>
          <w:p>
            <w:pPr>
              <w:spacing w:after="0"/>
              <w:jc w:val="left"/>
            </w:pPr>
            <w:r>
              <w:rPr>
                <w:rFonts w:ascii="Aptos" w:hAnsi="Aptos"/>
                <w:b/>
                <w:sz w:val="16"/>
              </w:rPr>
            </w:r>
            <w:r>
              <w:rPr>
                <w:rFonts w:ascii="Aptos" w:hAnsi="Aptos"/>
                <w:b/>
                <w:sz w:val="16"/>
              </w:rPr>
              <w:t>Design rule</w:t>
            </w:r>
          </w:p>
        </w:tc>
      </w:tr>
      <w:tr>
        <w:tc>
          <w:tcPr>
            <w:tcW w:type="dxa" w:w="3456"/>
            <w:vAlign w:val="top"/>
          </w:tcPr>
          <w:p>
            <w:pPr>
              <w:spacing w:after="0"/>
              <w:jc w:val="left"/>
            </w:pPr>
            <w:r>
              <w:rPr>
                <w:rFonts w:ascii="Aptos" w:hAnsi="Aptos"/>
                <w:sz w:val="16"/>
              </w:rPr>
            </w:r>
            <w:r>
              <w:rPr>
                <w:rFonts w:ascii="Aptos" w:hAnsi="Aptos"/>
                <w:b w:val="0"/>
                <w:sz w:val="16"/>
              </w:rPr>
              <w:t>P5</w:t>
            </w:r>
          </w:p>
        </w:tc>
        <w:tc>
          <w:tcPr>
            <w:tcW w:type="dxa" w:w="3456"/>
            <w:vAlign w:val="top"/>
          </w:tcPr>
          <w:p>
            <w:pPr>
              <w:spacing w:after="0"/>
              <w:jc w:val="left"/>
            </w:pPr>
            <w:r>
              <w:rPr>
                <w:rFonts w:ascii="Aptos" w:hAnsi="Aptos"/>
                <w:sz w:val="16"/>
              </w:rPr>
            </w:r>
            <w:r>
              <w:rPr>
                <w:rFonts w:ascii="Aptos" w:hAnsi="Aptos"/>
                <w:b w:val="0"/>
                <w:sz w:val="16"/>
              </w:rPr>
              <w:t>HVDC and data feed to District F spaceport.</w:t>
            </w:r>
          </w:p>
        </w:tc>
        <w:tc>
          <w:tcPr>
            <w:tcW w:type="dxa" w:w="3456"/>
            <w:vAlign w:val="top"/>
          </w:tcPr>
          <w:p>
            <w:pPr>
              <w:spacing w:after="0"/>
              <w:jc w:val="left"/>
            </w:pPr>
            <w:r>
              <w:rPr>
                <w:rFonts w:ascii="Aptos" w:hAnsi="Aptos"/>
                <w:sz w:val="16"/>
              </w:rPr>
            </w:r>
            <w:r>
              <w:rPr>
                <w:rFonts w:ascii="Aptos" w:hAnsi="Aptos"/>
                <w:b w:val="0"/>
                <w:sz w:val="16"/>
              </w:rPr>
              <w:t>Separated from habitat access and emergency embarkation corridors. Supports pad, terminal, hangar, and traffic control loads.</w:t>
            </w:r>
          </w:p>
        </w:tc>
      </w:tr>
      <w:tr>
        <w:tc>
          <w:tcPr>
            <w:tcW w:type="dxa" w:w="3456"/>
            <w:vAlign w:val="top"/>
          </w:tcPr>
          <w:p>
            <w:pPr>
              <w:spacing w:after="0"/>
              <w:jc w:val="left"/>
            </w:pPr>
            <w:r>
              <w:rPr>
                <w:rFonts w:ascii="Aptos" w:hAnsi="Aptos"/>
                <w:sz w:val="16"/>
              </w:rPr>
            </w:r>
            <w:r>
              <w:rPr>
                <w:rFonts w:ascii="Aptos" w:hAnsi="Aptos"/>
                <w:b w:val="0"/>
                <w:sz w:val="16"/>
              </w:rPr>
              <w:t>P6</w:t>
            </w:r>
          </w:p>
        </w:tc>
        <w:tc>
          <w:tcPr>
            <w:tcW w:type="dxa" w:w="3456"/>
            <w:vAlign w:val="top"/>
          </w:tcPr>
          <w:p>
            <w:pPr>
              <w:spacing w:after="0"/>
              <w:jc w:val="left"/>
            </w:pPr>
            <w:r>
              <w:rPr>
                <w:rFonts w:ascii="Aptos" w:hAnsi="Aptos"/>
                <w:sz w:val="16"/>
              </w:rPr>
            </w:r>
            <w:r>
              <w:rPr>
                <w:rFonts w:ascii="Aptos" w:hAnsi="Aptos"/>
                <w:b w:val="0"/>
                <w:sz w:val="16"/>
              </w:rPr>
              <w:t>HVDC link to District G solar and microwave systems.</w:t>
            </w:r>
          </w:p>
        </w:tc>
        <w:tc>
          <w:tcPr>
            <w:tcW w:type="dxa" w:w="3456"/>
            <w:vAlign w:val="top"/>
          </w:tcPr>
          <w:p>
            <w:pPr>
              <w:spacing w:after="0"/>
              <w:jc w:val="left"/>
            </w:pPr>
            <w:r>
              <w:rPr>
                <w:rFonts w:ascii="Aptos" w:hAnsi="Aptos"/>
                <w:sz w:val="16"/>
              </w:rPr>
            </w:r>
            <w:r>
              <w:rPr>
                <w:rFonts w:ascii="Aptos" w:hAnsi="Aptos"/>
                <w:b w:val="0"/>
                <w:sz w:val="16"/>
              </w:rPr>
              <w:t>Supports bidirectional power flow, sectionalized operation, and local isolation during beam or solar fault conditions.</w:t>
            </w:r>
          </w:p>
        </w:tc>
      </w:tr>
      <w:tr>
        <w:tc>
          <w:tcPr>
            <w:tcW w:type="dxa" w:w="3456"/>
            <w:vAlign w:val="top"/>
          </w:tcPr>
          <w:p>
            <w:pPr>
              <w:spacing w:after="0"/>
              <w:jc w:val="left"/>
            </w:pPr>
            <w:r>
              <w:rPr>
                <w:rFonts w:ascii="Aptos" w:hAnsi="Aptos"/>
                <w:sz w:val="16"/>
              </w:rPr>
            </w:r>
            <w:r>
              <w:rPr>
                <w:rFonts w:ascii="Aptos" w:hAnsi="Aptos"/>
                <w:b w:val="0"/>
                <w:sz w:val="16"/>
              </w:rPr>
              <w:t>P7</w:t>
            </w:r>
          </w:p>
        </w:tc>
        <w:tc>
          <w:tcPr>
            <w:tcW w:type="dxa" w:w="3456"/>
            <w:vAlign w:val="top"/>
          </w:tcPr>
          <w:p>
            <w:pPr>
              <w:spacing w:after="0"/>
              <w:jc w:val="left"/>
            </w:pPr>
            <w:r>
              <w:rPr>
                <w:rFonts w:ascii="Aptos" w:hAnsi="Aptos"/>
                <w:sz w:val="16"/>
              </w:rPr>
            </w:r>
            <w:r>
              <w:rPr>
                <w:rFonts w:ascii="Aptos" w:hAnsi="Aptos"/>
                <w:b w:val="0"/>
                <w:sz w:val="16"/>
              </w:rPr>
              <w:t>HVDC, industrial water, thermal, data, and waste routing for District H mineral processing.</w:t>
            </w:r>
          </w:p>
        </w:tc>
        <w:tc>
          <w:tcPr>
            <w:tcW w:type="dxa" w:w="3456"/>
            <w:vAlign w:val="top"/>
          </w:tcPr>
          <w:p>
            <w:pPr>
              <w:spacing w:after="0"/>
              <w:jc w:val="left"/>
            </w:pPr>
            <w:r>
              <w:rPr>
                <w:rFonts w:ascii="Aptos" w:hAnsi="Aptos"/>
                <w:sz w:val="16"/>
              </w:rPr>
            </w:r>
            <w:r>
              <w:rPr>
                <w:rFonts w:ascii="Aptos" w:hAnsi="Aptos"/>
                <w:b w:val="0"/>
                <w:sz w:val="16"/>
              </w:rPr>
              <w:t>Industrial only corridor. No breathable atmosphere trunk or critical refuge utility may share the same choke point.</w:t>
            </w:r>
          </w:p>
        </w:tc>
      </w:tr>
      <w:tr>
        <w:tc>
          <w:tcPr>
            <w:tcW w:type="dxa" w:w="3456"/>
            <w:vAlign w:val="top"/>
          </w:tcPr>
          <w:p>
            <w:pPr>
              <w:spacing w:after="0"/>
              <w:jc w:val="left"/>
            </w:pPr>
            <w:r>
              <w:rPr>
                <w:rFonts w:ascii="Aptos" w:hAnsi="Aptos"/>
                <w:sz w:val="16"/>
              </w:rPr>
            </w:r>
            <w:r>
              <w:rPr>
                <w:rFonts w:ascii="Aptos" w:hAnsi="Aptos"/>
                <w:b w:val="0"/>
                <w:sz w:val="16"/>
              </w:rPr>
              <w:t>P8</w:t>
            </w:r>
          </w:p>
        </w:tc>
        <w:tc>
          <w:tcPr>
            <w:tcW w:type="dxa" w:w="3456"/>
            <w:vAlign w:val="top"/>
          </w:tcPr>
          <w:p>
            <w:pPr>
              <w:spacing w:after="0"/>
              <w:jc w:val="left"/>
            </w:pPr>
            <w:r>
              <w:rPr>
                <w:rFonts w:ascii="Aptos" w:hAnsi="Aptos"/>
                <w:sz w:val="16"/>
              </w:rPr>
            </w:r>
            <w:r>
              <w:rPr>
                <w:rFonts w:ascii="Aptos" w:hAnsi="Aptos"/>
                <w:b w:val="0"/>
                <w:sz w:val="16"/>
              </w:rPr>
              <w:t>Protected monitoring and data feed for District I seismic network.</w:t>
            </w:r>
          </w:p>
        </w:tc>
        <w:tc>
          <w:tcPr>
            <w:tcW w:type="dxa" w:w="3456"/>
            <w:vAlign w:val="top"/>
          </w:tcPr>
          <w:p>
            <w:pPr>
              <w:spacing w:after="0"/>
              <w:jc w:val="left"/>
            </w:pPr>
            <w:r>
              <w:rPr>
                <w:rFonts w:ascii="Aptos" w:hAnsi="Aptos"/>
                <w:sz w:val="16"/>
              </w:rPr>
            </w:r>
            <w:r>
              <w:rPr>
                <w:rFonts w:ascii="Aptos" w:hAnsi="Aptos"/>
                <w:b w:val="0"/>
                <w:sz w:val="16"/>
              </w:rPr>
              <w:t>Low power, high reliability, local backup, redundant data path to command and alternate command.</w:t>
            </w:r>
          </w:p>
        </w:tc>
      </w:tr>
    </w:tbl>
    <w:p>
      <w:pPr>
        <w:spacing w:after="120"/>
      </w:pPr>
    </w:p>
    <w:p>
      <w:pPr>
        <w:spacing w:after="120"/>
      </w:pPr>
      <w:r>
        <w:rPr>
          <w:rFonts w:ascii="Aptos" w:hAnsi="Aptos"/>
          <w:b w:val="0"/>
          <w:i w:val="0"/>
          <w:sz w:val="21"/>
        </w:rPr>
        <w:t>District H receives a dedicated industrial water loop, high capacity dust collection, independent thermal interface, and isolated hazardous residue handling. District F receives limited life support utilities for terminals and maintenance areas, but it does not host routine habitation. District G has limited service water demand, high electrical switching demand, and thermal management for microwave conversion losses.</w:t>
      </w:r>
    </w:p>
    <w:p>
      <w:pPr>
        <w:pStyle w:val="Heading2"/>
        <w:spacing w:before="200" w:after="120"/>
      </w:pPr>
      <w:r>
        <w:rPr>
          <w:rFonts w:ascii="Aptos" w:hAnsi="Aptos"/>
          <w:b/>
          <w:sz w:val="24"/>
        </w:rPr>
        <w:t>17.9 Revised WBS Additions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Work package</w:t>
            </w:r>
          </w:p>
        </w:tc>
        <w:tc>
          <w:tcPr>
            <w:tcW w:type="dxa" w:w="3456"/>
            <w:vAlign w:val="top"/>
            <w:shd w:fill="D9EAF7"/>
          </w:tcPr>
          <w:p>
            <w:pPr>
              <w:spacing w:after="0"/>
              <w:jc w:val="left"/>
            </w:pPr>
            <w:r>
              <w:rPr>
                <w:rFonts w:ascii="Aptos" w:hAnsi="Aptos"/>
                <w:b/>
                <w:sz w:val="16"/>
              </w:rPr>
            </w:r>
            <w:r>
              <w:rPr>
                <w:rFonts w:ascii="Aptos" w:hAnsi="Aptos"/>
                <w:b/>
                <w:sz w:val="16"/>
              </w:rPr>
              <w:t>Scope</w:t>
            </w:r>
          </w:p>
        </w:tc>
        <w:tc>
          <w:tcPr>
            <w:tcW w:type="dxa" w:w="3456"/>
            <w:vAlign w:val="top"/>
            <w:shd w:fill="D9EAF7"/>
          </w:tcPr>
          <w:p>
            <w:pPr>
              <w:spacing w:after="0"/>
              <w:jc w:val="left"/>
            </w:pPr>
            <w:r>
              <w:rPr>
                <w:rFonts w:ascii="Aptos" w:hAnsi="Aptos"/>
                <w:b/>
                <w:sz w:val="16"/>
              </w:rPr>
            </w:r>
            <w:r>
              <w:rPr>
                <w:rFonts w:ascii="Aptos" w:hAnsi="Aptos"/>
                <w:b/>
                <w:sz w:val="16"/>
              </w:rPr>
              <w:t>Dependency posture</w:t>
            </w:r>
          </w:p>
        </w:tc>
      </w:tr>
      <w:tr>
        <w:tc>
          <w:tcPr>
            <w:tcW w:type="dxa" w:w="3456"/>
            <w:vAlign w:val="top"/>
          </w:tcPr>
          <w:p>
            <w:pPr>
              <w:spacing w:after="0"/>
              <w:jc w:val="left"/>
            </w:pPr>
            <w:r>
              <w:rPr>
                <w:rFonts w:ascii="Aptos" w:hAnsi="Aptos"/>
                <w:sz w:val="16"/>
              </w:rPr>
            </w:r>
            <w:r>
              <w:rPr>
                <w:rFonts w:ascii="Aptos" w:hAnsi="Aptos"/>
                <w:b w:val="0"/>
                <w:sz w:val="16"/>
              </w:rPr>
              <w:t>WP 20 Surface spaceport development</w:t>
            </w:r>
          </w:p>
        </w:tc>
        <w:tc>
          <w:tcPr>
            <w:tcW w:type="dxa" w:w="3456"/>
            <w:vAlign w:val="top"/>
          </w:tcPr>
          <w:p>
            <w:pPr>
              <w:spacing w:after="0"/>
              <w:jc w:val="left"/>
            </w:pPr>
            <w:r>
              <w:rPr>
                <w:rFonts w:ascii="Aptos" w:hAnsi="Aptos"/>
                <w:sz w:val="16"/>
              </w:rPr>
            </w:r>
            <w:r>
              <w:rPr>
                <w:rFonts w:ascii="Aptos" w:hAnsi="Aptos"/>
                <w:b w:val="0"/>
                <w:sz w:val="16"/>
              </w:rPr>
              <w:t>Heavy pads, medium pads, terminal, cargo orbital yard, hangars, and launch operations center.</w:t>
            </w:r>
          </w:p>
        </w:tc>
        <w:tc>
          <w:tcPr>
            <w:tcW w:type="dxa" w:w="3456"/>
            <w:vAlign w:val="top"/>
          </w:tcPr>
          <w:p>
            <w:pPr>
              <w:spacing w:after="0"/>
              <w:jc w:val="left"/>
            </w:pPr>
            <w:r>
              <w:rPr>
                <w:rFonts w:ascii="Aptos" w:hAnsi="Aptos"/>
                <w:sz w:val="16"/>
              </w:rPr>
            </w:r>
            <w:r>
              <w:rPr>
                <w:rFonts w:ascii="Aptos" w:hAnsi="Aptos"/>
                <w:b w:val="0"/>
                <w:sz w:val="16"/>
              </w:rPr>
              <w:t>Integrated with landing district, but not allowed to reduce emergency embarkation redundancy.</w:t>
            </w:r>
          </w:p>
        </w:tc>
      </w:tr>
      <w:tr>
        <w:tc>
          <w:tcPr>
            <w:tcW w:type="dxa" w:w="3456"/>
            <w:vAlign w:val="top"/>
          </w:tcPr>
          <w:p>
            <w:pPr>
              <w:spacing w:after="0"/>
              <w:jc w:val="left"/>
            </w:pPr>
            <w:r>
              <w:rPr>
                <w:rFonts w:ascii="Aptos" w:hAnsi="Aptos"/>
                <w:sz w:val="16"/>
              </w:rPr>
            </w:r>
            <w:r>
              <w:rPr>
                <w:rFonts w:ascii="Aptos" w:hAnsi="Aptos"/>
                <w:b w:val="0"/>
                <w:sz w:val="16"/>
              </w:rPr>
              <w:t>WP 21 Hyperloop EM launch rail system</w:t>
            </w:r>
          </w:p>
        </w:tc>
        <w:tc>
          <w:tcPr>
            <w:tcW w:type="dxa" w:w="3456"/>
            <w:vAlign w:val="top"/>
          </w:tcPr>
          <w:p>
            <w:pPr>
              <w:spacing w:after="0"/>
              <w:jc w:val="left"/>
            </w:pPr>
            <w:r>
              <w:rPr>
                <w:rFonts w:ascii="Aptos" w:hAnsi="Aptos"/>
                <w:sz w:val="16"/>
              </w:rPr>
            </w:r>
            <w:r>
              <w:rPr>
                <w:rFonts w:ascii="Aptos" w:hAnsi="Aptos"/>
                <w:b w:val="0"/>
                <w:sz w:val="16"/>
              </w:rPr>
              <w:t>Alignment, pulse power, sled systems, loading terminal, release system, rail cooling, and hazard controls.</w:t>
            </w:r>
          </w:p>
        </w:tc>
        <w:tc>
          <w:tcPr>
            <w:tcW w:type="dxa" w:w="3456"/>
            <w:vAlign w:val="top"/>
          </w:tcPr>
          <w:p>
            <w:pPr>
              <w:spacing w:after="0"/>
              <w:jc w:val="left"/>
            </w:pPr>
            <w:r>
              <w:rPr>
                <w:rFonts w:ascii="Aptos" w:hAnsi="Aptos"/>
                <w:sz w:val="16"/>
              </w:rPr>
            </w:r>
            <w:r>
              <w:rPr>
                <w:rFonts w:ascii="Aptos" w:hAnsi="Aptos"/>
                <w:b w:val="0"/>
                <w:sz w:val="16"/>
              </w:rPr>
              <w:t>Deferred beyond life safety certification unless schedule reserve allows. Treat as Phase 1B or Phase 2.</w:t>
            </w:r>
          </w:p>
        </w:tc>
      </w:tr>
      <w:tr>
        <w:tc>
          <w:tcPr>
            <w:tcW w:type="dxa" w:w="3456"/>
            <w:vAlign w:val="top"/>
          </w:tcPr>
          <w:p>
            <w:pPr>
              <w:spacing w:after="0"/>
              <w:jc w:val="left"/>
            </w:pPr>
            <w:r>
              <w:rPr>
                <w:rFonts w:ascii="Aptos" w:hAnsi="Aptos"/>
                <w:sz w:val="16"/>
              </w:rPr>
            </w:r>
            <w:r>
              <w:rPr>
                <w:rFonts w:ascii="Aptos" w:hAnsi="Aptos"/>
                <w:b w:val="0"/>
                <w:sz w:val="16"/>
              </w:rPr>
              <w:t>WP 22 Microwave power reception system</w:t>
            </w:r>
          </w:p>
        </w:tc>
        <w:tc>
          <w:tcPr>
            <w:tcW w:type="dxa" w:w="3456"/>
            <w:vAlign w:val="top"/>
          </w:tcPr>
          <w:p>
            <w:pPr>
              <w:spacing w:after="0"/>
              <w:jc w:val="left"/>
            </w:pPr>
            <w:r>
              <w:rPr>
                <w:rFonts w:ascii="Aptos" w:hAnsi="Aptos"/>
                <w:sz w:val="16"/>
              </w:rPr>
            </w:r>
            <w:r>
              <w:rPr>
                <w:rFonts w:ascii="Aptos" w:hAnsi="Aptos"/>
                <w:b w:val="0"/>
                <w:sz w:val="16"/>
              </w:rPr>
              <w:t>Rectenna field, conditioning station, safety exclusion, thermal rejection, and HVDC tie.</w:t>
            </w:r>
          </w:p>
        </w:tc>
        <w:tc>
          <w:tcPr>
            <w:tcW w:type="dxa" w:w="3456"/>
            <w:vAlign w:val="top"/>
          </w:tcPr>
          <w:p>
            <w:pPr>
              <w:spacing w:after="0"/>
              <w:jc w:val="left"/>
            </w:pPr>
            <w:r>
              <w:rPr>
                <w:rFonts w:ascii="Aptos" w:hAnsi="Aptos"/>
                <w:sz w:val="16"/>
              </w:rPr>
            </w:r>
            <w:r>
              <w:rPr>
                <w:rFonts w:ascii="Aptos" w:hAnsi="Aptos"/>
                <w:b w:val="0"/>
                <w:sz w:val="16"/>
              </w:rPr>
              <w:t>Pilot before full field. Requires beam safety and grid stability certification.</w:t>
            </w:r>
          </w:p>
        </w:tc>
      </w:tr>
      <w:tr>
        <w:tc>
          <w:tcPr>
            <w:tcW w:type="dxa" w:w="3456"/>
            <w:vAlign w:val="top"/>
          </w:tcPr>
          <w:p>
            <w:pPr>
              <w:spacing w:after="0"/>
              <w:jc w:val="left"/>
            </w:pPr>
            <w:r>
              <w:rPr>
                <w:rFonts w:ascii="Aptos" w:hAnsi="Aptos"/>
                <w:sz w:val="16"/>
              </w:rPr>
            </w:r>
            <w:r>
              <w:rPr>
                <w:rFonts w:ascii="Aptos" w:hAnsi="Aptos"/>
                <w:b w:val="0"/>
                <w:sz w:val="16"/>
              </w:rPr>
              <w:t>WP 23 Surface solar farm</w:t>
            </w:r>
          </w:p>
        </w:tc>
        <w:tc>
          <w:tcPr>
            <w:tcW w:type="dxa" w:w="3456"/>
            <w:vAlign w:val="top"/>
          </w:tcPr>
          <w:p>
            <w:pPr>
              <w:spacing w:after="0"/>
              <w:jc w:val="left"/>
            </w:pPr>
            <w:r>
              <w:rPr>
                <w:rFonts w:ascii="Aptos" w:hAnsi="Aptos"/>
                <w:sz w:val="16"/>
              </w:rPr>
            </w:r>
            <w:r>
              <w:rPr>
                <w:rFonts w:ascii="Aptos" w:hAnsi="Aptos"/>
                <w:b w:val="0"/>
                <w:sz w:val="16"/>
              </w:rPr>
              <w:t>Photovoltaic fields, local storage, switchyard, transmission, dust control, and maintenance routes.</w:t>
            </w:r>
          </w:p>
        </w:tc>
        <w:tc>
          <w:tcPr>
            <w:tcW w:type="dxa" w:w="3456"/>
            <w:vAlign w:val="top"/>
          </w:tcPr>
          <w:p>
            <w:pPr>
              <w:spacing w:after="0"/>
              <w:jc w:val="left"/>
            </w:pPr>
            <w:r>
              <w:rPr>
                <w:rFonts w:ascii="Aptos" w:hAnsi="Aptos"/>
                <w:sz w:val="16"/>
              </w:rPr>
            </w:r>
            <w:r>
              <w:rPr>
                <w:rFonts w:ascii="Aptos" w:hAnsi="Aptos"/>
                <w:b w:val="0"/>
                <w:sz w:val="16"/>
              </w:rPr>
              <w:t>Integrate early because it improves resilience and noncritical load economics.</w:t>
            </w:r>
          </w:p>
        </w:tc>
      </w:tr>
      <w:tr>
        <w:tc>
          <w:tcPr>
            <w:tcW w:type="dxa" w:w="3456"/>
            <w:vAlign w:val="top"/>
          </w:tcPr>
          <w:p>
            <w:pPr>
              <w:spacing w:after="0"/>
              <w:jc w:val="left"/>
            </w:pPr>
            <w:r>
              <w:rPr>
                <w:rFonts w:ascii="Aptos" w:hAnsi="Aptos"/>
                <w:sz w:val="16"/>
              </w:rPr>
            </w:r>
            <w:r>
              <w:rPr>
                <w:rFonts w:ascii="Aptos" w:hAnsi="Aptos"/>
                <w:b w:val="0"/>
                <w:sz w:val="16"/>
              </w:rPr>
              <w:t>WP 24 Seismic monitoring and geophysics</w:t>
            </w:r>
          </w:p>
        </w:tc>
        <w:tc>
          <w:tcPr>
            <w:tcW w:type="dxa" w:w="3456"/>
            <w:vAlign w:val="top"/>
          </w:tcPr>
          <w:p>
            <w:pPr>
              <w:spacing w:after="0"/>
              <w:jc w:val="left"/>
            </w:pPr>
            <w:r>
              <w:rPr>
                <w:rFonts w:ascii="Aptos" w:hAnsi="Aptos"/>
                <w:sz w:val="16"/>
              </w:rPr>
            </w:r>
            <w:r>
              <w:rPr>
                <w:rFonts w:ascii="Aptos" w:hAnsi="Aptos"/>
                <w:b w:val="0"/>
                <w:sz w:val="16"/>
              </w:rPr>
              <w:t>Local ring, regional stations, structural health sensors, data center, and hazard triggers.</w:t>
            </w:r>
          </w:p>
        </w:tc>
        <w:tc>
          <w:tcPr>
            <w:tcW w:type="dxa" w:w="3456"/>
            <w:vAlign w:val="top"/>
          </w:tcPr>
          <w:p>
            <w:pPr>
              <w:spacing w:after="0"/>
              <w:jc w:val="left"/>
            </w:pPr>
            <w:r>
              <w:rPr>
                <w:rFonts w:ascii="Aptos" w:hAnsi="Aptos"/>
                <w:sz w:val="16"/>
              </w:rPr>
            </w:r>
            <w:r>
              <w:rPr>
                <w:rFonts w:ascii="Aptos" w:hAnsi="Aptos"/>
                <w:b w:val="0"/>
                <w:sz w:val="16"/>
              </w:rPr>
              <w:t>Deploy early before major excavation and launch rail buildout.</w:t>
            </w:r>
          </w:p>
        </w:tc>
      </w:tr>
      <w:tr>
        <w:tc>
          <w:tcPr>
            <w:tcW w:type="dxa" w:w="3456"/>
            <w:vAlign w:val="top"/>
          </w:tcPr>
          <w:p>
            <w:pPr>
              <w:spacing w:after="0"/>
              <w:jc w:val="left"/>
            </w:pPr>
            <w:r>
              <w:rPr>
                <w:rFonts w:ascii="Aptos" w:hAnsi="Aptos"/>
                <w:sz w:val="16"/>
              </w:rPr>
            </w:r>
            <w:r>
              <w:rPr>
                <w:rFonts w:ascii="Aptos" w:hAnsi="Aptos"/>
                <w:b w:val="0"/>
                <w:sz w:val="16"/>
              </w:rPr>
              <w:t>WP 25 Mineral processing and refining district</w:t>
            </w:r>
          </w:p>
        </w:tc>
        <w:tc>
          <w:tcPr>
            <w:tcW w:type="dxa" w:w="3456"/>
            <w:vAlign w:val="top"/>
          </w:tcPr>
          <w:p>
            <w:pPr>
              <w:spacing w:after="0"/>
              <w:jc w:val="left"/>
            </w:pPr>
            <w:r>
              <w:rPr>
                <w:rFonts w:ascii="Aptos" w:hAnsi="Aptos"/>
                <w:sz w:val="16"/>
              </w:rPr>
            </w:r>
            <w:r>
              <w:rPr>
                <w:rFonts w:ascii="Aptos" w:hAnsi="Aptos"/>
                <w:b w:val="0"/>
                <w:sz w:val="16"/>
              </w:rPr>
              <w:t>Beneficiation, salt and oxide processing, metals recovery, ceramic and glass feedstock, and slag management.</w:t>
            </w:r>
          </w:p>
        </w:tc>
        <w:tc>
          <w:tcPr>
            <w:tcW w:type="dxa" w:w="3456"/>
            <w:vAlign w:val="top"/>
          </w:tcPr>
          <w:p>
            <w:pPr>
              <w:spacing w:after="0"/>
              <w:jc w:val="left"/>
            </w:pPr>
            <w:r>
              <w:rPr>
                <w:rFonts w:ascii="Aptos" w:hAnsi="Aptos"/>
                <w:sz w:val="16"/>
              </w:rPr>
            </w:r>
            <w:r>
              <w:rPr>
                <w:rFonts w:ascii="Aptos" w:hAnsi="Aptos"/>
                <w:b w:val="0"/>
                <w:sz w:val="16"/>
              </w:rPr>
              <w:t>Integrate after volatile extraction and before large scale export growth.</w:t>
            </w:r>
          </w:p>
        </w:tc>
      </w:tr>
      <w:tr>
        <w:tc>
          <w:tcPr>
            <w:tcW w:type="dxa" w:w="3456"/>
            <w:vAlign w:val="top"/>
          </w:tcPr>
          <w:p>
            <w:pPr>
              <w:spacing w:after="0"/>
            </w:pPr>
            <w:r>
              <w:rPr>
                <w:sz w:val="16"/>
              </w:rPr>
              <w:t>WP 26 Lunar Biodiversity Vault</w:t>
            </w:r>
          </w:p>
        </w:tc>
        <w:tc>
          <w:tcPr>
            <w:tcW w:type="dxa" w:w="3456"/>
            <w:vAlign w:val="top"/>
          </w:tcPr>
          <w:p>
            <w:pPr>
              <w:spacing w:after="0"/>
            </w:pPr>
            <w:r>
              <w:rPr>
                <w:sz w:val="16"/>
              </w:rPr>
              <w:t>Protected underground biological archive, cryogenic and passive cold stores, clean receiving lab, quarantine, sample registry, data mirror, and custody controls.</w:t>
            </w:r>
          </w:p>
        </w:tc>
        <w:tc>
          <w:tcPr>
            <w:tcW w:type="dxa" w:w="3456"/>
            <w:vAlign w:val="top"/>
          </w:tcPr>
          <w:p>
            <w:pPr>
              <w:spacing w:after="0"/>
            </w:pPr>
            <w:r>
              <w:rPr>
                <w:sz w:val="16"/>
              </w:rPr>
              <w:t>Integrate with lunar civil works after first protected underground volumes are proven. Must not increase biocontamination risk to habitat or food systems.</w:t>
            </w:r>
          </w:p>
        </w:tc>
      </w:tr>
      <w:tr>
        <w:tc>
          <w:tcPr>
            <w:tcW w:type="dxa" w:w="3456"/>
            <w:vAlign w:val="top"/>
          </w:tcPr>
          <w:p>
            <w:pPr>
              <w:spacing w:after="0"/>
            </w:pPr>
            <w:r>
              <w:rPr>
                <w:sz w:val="16"/>
              </w:rPr>
              <w:t>WP 27 Mars settlement and mineral processing copy package</w:t>
            </w:r>
          </w:p>
        </w:tc>
        <w:tc>
          <w:tcPr>
            <w:tcW w:type="dxa" w:w="3456"/>
            <w:vAlign w:val="top"/>
          </w:tcPr>
          <w:p>
            <w:pPr>
              <w:spacing w:after="0"/>
            </w:pPr>
            <w:r>
              <w:rPr>
                <w:sz w:val="16"/>
              </w:rPr>
              <w:t>Adapt lunar subsurface habitat, refuge, surface ISRU, power, spaceport, and mineral processing specifications to Mars gravity, atmosphere, dust, perchlorates, radiation, and ascent requirements.</w:t>
            </w:r>
          </w:p>
        </w:tc>
        <w:tc>
          <w:tcPr>
            <w:tcW w:type="dxa" w:w="3456"/>
            <w:vAlign w:val="top"/>
          </w:tcPr>
          <w:p>
            <w:pPr>
              <w:spacing w:after="0"/>
            </w:pPr>
            <w:r>
              <w:rPr>
                <w:sz w:val="16"/>
              </w:rPr>
              <w:t>Phase 4 Inner System Scaling. Requires Mars precursor site survey, robotic civil works, and local atmosphere ISRU validation.</w:t>
            </w:r>
          </w:p>
        </w:tc>
      </w:tr>
      <w:tr>
        <w:tc>
          <w:tcPr>
            <w:tcW w:type="dxa" w:w="3456"/>
            <w:vAlign w:val="top"/>
          </w:tcPr>
          <w:p>
            <w:pPr>
              <w:spacing w:after="0"/>
            </w:pPr>
            <w:r>
              <w:rPr>
                <w:sz w:val="16"/>
              </w:rPr>
              <w:t>WP 28 Ceres Autonomous Modification Worksite</w:t>
            </w:r>
          </w:p>
        </w:tc>
        <w:tc>
          <w:tcPr>
            <w:tcW w:type="dxa" w:w="3456"/>
            <w:vAlign w:val="top"/>
          </w:tcPr>
          <w:p>
            <w:pPr>
              <w:spacing w:after="0"/>
            </w:pPr>
            <w:r>
              <w:rPr>
                <w:sz w:val="16"/>
              </w:rPr>
              <w:t>Robotic servicing, equipment modification, volatile extraction, brine and salt processing, mineral preprocessing, anchored mobility, autonomous repair, and low gravity export staging.</w:t>
            </w:r>
          </w:p>
        </w:tc>
        <w:tc>
          <w:tcPr>
            <w:tcW w:type="dxa" w:w="3456"/>
            <w:vAlign w:val="top"/>
          </w:tcPr>
          <w:p>
            <w:pPr>
              <w:spacing w:after="0"/>
            </w:pPr>
            <w:r>
              <w:rPr>
                <w:sz w:val="16"/>
              </w:rPr>
              <w:t>Phase 5 belt expansion. Operates under lunar hub control with high local autonomy due communication delay.</w:t>
            </w:r>
          </w:p>
        </w:tc>
      </w:tr>
      <w:tr>
        <w:tc>
          <w:tcPr>
            <w:tcW w:type="dxa" w:w="3456"/>
            <w:vAlign w:val="top"/>
          </w:tcPr>
          <w:p>
            <w:pPr>
              <w:spacing w:after="0"/>
            </w:pPr>
            <w:r>
              <w:rPr>
                <w:sz w:val="16"/>
              </w:rPr>
              <w:t>WP 29 Venus upper atmospheric gas processing afloat module</w:t>
            </w:r>
          </w:p>
        </w:tc>
        <w:tc>
          <w:tcPr>
            <w:tcW w:type="dxa" w:w="3456"/>
            <w:vAlign w:val="top"/>
          </w:tcPr>
          <w:p>
            <w:pPr>
              <w:spacing w:after="0"/>
            </w:pPr>
            <w:r>
              <w:rPr>
                <w:sz w:val="16"/>
              </w:rPr>
              <w:t>Aerostat based gas intake, aerosol handling, CO2 and N2 separation, sulfur compound processing, solar power, autonomy, corrosion control, and ascent or transfer interface.</w:t>
            </w:r>
          </w:p>
        </w:tc>
        <w:tc>
          <w:tcPr>
            <w:tcW w:type="dxa" w:w="3456"/>
            <w:vAlign w:val="top"/>
          </w:tcPr>
          <w:p>
            <w:pPr>
              <w:spacing w:after="0"/>
            </w:pPr>
            <w:r>
              <w:rPr>
                <w:sz w:val="16"/>
              </w:rPr>
              <w:t>Phase 4 Venus production node. Must stay independent of Venus surface operations and use atmospheric float altitude safety envelope.</w:t>
            </w:r>
          </w:p>
        </w:tc>
      </w:tr>
      <w:tr>
        <w:tc>
          <w:tcPr>
            <w:tcW w:type="dxa" w:w="3456"/>
            <w:vAlign w:val="top"/>
          </w:tcPr>
          <w:p>
            <w:pPr>
              <w:spacing w:after="0"/>
            </w:pPr>
            <w:r>
              <w:rPr>
                <w:sz w:val="16"/>
              </w:rPr>
              <w:t>WP 30 Venus orbital traffic insertion platform</w:t>
            </w:r>
          </w:p>
        </w:tc>
        <w:tc>
          <w:tcPr>
            <w:tcW w:type="dxa" w:w="3456"/>
            <w:vAlign w:val="top"/>
          </w:tcPr>
          <w:p>
            <w:pPr>
              <w:spacing w:after="0"/>
            </w:pPr>
            <w:r>
              <w:rPr>
                <w:sz w:val="16"/>
              </w:rPr>
              <w:t>Orbital traffic control, communications relay, aerocapture support, rendezvous staging, tug servicing, propellant transfer interfaces, and transfer corridor safety management.</w:t>
            </w:r>
          </w:p>
        </w:tc>
        <w:tc>
          <w:tcPr>
            <w:tcW w:type="dxa" w:w="3456"/>
            <w:vAlign w:val="top"/>
          </w:tcPr>
          <w:p>
            <w:pPr>
              <w:spacing w:after="0"/>
            </w:pPr>
            <w:r>
              <w:rPr>
                <w:sz w:val="16"/>
              </w:rPr>
              <w:t>Phase 4 Venus logistics node. Interfaces with afloat module and inner system transport network.</w:t>
            </w:r>
          </w:p>
        </w:tc>
      </w:tr>
    </w:tbl>
    <w:p>
      <w:pPr>
        <w:spacing w:after="120"/>
      </w:pPr>
    </w:p>
    <w:p>
      <w:pPr>
        <w:pStyle w:val="Heading2"/>
        <w:spacing w:before="200" w:after="120"/>
      </w:pPr>
      <w:r>
        <w:rPr>
          <w:rFonts w:ascii="Aptos" w:hAnsi="Aptos"/>
          <w:b/>
          <w:sz w:val="24"/>
        </w:rPr>
        <w:t>17.10 Schedule and Milestone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Timing</w:t>
            </w:r>
          </w:p>
        </w:tc>
        <w:tc>
          <w:tcPr>
            <w:tcW w:type="dxa" w:w="3456"/>
            <w:vAlign w:val="top"/>
            <w:shd w:fill="D9EAF7"/>
          </w:tcPr>
          <w:p>
            <w:pPr>
              <w:spacing w:after="0"/>
              <w:jc w:val="left"/>
            </w:pPr>
            <w:r>
              <w:rPr>
                <w:rFonts w:ascii="Aptos" w:hAnsi="Aptos"/>
                <w:b/>
                <w:sz w:val="16"/>
              </w:rPr>
            </w:r>
            <w:r>
              <w:rPr>
                <w:rFonts w:ascii="Aptos" w:hAnsi="Aptos"/>
                <w:b/>
                <w:sz w:val="16"/>
              </w:rPr>
              <w:t>Milestone</w:t>
            </w:r>
          </w:p>
        </w:tc>
        <w:tc>
          <w:tcPr>
            <w:tcW w:type="dxa" w:w="3456"/>
            <w:vAlign w:val="top"/>
            <w:shd w:fill="D9EAF7"/>
          </w:tcPr>
          <w:p>
            <w:pPr>
              <w:spacing w:after="0"/>
              <w:jc w:val="left"/>
            </w:pPr>
            <w:r>
              <w:rPr>
                <w:rFonts w:ascii="Aptos" w:hAnsi="Aptos"/>
                <w:b/>
                <w:sz w:val="16"/>
              </w:rPr>
            </w:r>
            <w:r>
              <w:rPr>
                <w:rFonts w:ascii="Aptos" w:hAnsi="Aptos"/>
                <w:b/>
                <w:sz w:val="16"/>
              </w:rPr>
              <w:t>Exit criterion</w:t>
            </w:r>
          </w:p>
        </w:tc>
      </w:tr>
      <w:tr>
        <w:tc>
          <w:tcPr>
            <w:tcW w:type="dxa" w:w="3456"/>
            <w:vAlign w:val="top"/>
          </w:tcPr>
          <w:p>
            <w:pPr>
              <w:spacing w:after="0"/>
              <w:jc w:val="left"/>
            </w:pPr>
            <w:r>
              <w:rPr>
                <w:rFonts w:ascii="Aptos" w:hAnsi="Aptos"/>
                <w:sz w:val="16"/>
              </w:rPr>
            </w:r>
            <w:r>
              <w:rPr>
                <w:rFonts w:ascii="Aptos" w:hAnsi="Aptos"/>
                <w:b w:val="0"/>
                <w:sz w:val="16"/>
              </w:rPr>
              <w:t>Stage 1</w:t>
            </w:r>
          </w:p>
        </w:tc>
        <w:tc>
          <w:tcPr>
            <w:tcW w:type="dxa" w:w="3456"/>
            <w:vAlign w:val="top"/>
          </w:tcPr>
          <w:p>
            <w:pPr>
              <w:spacing w:after="0"/>
              <w:jc w:val="left"/>
            </w:pPr>
            <w:r>
              <w:rPr>
                <w:rFonts w:ascii="Aptos" w:hAnsi="Aptos"/>
                <w:sz w:val="16"/>
              </w:rPr>
            </w:r>
            <w:r>
              <w:rPr>
                <w:rFonts w:ascii="Aptos" w:hAnsi="Aptos"/>
                <w:b w:val="0"/>
                <w:sz w:val="16"/>
              </w:rPr>
              <w:t>Seismic starter network and corridor reservation</w:t>
            </w:r>
          </w:p>
        </w:tc>
        <w:tc>
          <w:tcPr>
            <w:tcW w:type="dxa" w:w="3456"/>
            <w:vAlign w:val="top"/>
          </w:tcPr>
          <w:p>
            <w:pPr>
              <w:spacing w:after="0"/>
              <w:jc w:val="left"/>
            </w:pPr>
            <w:r>
              <w:rPr>
                <w:rFonts w:ascii="Aptos" w:hAnsi="Aptos"/>
                <w:sz w:val="16"/>
              </w:rPr>
            </w:r>
            <w:r>
              <w:rPr>
                <w:rFonts w:ascii="Aptos" w:hAnsi="Aptos"/>
                <w:b w:val="0"/>
                <w:sz w:val="16"/>
              </w:rPr>
              <w:t>Initial sensors active, solar and launch rail alignments reserved, mineral district staked.</w:t>
            </w:r>
          </w:p>
        </w:tc>
      </w:tr>
      <w:tr>
        <w:tc>
          <w:tcPr>
            <w:tcW w:type="dxa" w:w="3456"/>
            <w:vAlign w:val="top"/>
          </w:tcPr>
          <w:p>
            <w:pPr>
              <w:spacing w:after="0"/>
              <w:jc w:val="left"/>
            </w:pPr>
            <w:r>
              <w:rPr>
                <w:rFonts w:ascii="Aptos" w:hAnsi="Aptos"/>
                <w:sz w:val="16"/>
              </w:rPr>
            </w:r>
            <w:r>
              <w:rPr>
                <w:rFonts w:ascii="Aptos" w:hAnsi="Aptos"/>
                <w:b w:val="0"/>
                <w:sz w:val="16"/>
              </w:rPr>
              <w:t>Stage 2</w:t>
            </w:r>
          </w:p>
        </w:tc>
        <w:tc>
          <w:tcPr>
            <w:tcW w:type="dxa" w:w="3456"/>
            <w:vAlign w:val="top"/>
          </w:tcPr>
          <w:p>
            <w:pPr>
              <w:spacing w:after="0"/>
              <w:jc w:val="left"/>
            </w:pPr>
            <w:r>
              <w:rPr>
                <w:rFonts w:ascii="Aptos" w:hAnsi="Aptos"/>
                <w:sz w:val="16"/>
              </w:rPr>
            </w:r>
            <w:r>
              <w:rPr>
                <w:rFonts w:ascii="Aptos" w:hAnsi="Aptos"/>
                <w:b w:val="0"/>
                <w:sz w:val="16"/>
              </w:rPr>
              <w:t>Pilot solar field and geophysical baseline</w:t>
            </w:r>
          </w:p>
        </w:tc>
        <w:tc>
          <w:tcPr>
            <w:tcW w:type="dxa" w:w="3456"/>
            <w:vAlign w:val="top"/>
          </w:tcPr>
          <w:p>
            <w:pPr>
              <w:spacing w:after="0"/>
              <w:jc w:val="left"/>
            </w:pPr>
            <w:r>
              <w:rPr>
                <w:rFonts w:ascii="Aptos" w:hAnsi="Aptos"/>
                <w:sz w:val="16"/>
              </w:rPr>
            </w:r>
            <w:r>
              <w:rPr>
                <w:rFonts w:ascii="Aptos" w:hAnsi="Aptos"/>
                <w:b w:val="0"/>
                <w:sz w:val="16"/>
              </w:rPr>
              <w:t>Solar pilot tied to construction microgrid. Local seismic baseline established before deep excavation growth.</w:t>
            </w:r>
          </w:p>
        </w:tc>
      </w:tr>
      <w:tr>
        <w:tc>
          <w:tcPr>
            <w:tcW w:type="dxa" w:w="3456"/>
            <w:vAlign w:val="top"/>
          </w:tcPr>
          <w:p>
            <w:pPr>
              <w:spacing w:after="0"/>
              <w:jc w:val="left"/>
            </w:pPr>
            <w:r>
              <w:rPr>
                <w:rFonts w:ascii="Aptos" w:hAnsi="Aptos"/>
                <w:sz w:val="16"/>
              </w:rPr>
            </w:r>
            <w:r>
              <w:rPr>
                <w:rFonts w:ascii="Aptos" w:hAnsi="Aptos"/>
                <w:b w:val="0"/>
                <w:sz w:val="16"/>
              </w:rPr>
              <w:t>Stage 3</w:t>
            </w:r>
          </w:p>
        </w:tc>
        <w:tc>
          <w:tcPr>
            <w:tcW w:type="dxa" w:w="3456"/>
            <w:vAlign w:val="top"/>
          </w:tcPr>
          <w:p>
            <w:pPr>
              <w:spacing w:after="0"/>
              <w:jc w:val="left"/>
            </w:pPr>
            <w:r>
              <w:rPr>
                <w:rFonts w:ascii="Aptos" w:hAnsi="Aptos"/>
                <w:sz w:val="16"/>
              </w:rPr>
            </w:r>
            <w:r>
              <w:rPr>
                <w:rFonts w:ascii="Aptos" w:hAnsi="Aptos"/>
                <w:b w:val="0"/>
                <w:sz w:val="16"/>
              </w:rPr>
              <w:t>Spaceport earthworks and microwave pilot preparation</w:t>
            </w:r>
          </w:p>
        </w:tc>
        <w:tc>
          <w:tcPr>
            <w:tcW w:type="dxa" w:w="3456"/>
            <w:vAlign w:val="top"/>
          </w:tcPr>
          <w:p>
            <w:pPr>
              <w:spacing w:after="0"/>
              <w:jc w:val="left"/>
            </w:pPr>
            <w:r>
              <w:rPr>
                <w:rFonts w:ascii="Aptos" w:hAnsi="Aptos"/>
                <w:sz w:val="16"/>
              </w:rPr>
            </w:r>
            <w:r>
              <w:rPr>
                <w:rFonts w:ascii="Aptos" w:hAnsi="Aptos"/>
                <w:b w:val="0"/>
                <w:sz w:val="16"/>
              </w:rPr>
              <w:t>Spaceport grading begins. Microwave receiver site prepared. Mineral district civil work begins.</w:t>
            </w:r>
          </w:p>
        </w:tc>
      </w:tr>
      <w:tr>
        <w:tc>
          <w:tcPr>
            <w:tcW w:type="dxa" w:w="3456"/>
            <w:vAlign w:val="top"/>
          </w:tcPr>
          <w:p>
            <w:pPr>
              <w:spacing w:after="0"/>
              <w:jc w:val="left"/>
            </w:pPr>
            <w:r>
              <w:rPr>
                <w:rFonts w:ascii="Aptos" w:hAnsi="Aptos"/>
                <w:sz w:val="16"/>
              </w:rPr>
            </w:r>
            <w:r>
              <w:rPr>
                <w:rFonts w:ascii="Aptos" w:hAnsi="Aptos"/>
                <w:b w:val="0"/>
                <w:sz w:val="16"/>
              </w:rPr>
              <w:t>Stage 4</w:t>
            </w:r>
          </w:p>
        </w:tc>
        <w:tc>
          <w:tcPr>
            <w:tcW w:type="dxa" w:w="3456"/>
            <w:vAlign w:val="top"/>
          </w:tcPr>
          <w:p>
            <w:pPr>
              <w:spacing w:after="0"/>
              <w:jc w:val="left"/>
            </w:pPr>
            <w:r>
              <w:rPr>
                <w:rFonts w:ascii="Aptos" w:hAnsi="Aptos"/>
                <w:sz w:val="16"/>
              </w:rPr>
            </w:r>
            <w:r>
              <w:rPr>
                <w:rFonts w:ascii="Aptos" w:hAnsi="Aptos"/>
                <w:b w:val="0"/>
                <w:sz w:val="16"/>
              </w:rPr>
              <w:t>Mineral beneficiation starter build</w:t>
            </w:r>
          </w:p>
        </w:tc>
        <w:tc>
          <w:tcPr>
            <w:tcW w:type="dxa" w:w="3456"/>
            <w:vAlign w:val="top"/>
          </w:tcPr>
          <w:p>
            <w:pPr>
              <w:spacing w:after="0"/>
              <w:jc w:val="left"/>
            </w:pPr>
            <w:r>
              <w:rPr>
                <w:rFonts w:ascii="Aptos" w:hAnsi="Aptos"/>
                <w:sz w:val="16"/>
              </w:rPr>
            </w:r>
            <w:r>
              <w:rPr>
                <w:rFonts w:ascii="Aptos" w:hAnsi="Aptos"/>
                <w:b w:val="0"/>
                <w:sz w:val="16"/>
              </w:rPr>
              <w:t>Beneficiation hall civil shell and dust isolation systems installed. Solar farm expands.</w:t>
            </w:r>
          </w:p>
        </w:tc>
      </w:tr>
      <w:tr>
        <w:tc>
          <w:tcPr>
            <w:tcW w:type="dxa" w:w="3456"/>
            <w:vAlign w:val="top"/>
          </w:tcPr>
          <w:p>
            <w:pPr>
              <w:spacing w:after="0"/>
              <w:jc w:val="left"/>
            </w:pPr>
            <w:r>
              <w:rPr>
                <w:rFonts w:ascii="Aptos" w:hAnsi="Aptos"/>
                <w:sz w:val="16"/>
              </w:rPr>
            </w:r>
            <w:r>
              <w:rPr>
                <w:rFonts w:ascii="Aptos" w:hAnsi="Aptos"/>
                <w:b w:val="0"/>
                <w:sz w:val="16"/>
              </w:rPr>
              <w:t>Stage 5</w:t>
            </w:r>
          </w:p>
        </w:tc>
        <w:tc>
          <w:tcPr>
            <w:tcW w:type="dxa" w:w="3456"/>
            <w:vAlign w:val="top"/>
          </w:tcPr>
          <w:p>
            <w:pPr>
              <w:spacing w:after="0"/>
              <w:jc w:val="left"/>
            </w:pPr>
            <w:r>
              <w:rPr>
                <w:rFonts w:ascii="Aptos" w:hAnsi="Aptos"/>
                <w:sz w:val="16"/>
              </w:rPr>
            </w:r>
            <w:r>
              <w:rPr>
                <w:rFonts w:ascii="Aptos" w:hAnsi="Aptos"/>
                <w:b w:val="0"/>
                <w:sz w:val="16"/>
              </w:rPr>
              <w:t>Mineral starter lines and spaceport operations center</w:t>
            </w:r>
          </w:p>
        </w:tc>
        <w:tc>
          <w:tcPr>
            <w:tcW w:type="dxa" w:w="3456"/>
            <w:vAlign w:val="top"/>
          </w:tcPr>
          <w:p>
            <w:pPr>
              <w:spacing w:after="0"/>
              <w:jc w:val="left"/>
            </w:pPr>
            <w:r>
              <w:rPr>
                <w:rFonts w:ascii="Aptos" w:hAnsi="Aptos"/>
                <w:sz w:val="16"/>
              </w:rPr>
            </w:r>
            <w:r>
              <w:rPr>
                <w:rFonts w:ascii="Aptos" w:hAnsi="Aptos"/>
                <w:b w:val="0"/>
                <w:sz w:val="16"/>
              </w:rPr>
              <w:t>Starter mineral processing certified. Spaceport operations center active. Microwave receiver pilot commissioned.</w:t>
            </w:r>
          </w:p>
        </w:tc>
      </w:tr>
      <w:tr>
        <w:tc>
          <w:tcPr>
            <w:tcW w:type="dxa" w:w="3456"/>
            <w:vAlign w:val="top"/>
          </w:tcPr>
          <w:p>
            <w:pPr>
              <w:spacing w:after="0"/>
              <w:jc w:val="left"/>
            </w:pPr>
            <w:r>
              <w:rPr>
                <w:rFonts w:ascii="Aptos" w:hAnsi="Aptos"/>
                <w:sz w:val="16"/>
              </w:rPr>
            </w:r>
            <w:r>
              <w:rPr>
                <w:rFonts w:ascii="Aptos" w:hAnsi="Aptos"/>
                <w:b w:val="0"/>
                <w:sz w:val="16"/>
              </w:rPr>
              <w:t>Stage 6</w:t>
            </w:r>
          </w:p>
        </w:tc>
        <w:tc>
          <w:tcPr>
            <w:tcW w:type="dxa" w:w="3456"/>
            <w:vAlign w:val="top"/>
          </w:tcPr>
          <w:p>
            <w:pPr>
              <w:spacing w:after="0"/>
              <w:jc w:val="left"/>
            </w:pPr>
            <w:r>
              <w:rPr>
                <w:rFonts w:ascii="Aptos" w:hAnsi="Aptos"/>
                <w:sz w:val="16"/>
              </w:rPr>
            </w:r>
            <w:r>
              <w:rPr>
                <w:rFonts w:ascii="Aptos" w:hAnsi="Aptos"/>
                <w:b w:val="0"/>
                <w:sz w:val="16"/>
              </w:rPr>
              <w:t>Spaceport pad systems and launch rail demonstration</w:t>
            </w:r>
          </w:p>
        </w:tc>
        <w:tc>
          <w:tcPr>
            <w:tcW w:type="dxa" w:w="3456"/>
            <w:vAlign w:val="top"/>
          </w:tcPr>
          <w:p>
            <w:pPr>
              <w:spacing w:after="0"/>
              <w:jc w:val="left"/>
            </w:pPr>
            <w:r>
              <w:rPr>
                <w:rFonts w:ascii="Aptos" w:hAnsi="Aptos"/>
                <w:sz w:val="16"/>
              </w:rPr>
            </w:r>
            <w:r>
              <w:rPr>
                <w:rFonts w:ascii="Aptos" w:hAnsi="Aptos"/>
                <w:b w:val="0"/>
                <w:sz w:val="16"/>
              </w:rPr>
              <w:t>Major spaceport pads operational. EM launch rail demonstration line begins test campaign.</w:t>
            </w:r>
          </w:p>
        </w:tc>
      </w:tr>
      <w:tr>
        <w:tc>
          <w:tcPr>
            <w:tcW w:type="dxa" w:w="3456"/>
            <w:vAlign w:val="top"/>
          </w:tcPr>
          <w:p>
            <w:pPr>
              <w:spacing w:after="0"/>
              <w:jc w:val="left"/>
            </w:pPr>
            <w:r>
              <w:rPr>
                <w:rFonts w:ascii="Aptos" w:hAnsi="Aptos"/>
                <w:sz w:val="16"/>
              </w:rPr>
            </w:r>
            <w:r>
              <w:rPr>
                <w:rFonts w:ascii="Aptos" w:hAnsi="Aptos"/>
                <w:b w:val="0"/>
                <w:sz w:val="16"/>
              </w:rPr>
              <w:t>Stage 7</w:t>
            </w:r>
          </w:p>
        </w:tc>
        <w:tc>
          <w:tcPr>
            <w:tcW w:type="dxa" w:w="3456"/>
            <w:vAlign w:val="top"/>
          </w:tcPr>
          <w:p>
            <w:pPr>
              <w:spacing w:after="0"/>
              <w:jc w:val="left"/>
            </w:pPr>
            <w:r>
              <w:rPr>
                <w:rFonts w:ascii="Aptos" w:hAnsi="Aptos"/>
                <w:sz w:val="16"/>
              </w:rPr>
            </w:r>
            <w:r>
              <w:rPr>
                <w:rFonts w:ascii="Aptos" w:hAnsi="Aptos"/>
                <w:b w:val="0"/>
                <w:sz w:val="16"/>
              </w:rPr>
              <w:t>Cargo launch rail and mineral export growth</w:t>
            </w:r>
          </w:p>
        </w:tc>
        <w:tc>
          <w:tcPr>
            <w:tcW w:type="dxa" w:w="3456"/>
            <w:vAlign w:val="top"/>
          </w:tcPr>
          <w:p>
            <w:pPr>
              <w:spacing w:after="0"/>
              <w:jc w:val="left"/>
            </w:pPr>
            <w:r>
              <w:rPr>
                <w:rFonts w:ascii="Aptos" w:hAnsi="Aptos"/>
                <w:sz w:val="16"/>
              </w:rPr>
            </w:r>
            <w:r>
              <w:rPr>
                <w:rFonts w:ascii="Aptos" w:hAnsi="Aptos"/>
                <w:b w:val="0"/>
                <w:sz w:val="16"/>
              </w:rPr>
              <w:t>Cargo focused launch line certified for approved commodities and mineral processing expands to export support.</w:t>
            </w:r>
          </w:p>
        </w:tc>
      </w:tr>
    </w:tbl>
    <w:p>
      <w:pPr>
        <w:spacing w:after="120"/>
      </w:pPr>
    </w:p>
    <w:p>
      <w:pPr>
        <w:spacing w:after="120"/>
      </w:pPr>
      <w:r>
        <w:rPr>
          <w:rFonts w:ascii="Aptos" w:hAnsi="Aptos"/>
          <w:b w:val="0"/>
          <w:i w:val="0"/>
          <w:sz w:val="21"/>
        </w:rPr>
        <w:t>Expected schedule impact is 12 to 24 months for full Rev 2.7 maturity. The hyperloop EM launch rail must remain off the critical path for 1000 person occupancy, refuge compliance, and 72 hour evacuation certification.</w:t>
      </w:r>
    </w:p>
    <w:p>
      <w:pPr>
        <w:pStyle w:val="Heading2"/>
        <w:spacing w:before="200" w:after="120"/>
      </w:pPr>
      <w:r>
        <w:rPr>
          <w:rFonts w:ascii="Aptos" w:hAnsi="Aptos"/>
          <w:b/>
          <w:sz w:val="24"/>
        </w:rPr>
        <w:t>17.11 Revised Cost and OpEx Baseline</w:t>
      </w:r>
    </w:p>
    <w:tbl>
      <w:tblPr>
        <w:tblStyle w:val="TableGrid"/>
        <w:tblW w:type="auto" w:w="0"/>
        <w:jc w:val="center"/>
        <w:tblLayout w:type="autofit"/>
        <w:tblLook w:firstColumn="1" w:firstRow="1" w:lastColumn="0" w:lastRow="0" w:noHBand="0" w:noVBand="1" w:val="04A0"/>
      </w:tblPr>
      <w:tblGrid>
        <w:gridCol w:w="2074"/>
        <w:gridCol w:w="2074"/>
        <w:gridCol w:w="2074"/>
        <w:gridCol w:w="2074"/>
        <w:gridCol w:w="2074"/>
      </w:tblGrid>
      <w:tr>
        <w:tc>
          <w:tcPr>
            <w:tcW w:type="dxa" w:w="2074"/>
            <w:vAlign w:val="top"/>
            <w:shd w:fill="D9EAF7"/>
          </w:tcPr>
          <w:p>
            <w:pPr>
              <w:spacing w:after="0"/>
              <w:jc w:val="left"/>
            </w:pPr>
            <w:r>
              <w:rPr>
                <w:rFonts w:ascii="Aptos" w:hAnsi="Aptos"/>
                <w:b/>
                <w:sz w:val="16"/>
              </w:rPr>
            </w:r>
            <w:r>
              <w:rPr>
                <w:rFonts w:ascii="Aptos" w:hAnsi="Aptos"/>
                <w:b/>
                <w:sz w:val="16"/>
              </w:rPr>
              <w:t>Added system</w:t>
            </w:r>
          </w:p>
        </w:tc>
        <w:tc>
          <w:tcPr>
            <w:tcW w:type="dxa" w:w="2074"/>
            <w:vAlign w:val="top"/>
            <w:shd w:fill="D9EAF7"/>
          </w:tcPr>
          <w:p>
            <w:pPr>
              <w:spacing w:after="0"/>
              <w:jc w:val="left"/>
            </w:pPr>
            <w:r>
              <w:rPr>
                <w:rFonts w:ascii="Aptos" w:hAnsi="Aptos"/>
                <w:b/>
                <w:sz w:val="16"/>
              </w:rPr>
            </w:r>
            <w:r>
              <w:rPr>
                <w:rFonts w:ascii="Aptos" w:hAnsi="Aptos"/>
                <w:b/>
                <w:sz w:val="16"/>
              </w:rPr>
              <w:t>Low CapEx</w:t>
            </w:r>
          </w:p>
        </w:tc>
        <w:tc>
          <w:tcPr>
            <w:tcW w:type="dxa" w:w="2074"/>
            <w:vAlign w:val="top"/>
            <w:shd w:fill="D9EAF7"/>
          </w:tcPr>
          <w:p>
            <w:pPr>
              <w:spacing w:after="0"/>
              <w:jc w:val="left"/>
            </w:pPr>
            <w:r>
              <w:rPr>
                <w:rFonts w:ascii="Aptos" w:hAnsi="Aptos"/>
                <w:b/>
                <w:sz w:val="16"/>
              </w:rPr>
            </w:r>
            <w:r>
              <w:rPr>
                <w:rFonts w:ascii="Aptos" w:hAnsi="Aptos"/>
                <w:b/>
                <w:sz w:val="16"/>
              </w:rPr>
              <w:t>Mid CapEx</w:t>
            </w:r>
          </w:p>
        </w:tc>
        <w:tc>
          <w:tcPr>
            <w:tcW w:type="dxa" w:w="2074"/>
            <w:vAlign w:val="top"/>
            <w:shd w:fill="D9EAF7"/>
          </w:tcPr>
          <w:p>
            <w:pPr>
              <w:spacing w:after="0"/>
              <w:jc w:val="left"/>
            </w:pPr>
            <w:r>
              <w:rPr>
                <w:rFonts w:ascii="Aptos" w:hAnsi="Aptos"/>
                <w:b/>
                <w:sz w:val="16"/>
              </w:rPr>
            </w:r>
            <w:r>
              <w:rPr>
                <w:rFonts w:ascii="Aptos" w:hAnsi="Aptos"/>
                <w:b/>
                <w:sz w:val="16"/>
              </w:rPr>
              <w:t>High CapEx</w:t>
            </w:r>
          </w:p>
        </w:tc>
        <w:tc>
          <w:tcPr>
            <w:tcW w:type="dxa" w:w="2074"/>
            <w:vAlign w:val="top"/>
            <w:shd w:fill="D9EAF7"/>
          </w:tcPr>
          <w:p>
            <w:pPr>
              <w:spacing w:after="0"/>
              <w:jc w:val="left"/>
            </w:pPr>
            <w:r>
              <w:rPr>
                <w:rFonts w:ascii="Aptos" w:hAnsi="Aptos"/>
                <w:b/>
                <w:sz w:val="16"/>
              </w:rPr>
            </w:r>
            <w:r>
              <w:rPr>
                <w:rFonts w:ascii="Aptos" w:hAnsi="Aptos"/>
                <w:b/>
                <w:sz w:val="16"/>
              </w:rPr>
              <w:t>Mature annual OpEx, mid case</w:t>
            </w:r>
          </w:p>
        </w:tc>
      </w:tr>
      <w:tr>
        <w:tc>
          <w:tcPr>
            <w:tcW w:type="dxa" w:w="2074"/>
            <w:vAlign w:val="top"/>
          </w:tcPr>
          <w:p>
            <w:pPr>
              <w:spacing w:after="0"/>
              <w:jc w:val="left"/>
            </w:pPr>
            <w:r>
              <w:rPr>
                <w:rFonts w:ascii="Aptos" w:hAnsi="Aptos"/>
                <w:sz w:val="16"/>
              </w:rPr>
            </w:r>
            <w:r>
              <w:rPr>
                <w:rFonts w:ascii="Aptos" w:hAnsi="Aptos"/>
                <w:b w:val="0"/>
                <w:sz w:val="16"/>
              </w:rPr>
              <w:t>Surface spaceport</w:t>
            </w:r>
          </w:p>
        </w:tc>
        <w:tc>
          <w:tcPr>
            <w:tcW w:type="dxa" w:w="2074"/>
            <w:vAlign w:val="top"/>
          </w:tcPr>
          <w:p>
            <w:pPr>
              <w:spacing w:after="0"/>
              <w:jc w:val="left"/>
            </w:pPr>
            <w:r>
              <w:rPr>
                <w:rFonts w:ascii="Aptos" w:hAnsi="Aptos"/>
                <w:sz w:val="16"/>
              </w:rPr>
            </w:r>
            <w:r>
              <w:rPr>
                <w:rFonts w:ascii="Aptos" w:hAnsi="Aptos"/>
                <w:b w:val="0"/>
                <w:sz w:val="16"/>
              </w:rPr>
              <w:t>8.0B USD</w:t>
            </w:r>
          </w:p>
        </w:tc>
        <w:tc>
          <w:tcPr>
            <w:tcW w:type="dxa" w:w="2074"/>
            <w:vAlign w:val="top"/>
          </w:tcPr>
          <w:p>
            <w:pPr>
              <w:spacing w:after="0"/>
              <w:jc w:val="left"/>
            </w:pPr>
            <w:r>
              <w:rPr>
                <w:rFonts w:ascii="Aptos" w:hAnsi="Aptos"/>
                <w:sz w:val="16"/>
              </w:rPr>
            </w:r>
            <w:r>
              <w:rPr>
                <w:rFonts w:ascii="Aptos" w:hAnsi="Aptos"/>
                <w:b w:val="0"/>
                <w:sz w:val="16"/>
              </w:rPr>
              <w:t>11.5B USD</w:t>
            </w:r>
          </w:p>
        </w:tc>
        <w:tc>
          <w:tcPr>
            <w:tcW w:type="dxa" w:w="2074"/>
            <w:vAlign w:val="top"/>
          </w:tcPr>
          <w:p>
            <w:pPr>
              <w:spacing w:after="0"/>
              <w:jc w:val="left"/>
            </w:pPr>
            <w:r>
              <w:rPr>
                <w:rFonts w:ascii="Aptos" w:hAnsi="Aptos"/>
                <w:sz w:val="16"/>
              </w:rPr>
            </w:r>
            <w:r>
              <w:rPr>
                <w:rFonts w:ascii="Aptos" w:hAnsi="Aptos"/>
                <w:b w:val="0"/>
                <w:sz w:val="16"/>
              </w:rPr>
              <w:t>16.0B USD</w:t>
            </w:r>
          </w:p>
        </w:tc>
        <w:tc>
          <w:tcPr>
            <w:tcW w:type="dxa" w:w="2074"/>
            <w:vAlign w:val="top"/>
          </w:tcPr>
          <w:p>
            <w:pPr>
              <w:spacing w:after="0"/>
              <w:jc w:val="left"/>
            </w:pPr>
            <w:r>
              <w:rPr>
                <w:rFonts w:ascii="Aptos" w:hAnsi="Aptos"/>
                <w:sz w:val="16"/>
              </w:rPr>
            </w:r>
            <w:r>
              <w:rPr>
                <w:rFonts w:ascii="Aptos" w:hAnsi="Aptos"/>
                <w:b w:val="0"/>
                <w:sz w:val="16"/>
              </w:rPr>
              <w:t>1.1B USD</w:t>
            </w:r>
          </w:p>
        </w:tc>
      </w:tr>
      <w:tr>
        <w:tc>
          <w:tcPr>
            <w:tcW w:type="dxa" w:w="2074"/>
            <w:vAlign w:val="top"/>
          </w:tcPr>
          <w:p>
            <w:pPr>
              <w:spacing w:after="0"/>
              <w:jc w:val="left"/>
            </w:pPr>
            <w:r>
              <w:rPr>
                <w:rFonts w:ascii="Aptos" w:hAnsi="Aptos"/>
                <w:sz w:val="16"/>
              </w:rPr>
            </w:r>
            <w:r>
              <w:rPr>
                <w:rFonts w:ascii="Aptos" w:hAnsi="Aptos"/>
                <w:b w:val="0"/>
                <w:sz w:val="16"/>
              </w:rPr>
              <w:t>Hyperloop EM launch rail</w:t>
            </w:r>
          </w:p>
        </w:tc>
        <w:tc>
          <w:tcPr>
            <w:tcW w:type="dxa" w:w="2074"/>
            <w:vAlign w:val="top"/>
          </w:tcPr>
          <w:p>
            <w:pPr>
              <w:spacing w:after="0"/>
              <w:jc w:val="left"/>
            </w:pPr>
            <w:r>
              <w:rPr>
                <w:rFonts w:ascii="Aptos" w:hAnsi="Aptos"/>
                <w:sz w:val="16"/>
              </w:rPr>
            </w:r>
            <w:r>
              <w:rPr>
                <w:rFonts w:ascii="Aptos" w:hAnsi="Aptos"/>
                <w:b w:val="0"/>
                <w:sz w:val="16"/>
              </w:rPr>
              <w:t>12.0B USD</w:t>
            </w:r>
          </w:p>
        </w:tc>
        <w:tc>
          <w:tcPr>
            <w:tcW w:type="dxa" w:w="2074"/>
            <w:vAlign w:val="top"/>
          </w:tcPr>
          <w:p>
            <w:pPr>
              <w:spacing w:after="0"/>
              <w:jc w:val="left"/>
            </w:pPr>
            <w:r>
              <w:rPr>
                <w:rFonts w:ascii="Aptos" w:hAnsi="Aptos"/>
                <w:sz w:val="16"/>
              </w:rPr>
            </w:r>
            <w:r>
              <w:rPr>
                <w:rFonts w:ascii="Aptos" w:hAnsi="Aptos"/>
                <w:b w:val="0"/>
                <w:sz w:val="16"/>
              </w:rPr>
              <w:t>17.5B USD</w:t>
            </w:r>
          </w:p>
        </w:tc>
        <w:tc>
          <w:tcPr>
            <w:tcW w:type="dxa" w:w="2074"/>
            <w:vAlign w:val="top"/>
          </w:tcPr>
          <w:p>
            <w:pPr>
              <w:spacing w:after="0"/>
              <w:jc w:val="left"/>
            </w:pPr>
            <w:r>
              <w:rPr>
                <w:rFonts w:ascii="Aptos" w:hAnsi="Aptos"/>
                <w:sz w:val="16"/>
              </w:rPr>
            </w:r>
            <w:r>
              <w:rPr>
                <w:rFonts w:ascii="Aptos" w:hAnsi="Aptos"/>
                <w:b w:val="0"/>
                <w:sz w:val="16"/>
              </w:rPr>
              <w:t>25.0B USD</w:t>
            </w:r>
          </w:p>
        </w:tc>
        <w:tc>
          <w:tcPr>
            <w:tcW w:type="dxa" w:w="2074"/>
            <w:vAlign w:val="top"/>
          </w:tcPr>
          <w:p>
            <w:pPr>
              <w:spacing w:after="0"/>
              <w:jc w:val="left"/>
            </w:pPr>
            <w:r>
              <w:rPr>
                <w:rFonts w:ascii="Aptos" w:hAnsi="Aptos"/>
                <w:sz w:val="16"/>
              </w:rPr>
            </w:r>
            <w:r>
              <w:rPr>
                <w:rFonts w:ascii="Aptos" w:hAnsi="Aptos"/>
                <w:b w:val="0"/>
                <w:sz w:val="16"/>
              </w:rPr>
              <w:t>0.9B USD</w:t>
            </w:r>
          </w:p>
        </w:tc>
      </w:tr>
      <w:tr>
        <w:tc>
          <w:tcPr>
            <w:tcW w:type="dxa" w:w="2074"/>
            <w:vAlign w:val="top"/>
          </w:tcPr>
          <w:p>
            <w:pPr>
              <w:spacing w:after="0"/>
              <w:jc w:val="left"/>
            </w:pPr>
            <w:r>
              <w:rPr>
                <w:rFonts w:ascii="Aptos" w:hAnsi="Aptos"/>
                <w:sz w:val="16"/>
              </w:rPr>
            </w:r>
            <w:r>
              <w:rPr>
                <w:rFonts w:ascii="Aptos" w:hAnsi="Aptos"/>
                <w:b w:val="0"/>
                <w:sz w:val="16"/>
              </w:rPr>
              <w:t>Microwave power receiver</w:t>
            </w:r>
          </w:p>
        </w:tc>
        <w:tc>
          <w:tcPr>
            <w:tcW w:type="dxa" w:w="2074"/>
            <w:vAlign w:val="top"/>
          </w:tcPr>
          <w:p>
            <w:pPr>
              <w:spacing w:after="0"/>
              <w:jc w:val="left"/>
            </w:pPr>
            <w:r>
              <w:rPr>
                <w:rFonts w:ascii="Aptos" w:hAnsi="Aptos"/>
                <w:sz w:val="16"/>
              </w:rPr>
            </w:r>
            <w:r>
              <w:rPr>
                <w:rFonts w:ascii="Aptos" w:hAnsi="Aptos"/>
                <w:b w:val="0"/>
                <w:sz w:val="16"/>
              </w:rPr>
              <w:t>1.8B USD</w:t>
            </w:r>
          </w:p>
        </w:tc>
        <w:tc>
          <w:tcPr>
            <w:tcW w:type="dxa" w:w="2074"/>
            <w:vAlign w:val="top"/>
          </w:tcPr>
          <w:p>
            <w:pPr>
              <w:spacing w:after="0"/>
              <w:jc w:val="left"/>
            </w:pPr>
            <w:r>
              <w:rPr>
                <w:rFonts w:ascii="Aptos" w:hAnsi="Aptos"/>
                <w:sz w:val="16"/>
              </w:rPr>
            </w:r>
            <w:r>
              <w:rPr>
                <w:rFonts w:ascii="Aptos" w:hAnsi="Aptos"/>
                <w:b w:val="0"/>
                <w:sz w:val="16"/>
              </w:rPr>
              <w:t>2.9B USD</w:t>
            </w:r>
          </w:p>
        </w:tc>
        <w:tc>
          <w:tcPr>
            <w:tcW w:type="dxa" w:w="2074"/>
            <w:vAlign w:val="top"/>
          </w:tcPr>
          <w:p>
            <w:pPr>
              <w:spacing w:after="0"/>
              <w:jc w:val="left"/>
            </w:pPr>
            <w:r>
              <w:rPr>
                <w:rFonts w:ascii="Aptos" w:hAnsi="Aptos"/>
                <w:sz w:val="16"/>
              </w:rPr>
            </w:r>
            <w:r>
              <w:rPr>
                <w:rFonts w:ascii="Aptos" w:hAnsi="Aptos"/>
                <w:b w:val="0"/>
                <w:sz w:val="16"/>
              </w:rPr>
              <w:t>4.5B USD</w:t>
            </w:r>
          </w:p>
        </w:tc>
        <w:tc>
          <w:tcPr>
            <w:tcW w:type="dxa" w:w="2074"/>
            <w:vAlign w:val="top"/>
          </w:tcPr>
          <w:p>
            <w:pPr>
              <w:spacing w:after="0"/>
              <w:jc w:val="left"/>
            </w:pPr>
            <w:r>
              <w:rPr>
                <w:rFonts w:ascii="Aptos" w:hAnsi="Aptos"/>
                <w:sz w:val="16"/>
              </w:rPr>
            </w:r>
            <w:r>
              <w:rPr>
                <w:rFonts w:ascii="Aptos" w:hAnsi="Aptos"/>
                <w:b w:val="0"/>
                <w:sz w:val="16"/>
              </w:rPr>
              <w:t>0.25B USD</w:t>
            </w:r>
          </w:p>
        </w:tc>
      </w:tr>
      <w:tr>
        <w:tc>
          <w:tcPr>
            <w:tcW w:type="dxa" w:w="2074"/>
            <w:vAlign w:val="top"/>
          </w:tcPr>
          <w:p>
            <w:pPr>
              <w:spacing w:after="0"/>
              <w:jc w:val="left"/>
            </w:pPr>
            <w:r>
              <w:rPr>
                <w:rFonts w:ascii="Aptos" w:hAnsi="Aptos"/>
                <w:sz w:val="16"/>
              </w:rPr>
            </w:r>
            <w:r>
              <w:rPr>
                <w:rFonts w:ascii="Aptos" w:hAnsi="Aptos"/>
                <w:b w:val="0"/>
                <w:sz w:val="16"/>
              </w:rPr>
              <w:t>Surface solar farm</w:t>
            </w:r>
          </w:p>
        </w:tc>
        <w:tc>
          <w:tcPr>
            <w:tcW w:type="dxa" w:w="2074"/>
            <w:vAlign w:val="top"/>
          </w:tcPr>
          <w:p>
            <w:pPr>
              <w:spacing w:after="0"/>
              <w:jc w:val="left"/>
            </w:pPr>
            <w:r>
              <w:rPr>
                <w:rFonts w:ascii="Aptos" w:hAnsi="Aptos"/>
                <w:sz w:val="16"/>
              </w:rPr>
            </w:r>
            <w:r>
              <w:rPr>
                <w:rFonts w:ascii="Aptos" w:hAnsi="Aptos"/>
                <w:b w:val="0"/>
                <w:sz w:val="16"/>
              </w:rPr>
              <w:t>4.0B USD</w:t>
            </w:r>
          </w:p>
        </w:tc>
        <w:tc>
          <w:tcPr>
            <w:tcW w:type="dxa" w:w="2074"/>
            <w:vAlign w:val="top"/>
          </w:tcPr>
          <w:p>
            <w:pPr>
              <w:spacing w:after="0"/>
              <w:jc w:val="left"/>
            </w:pPr>
            <w:r>
              <w:rPr>
                <w:rFonts w:ascii="Aptos" w:hAnsi="Aptos"/>
                <w:sz w:val="16"/>
              </w:rPr>
            </w:r>
            <w:r>
              <w:rPr>
                <w:rFonts w:ascii="Aptos" w:hAnsi="Aptos"/>
                <w:b w:val="0"/>
                <w:sz w:val="16"/>
              </w:rPr>
              <w:t>6.2B USD</w:t>
            </w:r>
          </w:p>
        </w:tc>
        <w:tc>
          <w:tcPr>
            <w:tcW w:type="dxa" w:w="2074"/>
            <w:vAlign w:val="top"/>
          </w:tcPr>
          <w:p>
            <w:pPr>
              <w:spacing w:after="0"/>
              <w:jc w:val="left"/>
            </w:pPr>
            <w:r>
              <w:rPr>
                <w:rFonts w:ascii="Aptos" w:hAnsi="Aptos"/>
                <w:sz w:val="16"/>
              </w:rPr>
            </w:r>
            <w:r>
              <w:rPr>
                <w:rFonts w:ascii="Aptos" w:hAnsi="Aptos"/>
                <w:b w:val="0"/>
                <w:sz w:val="16"/>
              </w:rPr>
              <w:t>9.0B USD</w:t>
            </w:r>
          </w:p>
        </w:tc>
        <w:tc>
          <w:tcPr>
            <w:tcW w:type="dxa" w:w="2074"/>
            <w:vAlign w:val="top"/>
          </w:tcPr>
          <w:p>
            <w:pPr>
              <w:spacing w:after="0"/>
              <w:jc w:val="left"/>
            </w:pPr>
            <w:r>
              <w:rPr>
                <w:rFonts w:ascii="Aptos" w:hAnsi="Aptos"/>
                <w:sz w:val="16"/>
              </w:rPr>
            </w:r>
            <w:r>
              <w:rPr>
                <w:rFonts w:ascii="Aptos" w:hAnsi="Aptos"/>
                <w:b w:val="0"/>
                <w:sz w:val="16"/>
              </w:rPr>
              <w:t>0.35B USD</w:t>
            </w:r>
          </w:p>
        </w:tc>
      </w:tr>
      <w:tr>
        <w:tc>
          <w:tcPr>
            <w:tcW w:type="dxa" w:w="2074"/>
            <w:vAlign w:val="top"/>
          </w:tcPr>
          <w:p>
            <w:pPr>
              <w:spacing w:after="0"/>
              <w:jc w:val="left"/>
            </w:pPr>
            <w:r>
              <w:rPr>
                <w:rFonts w:ascii="Aptos" w:hAnsi="Aptos"/>
                <w:sz w:val="16"/>
              </w:rPr>
            </w:r>
            <w:r>
              <w:rPr>
                <w:rFonts w:ascii="Aptos" w:hAnsi="Aptos"/>
                <w:b w:val="0"/>
                <w:sz w:val="16"/>
              </w:rPr>
              <w:t>Lunar seismic monitoring</w:t>
            </w:r>
          </w:p>
        </w:tc>
        <w:tc>
          <w:tcPr>
            <w:tcW w:type="dxa" w:w="2074"/>
            <w:vAlign w:val="top"/>
          </w:tcPr>
          <w:p>
            <w:pPr>
              <w:spacing w:after="0"/>
              <w:jc w:val="left"/>
            </w:pPr>
            <w:r>
              <w:rPr>
                <w:rFonts w:ascii="Aptos" w:hAnsi="Aptos"/>
                <w:sz w:val="16"/>
              </w:rPr>
            </w:r>
            <w:r>
              <w:rPr>
                <w:rFonts w:ascii="Aptos" w:hAnsi="Aptos"/>
                <w:b w:val="0"/>
                <w:sz w:val="16"/>
              </w:rPr>
              <w:t>0.3B USD</w:t>
            </w:r>
          </w:p>
        </w:tc>
        <w:tc>
          <w:tcPr>
            <w:tcW w:type="dxa" w:w="2074"/>
            <w:vAlign w:val="top"/>
          </w:tcPr>
          <w:p>
            <w:pPr>
              <w:spacing w:after="0"/>
              <w:jc w:val="left"/>
            </w:pPr>
            <w:r>
              <w:rPr>
                <w:rFonts w:ascii="Aptos" w:hAnsi="Aptos"/>
                <w:sz w:val="16"/>
              </w:rPr>
            </w:r>
            <w:r>
              <w:rPr>
                <w:rFonts w:ascii="Aptos" w:hAnsi="Aptos"/>
                <w:b w:val="0"/>
                <w:sz w:val="16"/>
              </w:rPr>
              <w:t>0.55B USD</w:t>
            </w:r>
          </w:p>
        </w:tc>
        <w:tc>
          <w:tcPr>
            <w:tcW w:type="dxa" w:w="2074"/>
            <w:vAlign w:val="top"/>
          </w:tcPr>
          <w:p>
            <w:pPr>
              <w:spacing w:after="0"/>
              <w:jc w:val="left"/>
            </w:pPr>
            <w:r>
              <w:rPr>
                <w:rFonts w:ascii="Aptos" w:hAnsi="Aptos"/>
                <w:sz w:val="16"/>
              </w:rPr>
            </w:r>
            <w:r>
              <w:rPr>
                <w:rFonts w:ascii="Aptos" w:hAnsi="Aptos"/>
                <w:b w:val="0"/>
                <w:sz w:val="16"/>
              </w:rPr>
              <w:t>0.9B USD</w:t>
            </w:r>
          </w:p>
        </w:tc>
        <w:tc>
          <w:tcPr>
            <w:tcW w:type="dxa" w:w="2074"/>
            <w:vAlign w:val="top"/>
          </w:tcPr>
          <w:p>
            <w:pPr>
              <w:spacing w:after="0"/>
              <w:jc w:val="left"/>
            </w:pPr>
            <w:r>
              <w:rPr>
                <w:rFonts w:ascii="Aptos" w:hAnsi="Aptos"/>
                <w:sz w:val="16"/>
              </w:rPr>
            </w:r>
            <w:r>
              <w:rPr>
                <w:rFonts w:ascii="Aptos" w:hAnsi="Aptos"/>
                <w:b w:val="0"/>
                <w:sz w:val="16"/>
              </w:rPr>
              <w:t>0.08B USD</w:t>
            </w:r>
          </w:p>
        </w:tc>
      </w:tr>
      <w:tr>
        <w:tc>
          <w:tcPr>
            <w:tcW w:type="dxa" w:w="2074"/>
            <w:vAlign w:val="top"/>
          </w:tcPr>
          <w:p>
            <w:pPr>
              <w:spacing w:after="0"/>
              <w:jc w:val="left"/>
            </w:pPr>
            <w:r>
              <w:rPr>
                <w:rFonts w:ascii="Aptos" w:hAnsi="Aptos"/>
                <w:sz w:val="16"/>
              </w:rPr>
            </w:r>
            <w:r>
              <w:rPr>
                <w:rFonts w:ascii="Aptos" w:hAnsi="Aptos"/>
                <w:b w:val="0"/>
                <w:sz w:val="16"/>
              </w:rPr>
              <w:t>Separate mineral processing</w:t>
            </w:r>
          </w:p>
        </w:tc>
        <w:tc>
          <w:tcPr>
            <w:tcW w:type="dxa" w:w="2074"/>
            <w:vAlign w:val="top"/>
          </w:tcPr>
          <w:p>
            <w:pPr>
              <w:spacing w:after="0"/>
              <w:jc w:val="left"/>
            </w:pPr>
            <w:r>
              <w:rPr>
                <w:rFonts w:ascii="Aptos" w:hAnsi="Aptos"/>
                <w:sz w:val="16"/>
              </w:rPr>
            </w:r>
            <w:r>
              <w:rPr>
                <w:rFonts w:ascii="Aptos" w:hAnsi="Aptos"/>
                <w:b w:val="0"/>
                <w:sz w:val="16"/>
              </w:rPr>
              <w:t>5.5B USD</w:t>
            </w:r>
          </w:p>
        </w:tc>
        <w:tc>
          <w:tcPr>
            <w:tcW w:type="dxa" w:w="2074"/>
            <w:vAlign w:val="top"/>
          </w:tcPr>
          <w:p>
            <w:pPr>
              <w:spacing w:after="0"/>
              <w:jc w:val="left"/>
            </w:pPr>
            <w:r>
              <w:rPr>
                <w:rFonts w:ascii="Aptos" w:hAnsi="Aptos"/>
                <w:sz w:val="16"/>
              </w:rPr>
            </w:r>
            <w:r>
              <w:rPr>
                <w:rFonts w:ascii="Aptos" w:hAnsi="Aptos"/>
                <w:b w:val="0"/>
                <w:sz w:val="16"/>
              </w:rPr>
              <w:t>8.4B USD</w:t>
            </w:r>
          </w:p>
        </w:tc>
        <w:tc>
          <w:tcPr>
            <w:tcW w:type="dxa" w:w="2074"/>
            <w:vAlign w:val="top"/>
          </w:tcPr>
          <w:p>
            <w:pPr>
              <w:spacing w:after="0"/>
              <w:jc w:val="left"/>
            </w:pPr>
            <w:r>
              <w:rPr>
                <w:rFonts w:ascii="Aptos" w:hAnsi="Aptos"/>
                <w:sz w:val="16"/>
              </w:rPr>
            </w:r>
            <w:r>
              <w:rPr>
                <w:rFonts w:ascii="Aptos" w:hAnsi="Aptos"/>
                <w:b w:val="0"/>
                <w:sz w:val="16"/>
              </w:rPr>
              <w:t>12.0B USD</w:t>
            </w:r>
          </w:p>
        </w:tc>
        <w:tc>
          <w:tcPr>
            <w:tcW w:type="dxa" w:w="2074"/>
            <w:vAlign w:val="top"/>
          </w:tcPr>
          <w:p>
            <w:pPr>
              <w:spacing w:after="0"/>
              <w:jc w:val="left"/>
            </w:pPr>
            <w:r>
              <w:rPr>
                <w:rFonts w:ascii="Aptos" w:hAnsi="Aptos"/>
                <w:sz w:val="16"/>
              </w:rPr>
            </w:r>
            <w:r>
              <w:rPr>
                <w:rFonts w:ascii="Aptos" w:hAnsi="Aptos"/>
                <w:b w:val="0"/>
                <w:sz w:val="16"/>
              </w:rPr>
              <w:t>1.1B USD</w:t>
            </w:r>
          </w:p>
        </w:tc>
      </w:tr>
      <w:tr>
        <w:tc>
          <w:tcPr>
            <w:tcW w:type="dxa" w:w="2074"/>
            <w:vAlign w:val="top"/>
          </w:tcPr>
          <w:p>
            <w:pPr>
              <w:spacing w:after="0"/>
              <w:jc w:val="left"/>
            </w:pPr>
            <w:r>
              <w:rPr>
                <w:rFonts w:ascii="Aptos" w:hAnsi="Aptos"/>
                <w:sz w:val="16"/>
              </w:rPr>
            </w:r>
            <w:r>
              <w:rPr>
                <w:rFonts w:ascii="Aptos" w:hAnsi="Aptos"/>
                <w:b w:val="0"/>
                <w:sz w:val="16"/>
              </w:rPr>
              <w:t>Total added</w:t>
            </w:r>
          </w:p>
        </w:tc>
        <w:tc>
          <w:tcPr>
            <w:tcW w:type="dxa" w:w="2074"/>
            <w:vAlign w:val="top"/>
          </w:tcPr>
          <w:p>
            <w:pPr>
              <w:spacing w:after="0"/>
              <w:jc w:val="left"/>
            </w:pPr>
            <w:r>
              <w:rPr>
                <w:rFonts w:ascii="Aptos" w:hAnsi="Aptos"/>
                <w:sz w:val="16"/>
              </w:rPr>
            </w:r>
            <w:r>
              <w:rPr>
                <w:rFonts w:ascii="Aptos" w:hAnsi="Aptos"/>
                <w:b w:val="0"/>
                <w:sz w:val="16"/>
              </w:rPr>
              <w:t>31.6B USD</w:t>
            </w:r>
          </w:p>
        </w:tc>
        <w:tc>
          <w:tcPr>
            <w:tcW w:type="dxa" w:w="2074"/>
            <w:vAlign w:val="top"/>
          </w:tcPr>
          <w:p>
            <w:pPr>
              <w:spacing w:after="0"/>
              <w:jc w:val="left"/>
            </w:pPr>
            <w:r>
              <w:rPr>
                <w:rFonts w:ascii="Aptos" w:hAnsi="Aptos"/>
                <w:sz w:val="16"/>
              </w:rPr>
            </w:r>
            <w:r>
              <w:rPr>
                <w:rFonts w:ascii="Aptos" w:hAnsi="Aptos"/>
                <w:b w:val="0"/>
                <w:sz w:val="16"/>
              </w:rPr>
              <w:t>47.05B USD</w:t>
            </w:r>
          </w:p>
        </w:tc>
        <w:tc>
          <w:tcPr>
            <w:tcW w:type="dxa" w:w="2074"/>
            <w:vAlign w:val="top"/>
          </w:tcPr>
          <w:p>
            <w:pPr>
              <w:spacing w:after="0"/>
              <w:jc w:val="left"/>
            </w:pPr>
            <w:r>
              <w:rPr>
                <w:rFonts w:ascii="Aptos" w:hAnsi="Aptos"/>
                <w:sz w:val="16"/>
              </w:rPr>
            </w:r>
            <w:r>
              <w:rPr>
                <w:rFonts w:ascii="Aptos" w:hAnsi="Aptos"/>
                <w:b w:val="0"/>
                <w:sz w:val="16"/>
              </w:rPr>
              <w:t>67.4B USD</w:t>
            </w:r>
          </w:p>
        </w:tc>
        <w:tc>
          <w:tcPr>
            <w:tcW w:type="dxa" w:w="2074"/>
            <w:vAlign w:val="top"/>
          </w:tcPr>
          <w:p>
            <w:pPr>
              <w:spacing w:after="0"/>
              <w:jc w:val="left"/>
            </w:pPr>
            <w:r>
              <w:rPr>
                <w:rFonts w:ascii="Aptos" w:hAnsi="Aptos"/>
                <w:sz w:val="16"/>
              </w:rPr>
            </w:r>
            <w:r>
              <w:rPr>
                <w:rFonts w:ascii="Aptos" w:hAnsi="Aptos"/>
                <w:b w:val="0"/>
                <w:sz w:val="16"/>
              </w:rPr>
              <w:t>3.8B USD</w:t>
            </w:r>
          </w:p>
        </w:tc>
      </w:tr>
    </w:tbl>
    <w:p>
      <w:pPr>
        <w:spacing w:after="120"/>
      </w:pP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Baseline</w:t>
            </w:r>
          </w:p>
        </w:tc>
        <w:tc>
          <w:tcPr>
            <w:tcW w:type="dxa" w:w="3456"/>
            <w:vAlign w:val="top"/>
            <w:shd w:fill="D9EAF7"/>
          </w:tcPr>
          <w:p>
            <w:pPr>
              <w:spacing w:after="0"/>
              <w:jc w:val="left"/>
            </w:pPr>
            <w:r>
              <w:rPr>
                <w:rFonts w:ascii="Aptos" w:hAnsi="Aptos"/>
                <w:b/>
                <w:sz w:val="16"/>
              </w:rPr>
            </w:r>
            <w:r>
              <w:rPr>
                <w:rFonts w:ascii="Aptos" w:hAnsi="Aptos"/>
                <w:b/>
                <w:sz w:val="16"/>
              </w:rPr>
              <w:t>Prior Rev 2.6</w:t>
            </w:r>
          </w:p>
        </w:tc>
        <w:tc>
          <w:tcPr>
            <w:tcW w:type="dxa" w:w="3456"/>
            <w:vAlign w:val="top"/>
            <w:shd w:fill="D9EAF7"/>
          </w:tcPr>
          <w:p>
            <w:pPr>
              <w:spacing w:after="0"/>
              <w:jc w:val="left"/>
            </w:pPr>
            <w:r>
              <w:rPr>
                <w:rFonts w:ascii="Aptos" w:hAnsi="Aptos"/>
                <w:b/>
                <w:sz w:val="16"/>
              </w:rPr>
            </w:r>
            <w:r>
              <w:rPr>
                <w:rFonts w:ascii="Aptos" w:hAnsi="Aptos"/>
                <w:b/>
                <w:sz w:val="16"/>
              </w:rPr>
              <w:t>Rev 2.7 revised</w:t>
            </w:r>
          </w:p>
        </w:tc>
      </w:tr>
      <w:tr>
        <w:tc>
          <w:tcPr>
            <w:tcW w:type="dxa" w:w="3456"/>
            <w:vAlign w:val="top"/>
          </w:tcPr>
          <w:p>
            <w:pPr>
              <w:spacing w:after="0"/>
              <w:jc w:val="left"/>
            </w:pPr>
            <w:r>
              <w:rPr>
                <w:rFonts w:ascii="Aptos" w:hAnsi="Aptos"/>
                <w:sz w:val="16"/>
              </w:rPr>
            </w:r>
            <w:r>
              <w:rPr>
                <w:rFonts w:ascii="Aptos" w:hAnsi="Aptos"/>
                <w:b w:val="0"/>
                <w:sz w:val="16"/>
              </w:rPr>
              <w:t>Capital baseline, low case</w:t>
            </w:r>
          </w:p>
        </w:tc>
        <w:tc>
          <w:tcPr>
            <w:tcW w:type="dxa" w:w="3456"/>
            <w:vAlign w:val="top"/>
          </w:tcPr>
          <w:p>
            <w:pPr>
              <w:spacing w:after="0"/>
              <w:jc w:val="left"/>
            </w:pPr>
            <w:r>
              <w:rPr>
                <w:rFonts w:ascii="Aptos" w:hAnsi="Aptos"/>
                <w:sz w:val="16"/>
              </w:rPr>
            </w:r>
            <w:r>
              <w:rPr>
                <w:rFonts w:ascii="Aptos" w:hAnsi="Aptos"/>
                <w:b w:val="0"/>
                <w:sz w:val="16"/>
              </w:rPr>
              <w:t>95.0B USD</w:t>
            </w:r>
          </w:p>
        </w:tc>
        <w:tc>
          <w:tcPr>
            <w:tcW w:type="dxa" w:w="3456"/>
            <w:vAlign w:val="top"/>
          </w:tcPr>
          <w:p>
            <w:pPr>
              <w:spacing w:after="0"/>
              <w:jc w:val="left"/>
            </w:pPr>
            <w:r>
              <w:rPr>
                <w:rFonts w:ascii="Aptos" w:hAnsi="Aptos"/>
                <w:sz w:val="16"/>
              </w:rPr>
            </w:r>
            <w:r>
              <w:rPr>
                <w:rFonts w:ascii="Aptos" w:hAnsi="Aptos"/>
                <w:b w:val="0"/>
                <w:sz w:val="16"/>
              </w:rPr>
              <w:t>126.6B USD</w:t>
            </w:r>
          </w:p>
        </w:tc>
      </w:tr>
      <w:tr>
        <w:tc>
          <w:tcPr>
            <w:tcW w:type="dxa" w:w="3456"/>
            <w:vAlign w:val="top"/>
          </w:tcPr>
          <w:p>
            <w:pPr>
              <w:spacing w:after="0"/>
              <w:jc w:val="left"/>
            </w:pPr>
            <w:r>
              <w:rPr>
                <w:rFonts w:ascii="Aptos" w:hAnsi="Aptos"/>
                <w:sz w:val="16"/>
              </w:rPr>
            </w:r>
            <w:r>
              <w:rPr>
                <w:rFonts w:ascii="Aptos" w:hAnsi="Aptos"/>
                <w:b w:val="0"/>
                <w:sz w:val="16"/>
              </w:rPr>
              <w:t>Capital baseline, mid case</w:t>
            </w:r>
          </w:p>
        </w:tc>
        <w:tc>
          <w:tcPr>
            <w:tcW w:type="dxa" w:w="3456"/>
            <w:vAlign w:val="top"/>
          </w:tcPr>
          <w:p>
            <w:pPr>
              <w:spacing w:after="0"/>
              <w:jc w:val="left"/>
            </w:pPr>
            <w:r>
              <w:rPr>
                <w:rFonts w:ascii="Aptos" w:hAnsi="Aptos"/>
                <w:sz w:val="16"/>
              </w:rPr>
            </w:r>
            <w:r>
              <w:rPr>
                <w:rFonts w:ascii="Aptos" w:hAnsi="Aptos"/>
                <w:b w:val="0"/>
                <w:sz w:val="16"/>
              </w:rPr>
              <w:t>129.3B USD</w:t>
            </w:r>
          </w:p>
        </w:tc>
        <w:tc>
          <w:tcPr>
            <w:tcW w:type="dxa" w:w="3456"/>
            <w:vAlign w:val="top"/>
          </w:tcPr>
          <w:p>
            <w:pPr>
              <w:spacing w:after="0"/>
              <w:jc w:val="left"/>
            </w:pPr>
            <w:r>
              <w:rPr>
                <w:rFonts w:ascii="Aptos" w:hAnsi="Aptos"/>
                <w:sz w:val="16"/>
              </w:rPr>
            </w:r>
            <w:r>
              <w:rPr>
                <w:rFonts w:ascii="Aptos" w:hAnsi="Aptos"/>
                <w:b w:val="0"/>
                <w:sz w:val="16"/>
              </w:rPr>
              <w:t>176.35B USD</w:t>
            </w:r>
          </w:p>
        </w:tc>
      </w:tr>
      <w:tr>
        <w:tc>
          <w:tcPr>
            <w:tcW w:type="dxa" w:w="3456"/>
            <w:vAlign w:val="top"/>
          </w:tcPr>
          <w:p>
            <w:pPr>
              <w:spacing w:after="0"/>
              <w:jc w:val="left"/>
            </w:pPr>
            <w:r>
              <w:rPr>
                <w:rFonts w:ascii="Aptos" w:hAnsi="Aptos"/>
                <w:sz w:val="16"/>
              </w:rPr>
            </w:r>
            <w:r>
              <w:rPr>
                <w:rFonts w:ascii="Aptos" w:hAnsi="Aptos"/>
                <w:b w:val="0"/>
                <w:sz w:val="16"/>
              </w:rPr>
              <w:t>Capital baseline, high case</w:t>
            </w:r>
          </w:p>
        </w:tc>
        <w:tc>
          <w:tcPr>
            <w:tcW w:type="dxa" w:w="3456"/>
            <w:vAlign w:val="top"/>
          </w:tcPr>
          <w:p>
            <w:pPr>
              <w:spacing w:after="0"/>
              <w:jc w:val="left"/>
            </w:pPr>
            <w:r>
              <w:rPr>
                <w:rFonts w:ascii="Aptos" w:hAnsi="Aptos"/>
                <w:sz w:val="16"/>
              </w:rPr>
            </w:r>
            <w:r>
              <w:rPr>
                <w:rFonts w:ascii="Aptos" w:hAnsi="Aptos"/>
                <w:b w:val="0"/>
                <w:sz w:val="16"/>
              </w:rPr>
              <w:t>182.0B USD</w:t>
            </w:r>
          </w:p>
        </w:tc>
        <w:tc>
          <w:tcPr>
            <w:tcW w:type="dxa" w:w="3456"/>
            <w:vAlign w:val="top"/>
          </w:tcPr>
          <w:p>
            <w:pPr>
              <w:spacing w:after="0"/>
              <w:jc w:val="left"/>
            </w:pPr>
            <w:r>
              <w:rPr>
                <w:rFonts w:ascii="Aptos" w:hAnsi="Aptos"/>
                <w:sz w:val="16"/>
              </w:rPr>
            </w:r>
            <w:r>
              <w:rPr>
                <w:rFonts w:ascii="Aptos" w:hAnsi="Aptos"/>
                <w:b w:val="0"/>
                <w:sz w:val="16"/>
              </w:rPr>
              <w:t>249.4B USD</w:t>
            </w:r>
          </w:p>
        </w:tc>
      </w:tr>
      <w:tr>
        <w:tc>
          <w:tcPr>
            <w:tcW w:type="dxa" w:w="3456"/>
            <w:vAlign w:val="top"/>
          </w:tcPr>
          <w:p>
            <w:pPr>
              <w:spacing w:after="0"/>
              <w:jc w:val="left"/>
            </w:pPr>
            <w:r>
              <w:rPr>
                <w:rFonts w:ascii="Aptos" w:hAnsi="Aptos"/>
                <w:sz w:val="16"/>
              </w:rPr>
            </w:r>
            <w:r>
              <w:rPr>
                <w:rFonts w:ascii="Aptos" w:hAnsi="Aptos"/>
                <w:b w:val="0"/>
                <w:sz w:val="16"/>
              </w:rPr>
              <w:t>Mature annual OpEx, mid case</w:t>
            </w:r>
          </w:p>
        </w:tc>
        <w:tc>
          <w:tcPr>
            <w:tcW w:type="dxa" w:w="3456"/>
            <w:vAlign w:val="top"/>
          </w:tcPr>
          <w:p>
            <w:pPr>
              <w:spacing w:after="0"/>
              <w:jc w:val="left"/>
            </w:pPr>
            <w:r>
              <w:rPr>
                <w:rFonts w:ascii="Aptos" w:hAnsi="Aptos"/>
                <w:sz w:val="16"/>
              </w:rPr>
            </w:r>
            <w:r>
              <w:rPr>
                <w:rFonts w:ascii="Aptos" w:hAnsi="Aptos"/>
                <w:b w:val="0"/>
                <w:sz w:val="16"/>
              </w:rPr>
              <w:t>11.2B USD</w:t>
            </w:r>
          </w:p>
        </w:tc>
        <w:tc>
          <w:tcPr>
            <w:tcW w:type="dxa" w:w="3456"/>
            <w:vAlign w:val="top"/>
          </w:tcPr>
          <w:p>
            <w:pPr>
              <w:spacing w:after="0"/>
              <w:jc w:val="left"/>
            </w:pPr>
            <w:r>
              <w:rPr>
                <w:rFonts w:ascii="Aptos" w:hAnsi="Aptos"/>
                <w:sz w:val="16"/>
              </w:rPr>
            </w:r>
            <w:r>
              <w:rPr>
                <w:rFonts w:ascii="Aptos" w:hAnsi="Aptos"/>
                <w:b w:val="0"/>
                <w:sz w:val="16"/>
              </w:rPr>
              <w:t>15.0B USD</w:t>
            </w:r>
          </w:p>
        </w:tc>
      </w:tr>
      <w:tr>
        <w:tc>
          <w:tcPr>
            <w:tcW w:type="dxa" w:w="3456"/>
            <w:vAlign w:val="top"/>
          </w:tcPr>
          <w:p>
            <w:pPr>
              <w:spacing w:after="0"/>
              <w:jc w:val="left"/>
            </w:pPr>
            <w:r>
              <w:rPr>
                <w:rFonts w:ascii="Aptos" w:hAnsi="Aptos"/>
                <w:sz w:val="16"/>
              </w:rPr>
            </w:r>
            <w:r>
              <w:rPr>
                <w:rFonts w:ascii="Aptos" w:hAnsi="Aptos"/>
                <w:b w:val="0"/>
                <w:sz w:val="16"/>
              </w:rPr>
              <w:t>Board planning rounded range</w:t>
            </w:r>
          </w:p>
        </w:tc>
        <w:tc>
          <w:tcPr>
            <w:tcW w:type="dxa" w:w="3456"/>
            <w:vAlign w:val="top"/>
          </w:tcPr>
          <w:p>
            <w:pPr>
              <w:spacing w:after="0"/>
              <w:jc w:val="left"/>
            </w:pPr>
            <w:r>
              <w:rPr>
                <w:rFonts w:ascii="Aptos" w:hAnsi="Aptos"/>
                <w:sz w:val="16"/>
              </w:rPr>
            </w:r>
            <w:r>
              <w:rPr>
                <w:rFonts w:ascii="Aptos" w:hAnsi="Aptos"/>
                <w:b w:val="0"/>
                <w:sz w:val="16"/>
              </w:rPr>
              <w:t>125B to 135B USD</w:t>
            </w:r>
          </w:p>
        </w:tc>
        <w:tc>
          <w:tcPr>
            <w:tcW w:type="dxa" w:w="3456"/>
            <w:vAlign w:val="top"/>
          </w:tcPr>
          <w:p>
            <w:pPr>
              <w:spacing w:after="0"/>
              <w:jc w:val="left"/>
            </w:pPr>
            <w:r>
              <w:rPr>
                <w:rFonts w:ascii="Aptos" w:hAnsi="Aptos"/>
                <w:sz w:val="16"/>
              </w:rPr>
            </w:r>
            <w:r>
              <w:rPr>
                <w:rFonts w:ascii="Aptos" w:hAnsi="Aptos"/>
                <w:b w:val="0"/>
                <w:sz w:val="16"/>
              </w:rPr>
              <w:t>175B to 180B USD</w:t>
            </w:r>
          </w:p>
        </w:tc>
      </w:tr>
    </w:tbl>
    <w:p>
      <w:pPr>
        <w:spacing w:after="120"/>
      </w:pPr>
    </w:p>
    <w:p>
      <w:pPr>
        <w:pStyle w:val="Heading2"/>
        <w:spacing w:before="200" w:after="120"/>
      </w:pPr>
      <w:r>
        <w:rPr>
          <w:rFonts w:ascii="Aptos" w:hAnsi="Aptos"/>
          <w:b/>
          <w:sz w:val="24"/>
        </w:rPr>
        <w:t>17.12 Revenue and Monetization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New revenue stream</w:t>
            </w:r>
          </w:p>
        </w:tc>
        <w:tc>
          <w:tcPr>
            <w:tcW w:type="dxa" w:w="3456"/>
            <w:vAlign w:val="top"/>
            <w:shd w:fill="D9EAF7"/>
          </w:tcPr>
          <w:p>
            <w:pPr>
              <w:spacing w:after="0"/>
              <w:jc w:val="left"/>
            </w:pPr>
            <w:r>
              <w:rPr>
                <w:rFonts w:ascii="Aptos" w:hAnsi="Aptos"/>
                <w:b/>
                <w:sz w:val="16"/>
              </w:rPr>
            </w:r>
            <w:r>
              <w:rPr>
                <w:rFonts w:ascii="Aptos" w:hAnsi="Aptos"/>
                <w:b/>
                <w:sz w:val="16"/>
              </w:rPr>
              <w:t>Commercial logic</w:t>
            </w:r>
          </w:p>
        </w:tc>
        <w:tc>
          <w:tcPr>
            <w:tcW w:type="dxa" w:w="3456"/>
            <w:vAlign w:val="top"/>
            <w:shd w:fill="D9EAF7"/>
          </w:tcPr>
          <w:p>
            <w:pPr>
              <w:spacing w:after="0"/>
              <w:jc w:val="left"/>
            </w:pPr>
            <w:r>
              <w:rPr>
                <w:rFonts w:ascii="Aptos" w:hAnsi="Aptos"/>
                <w:b/>
                <w:sz w:val="16"/>
              </w:rPr>
            </w:r>
            <w:r>
              <w:rPr>
                <w:rFonts w:ascii="Aptos" w:hAnsi="Aptos"/>
                <w:b/>
                <w:sz w:val="16"/>
              </w:rPr>
              <w:t>Base mature planning contribution</w:t>
            </w:r>
          </w:p>
        </w:tc>
      </w:tr>
      <w:tr>
        <w:tc>
          <w:tcPr>
            <w:tcW w:type="dxa" w:w="3456"/>
            <w:vAlign w:val="top"/>
          </w:tcPr>
          <w:p>
            <w:pPr>
              <w:spacing w:after="0"/>
              <w:jc w:val="left"/>
            </w:pPr>
            <w:r>
              <w:rPr>
                <w:rFonts w:ascii="Aptos" w:hAnsi="Aptos"/>
                <w:sz w:val="16"/>
              </w:rPr>
            </w:r>
            <w:r>
              <w:rPr>
                <w:rFonts w:ascii="Aptos" w:hAnsi="Aptos"/>
                <w:b w:val="0"/>
                <w:sz w:val="16"/>
              </w:rPr>
              <w:t>Spaceport services</w:t>
            </w:r>
          </w:p>
        </w:tc>
        <w:tc>
          <w:tcPr>
            <w:tcW w:type="dxa" w:w="3456"/>
            <w:vAlign w:val="top"/>
          </w:tcPr>
          <w:p>
            <w:pPr>
              <w:spacing w:after="0"/>
              <w:jc w:val="left"/>
            </w:pPr>
            <w:r>
              <w:rPr>
                <w:rFonts w:ascii="Aptos" w:hAnsi="Aptos"/>
                <w:sz w:val="16"/>
              </w:rPr>
            </w:r>
            <w:r>
              <w:rPr>
                <w:rFonts w:ascii="Aptos" w:hAnsi="Aptos"/>
                <w:b w:val="0"/>
                <w:sz w:val="16"/>
              </w:rPr>
              <w:t>Landing fees, launch support, passenger handling, vehicle turnaround, hazardous cargo support, orbital traffic support.</w:t>
            </w:r>
          </w:p>
        </w:tc>
        <w:tc>
          <w:tcPr>
            <w:tcW w:type="dxa" w:w="3456"/>
            <w:vAlign w:val="top"/>
          </w:tcPr>
          <w:p>
            <w:pPr>
              <w:spacing w:after="0"/>
              <w:jc w:val="left"/>
            </w:pPr>
            <w:r>
              <w:rPr>
                <w:rFonts w:ascii="Aptos" w:hAnsi="Aptos"/>
                <w:sz w:val="16"/>
              </w:rPr>
            </w:r>
            <w:r>
              <w:rPr>
                <w:rFonts w:ascii="Aptos" w:hAnsi="Aptos"/>
                <w:b w:val="0"/>
                <w:sz w:val="16"/>
              </w:rPr>
              <w:t>3.0B to 5.5B USD per year.</w:t>
            </w:r>
          </w:p>
        </w:tc>
      </w:tr>
      <w:tr>
        <w:tc>
          <w:tcPr>
            <w:tcW w:type="dxa" w:w="3456"/>
            <w:vAlign w:val="top"/>
          </w:tcPr>
          <w:p>
            <w:pPr>
              <w:spacing w:after="0"/>
              <w:jc w:val="left"/>
            </w:pPr>
            <w:r>
              <w:rPr>
                <w:rFonts w:ascii="Aptos" w:hAnsi="Aptos"/>
                <w:sz w:val="16"/>
              </w:rPr>
            </w:r>
            <w:r>
              <w:rPr>
                <w:rFonts w:ascii="Aptos" w:hAnsi="Aptos"/>
                <w:b w:val="0"/>
                <w:sz w:val="16"/>
              </w:rPr>
              <w:t>Hyperloop cargo launch services</w:t>
            </w:r>
          </w:p>
        </w:tc>
        <w:tc>
          <w:tcPr>
            <w:tcW w:type="dxa" w:w="3456"/>
            <w:vAlign w:val="top"/>
          </w:tcPr>
          <w:p>
            <w:pPr>
              <w:spacing w:after="0"/>
              <w:jc w:val="left"/>
            </w:pPr>
            <w:r>
              <w:rPr>
                <w:rFonts w:ascii="Aptos" w:hAnsi="Aptos"/>
                <w:sz w:val="16"/>
              </w:rPr>
            </w:r>
            <w:r>
              <w:rPr>
                <w:rFonts w:ascii="Aptos" w:hAnsi="Aptos"/>
                <w:b w:val="0"/>
                <w:sz w:val="16"/>
              </w:rPr>
              <w:t>High cadence cargo to orbit, mineral export, depot replenishment, propellant canister support.</w:t>
            </w:r>
          </w:p>
        </w:tc>
        <w:tc>
          <w:tcPr>
            <w:tcW w:type="dxa" w:w="3456"/>
            <w:vAlign w:val="top"/>
          </w:tcPr>
          <w:p>
            <w:pPr>
              <w:spacing w:after="0"/>
              <w:jc w:val="left"/>
            </w:pPr>
            <w:r>
              <w:rPr>
                <w:rFonts w:ascii="Aptos" w:hAnsi="Aptos"/>
                <w:sz w:val="16"/>
              </w:rPr>
            </w:r>
            <w:r>
              <w:rPr>
                <w:rFonts w:ascii="Aptos" w:hAnsi="Aptos"/>
                <w:b w:val="0"/>
                <w:sz w:val="16"/>
              </w:rPr>
              <w:t>2.0B to 5.0B USD per year after cargo certification.</w:t>
            </w:r>
          </w:p>
        </w:tc>
      </w:tr>
      <w:tr>
        <w:tc>
          <w:tcPr>
            <w:tcW w:type="dxa" w:w="3456"/>
            <w:vAlign w:val="top"/>
          </w:tcPr>
          <w:p>
            <w:pPr>
              <w:spacing w:after="0"/>
              <w:jc w:val="left"/>
            </w:pPr>
            <w:r>
              <w:rPr>
                <w:rFonts w:ascii="Aptos" w:hAnsi="Aptos"/>
                <w:sz w:val="16"/>
              </w:rPr>
            </w:r>
            <w:r>
              <w:rPr>
                <w:rFonts w:ascii="Aptos" w:hAnsi="Aptos"/>
                <w:b w:val="0"/>
                <w:sz w:val="16"/>
              </w:rPr>
              <w:t>Mineral processing products</w:t>
            </w:r>
          </w:p>
        </w:tc>
        <w:tc>
          <w:tcPr>
            <w:tcW w:type="dxa" w:w="3456"/>
            <w:vAlign w:val="top"/>
          </w:tcPr>
          <w:p>
            <w:pPr>
              <w:spacing w:after="0"/>
              <w:jc w:val="left"/>
            </w:pPr>
            <w:r>
              <w:rPr>
                <w:rFonts w:ascii="Aptos" w:hAnsi="Aptos"/>
                <w:sz w:val="16"/>
              </w:rPr>
            </w:r>
            <w:r>
              <w:rPr>
                <w:rFonts w:ascii="Aptos" w:hAnsi="Aptos"/>
                <w:b w:val="0"/>
                <w:sz w:val="16"/>
              </w:rPr>
              <w:t>Construction feedstock, refined oxides, metals, glass, ceramic materials, export concentrates.</w:t>
            </w:r>
          </w:p>
        </w:tc>
        <w:tc>
          <w:tcPr>
            <w:tcW w:type="dxa" w:w="3456"/>
            <w:vAlign w:val="top"/>
          </w:tcPr>
          <w:p>
            <w:pPr>
              <w:spacing w:after="0"/>
              <w:jc w:val="left"/>
            </w:pPr>
            <w:r>
              <w:rPr>
                <w:rFonts w:ascii="Aptos" w:hAnsi="Aptos"/>
                <w:sz w:val="16"/>
              </w:rPr>
            </w:r>
            <w:r>
              <w:rPr>
                <w:rFonts w:ascii="Aptos" w:hAnsi="Aptos"/>
                <w:b w:val="0"/>
                <w:sz w:val="16"/>
              </w:rPr>
              <w:t>1.5B to 4.0B USD per year.</w:t>
            </w:r>
          </w:p>
        </w:tc>
      </w:tr>
      <w:tr>
        <w:tc>
          <w:tcPr>
            <w:tcW w:type="dxa" w:w="3456"/>
            <w:vAlign w:val="top"/>
          </w:tcPr>
          <w:p>
            <w:pPr>
              <w:spacing w:after="0"/>
              <w:jc w:val="left"/>
            </w:pPr>
            <w:r>
              <w:rPr>
                <w:rFonts w:ascii="Aptos" w:hAnsi="Aptos"/>
                <w:sz w:val="16"/>
              </w:rPr>
            </w:r>
            <w:r>
              <w:rPr>
                <w:rFonts w:ascii="Aptos" w:hAnsi="Aptos"/>
                <w:b w:val="0"/>
                <w:sz w:val="16"/>
              </w:rPr>
              <w:t>Power and microwave reception services</w:t>
            </w:r>
          </w:p>
        </w:tc>
        <w:tc>
          <w:tcPr>
            <w:tcW w:type="dxa" w:w="3456"/>
            <w:vAlign w:val="top"/>
          </w:tcPr>
          <w:p>
            <w:pPr>
              <w:spacing w:after="0"/>
              <w:jc w:val="left"/>
            </w:pPr>
            <w:r>
              <w:rPr>
                <w:rFonts w:ascii="Aptos" w:hAnsi="Aptos"/>
                <w:sz w:val="16"/>
              </w:rPr>
            </w:r>
            <w:r>
              <w:rPr>
                <w:rFonts w:ascii="Aptos" w:hAnsi="Aptos"/>
                <w:b w:val="0"/>
                <w:sz w:val="16"/>
              </w:rPr>
              <w:t>Partner power, peak shaving, remote beamed power integration, supplemental grid services.</w:t>
            </w:r>
          </w:p>
        </w:tc>
        <w:tc>
          <w:tcPr>
            <w:tcW w:type="dxa" w:w="3456"/>
            <w:vAlign w:val="top"/>
          </w:tcPr>
          <w:p>
            <w:pPr>
              <w:spacing w:after="0"/>
              <w:jc w:val="left"/>
            </w:pPr>
            <w:r>
              <w:rPr>
                <w:rFonts w:ascii="Aptos" w:hAnsi="Aptos"/>
                <w:sz w:val="16"/>
              </w:rPr>
            </w:r>
            <w:r>
              <w:rPr>
                <w:rFonts w:ascii="Aptos" w:hAnsi="Aptos"/>
                <w:b w:val="0"/>
                <w:sz w:val="16"/>
              </w:rPr>
              <w:t>0.5B to 1.5B USD per year.</w:t>
            </w:r>
          </w:p>
        </w:tc>
      </w:tr>
      <w:tr>
        <w:tc>
          <w:tcPr>
            <w:tcW w:type="dxa" w:w="3456"/>
            <w:vAlign w:val="top"/>
          </w:tcPr>
          <w:p>
            <w:pPr>
              <w:spacing w:after="0"/>
              <w:jc w:val="left"/>
            </w:pPr>
            <w:r>
              <w:rPr>
                <w:rFonts w:ascii="Aptos" w:hAnsi="Aptos"/>
                <w:sz w:val="16"/>
              </w:rPr>
            </w:r>
            <w:r>
              <w:rPr>
                <w:rFonts w:ascii="Aptos" w:hAnsi="Aptos"/>
                <w:b w:val="0"/>
                <w:sz w:val="16"/>
              </w:rPr>
              <w:t>Seismic and structural assurance services</w:t>
            </w:r>
          </w:p>
        </w:tc>
        <w:tc>
          <w:tcPr>
            <w:tcW w:type="dxa" w:w="3456"/>
            <w:vAlign w:val="top"/>
          </w:tcPr>
          <w:p>
            <w:pPr>
              <w:spacing w:after="0"/>
              <w:jc w:val="left"/>
            </w:pPr>
            <w:r>
              <w:rPr>
                <w:rFonts w:ascii="Aptos" w:hAnsi="Aptos"/>
                <w:sz w:val="16"/>
              </w:rPr>
            </w:r>
            <w:r>
              <w:rPr>
                <w:rFonts w:ascii="Aptos" w:hAnsi="Aptos"/>
                <w:b w:val="0"/>
                <w:sz w:val="16"/>
              </w:rPr>
              <w:t>Geophysical data, tenant site assurance, launch rail and pad safety certification support.</w:t>
            </w:r>
          </w:p>
        </w:tc>
        <w:tc>
          <w:tcPr>
            <w:tcW w:type="dxa" w:w="3456"/>
            <w:vAlign w:val="top"/>
          </w:tcPr>
          <w:p>
            <w:pPr>
              <w:spacing w:after="0"/>
              <w:jc w:val="left"/>
            </w:pPr>
            <w:r>
              <w:rPr>
                <w:rFonts w:ascii="Aptos" w:hAnsi="Aptos"/>
                <w:sz w:val="16"/>
              </w:rPr>
            </w:r>
            <w:r>
              <w:rPr>
                <w:rFonts w:ascii="Aptos" w:hAnsi="Aptos"/>
                <w:b w:val="0"/>
                <w:sz w:val="16"/>
              </w:rPr>
              <w:t>0.05B to 0.25B USD per year.</w:t>
            </w:r>
          </w:p>
        </w:tc>
      </w:tr>
    </w:tbl>
    <w:p>
      <w:pPr>
        <w:spacing w:after="120"/>
      </w:pP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pPr>
              <w:spacing w:after="0"/>
              <w:jc w:val="left"/>
            </w:pPr>
            <w:r>
              <w:rPr>
                <w:rFonts w:ascii="Aptos" w:hAnsi="Aptos"/>
                <w:b/>
                <w:sz w:val="16"/>
              </w:rPr>
            </w:r>
            <w:r>
              <w:rPr>
                <w:rFonts w:ascii="Aptos" w:hAnsi="Aptos"/>
                <w:b/>
                <w:sz w:val="16"/>
              </w:rPr>
              <w:t>Case</w:t>
            </w:r>
          </w:p>
        </w:tc>
        <w:tc>
          <w:tcPr>
            <w:tcW w:type="dxa" w:w="2592"/>
            <w:vAlign w:val="top"/>
            <w:shd w:fill="D9EAF7"/>
          </w:tcPr>
          <w:p>
            <w:pPr>
              <w:spacing w:after="0"/>
              <w:jc w:val="left"/>
            </w:pPr>
            <w:r>
              <w:rPr>
                <w:rFonts w:ascii="Aptos" w:hAnsi="Aptos"/>
                <w:b/>
                <w:sz w:val="16"/>
              </w:rPr>
            </w:r>
            <w:r>
              <w:rPr>
                <w:rFonts w:ascii="Aptos" w:hAnsi="Aptos"/>
                <w:b/>
                <w:sz w:val="16"/>
              </w:rPr>
              <w:t>Rev 2.6 mature revenue</w:t>
            </w:r>
          </w:p>
        </w:tc>
        <w:tc>
          <w:tcPr>
            <w:tcW w:type="dxa" w:w="2592"/>
            <w:vAlign w:val="top"/>
            <w:shd w:fill="D9EAF7"/>
          </w:tcPr>
          <w:p>
            <w:pPr>
              <w:spacing w:after="0"/>
              <w:jc w:val="left"/>
            </w:pPr>
            <w:r>
              <w:rPr>
                <w:rFonts w:ascii="Aptos" w:hAnsi="Aptos"/>
                <w:b/>
                <w:sz w:val="16"/>
              </w:rPr>
            </w:r>
            <w:r>
              <w:rPr>
                <w:rFonts w:ascii="Aptos" w:hAnsi="Aptos"/>
                <w:b/>
                <w:sz w:val="16"/>
              </w:rPr>
              <w:t>Rev 2.7 mature revenue</w:t>
            </w:r>
          </w:p>
        </w:tc>
        <w:tc>
          <w:tcPr>
            <w:tcW w:type="dxa" w:w="2592"/>
            <w:vAlign w:val="top"/>
            <w:shd w:fill="D9EAF7"/>
          </w:tcPr>
          <w:p>
            <w:pPr>
              <w:spacing w:after="0"/>
              <w:jc w:val="left"/>
            </w:pPr>
            <w:r>
              <w:rPr>
                <w:rFonts w:ascii="Aptos" w:hAnsi="Aptos"/>
                <w:b/>
                <w:sz w:val="16"/>
              </w:rPr>
            </w:r>
            <w:r>
              <w:rPr>
                <w:rFonts w:ascii="Aptos" w:hAnsi="Aptos"/>
                <w:b/>
                <w:sz w:val="16"/>
              </w:rPr>
              <w:t>Result against 15.0B USD OpEx</w:t>
            </w:r>
          </w:p>
        </w:tc>
      </w:tr>
      <w:tr>
        <w:tc>
          <w:tcPr>
            <w:tcW w:type="dxa" w:w="2592"/>
            <w:vAlign w:val="top"/>
          </w:tcPr>
          <w:p>
            <w:pPr>
              <w:spacing w:after="0"/>
              <w:jc w:val="left"/>
            </w:pPr>
            <w:r>
              <w:rPr>
                <w:rFonts w:ascii="Aptos" w:hAnsi="Aptos"/>
                <w:sz w:val="16"/>
              </w:rPr>
            </w:r>
            <w:r>
              <w:rPr>
                <w:rFonts w:ascii="Aptos" w:hAnsi="Aptos"/>
                <w:b w:val="0"/>
                <w:sz w:val="16"/>
              </w:rPr>
              <w:t>Conservative</w:t>
            </w:r>
          </w:p>
        </w:tc>
        <w:tc>
          <w:tcPr>
            <w:tcW w:type="dxa" w:w="2592"/>
            <w:vAlign w:val="top"/>
          </w:tcPr>
          <w:p>
            <w:pPr>
              <w:spacing w:after="0"/>
              <w:jc w:val="left"/>
            </w:pPr>
            <w:r>
              <w:rPr>
                <w:rFonts w:ascii="Aptos" w:hAnsi="Aptos"/>
                <w:sz w:val="16"/>
              </w:rPr>
            </w:r>
            <w:r>
              <w:rPr>
                <w:rFonts w:ascii="Aptos" w:hAnsi="Aptos"/>
                <w:b w:val="0"/>
                <w:sz w:val="16"/>
              </w:rPr>
              <w:t>9.25B USD</w:t>
            </w:r>
          </w:p>
        </w:tc>
        <w:tc>
          <w:tcPr>
            <w:tcW w:type="dxa" w:w="2592"/>
            <w:vAlign w:val="top"/>
          </w:tcPr>
          <w:p>
            <w:pPr>
              <w:spacing w:after="0"/>
              <w:jc w:val="left"/>
            </w:pPr>
            <w:r>
              <w:rPr>
                <w:rFonts w:ascii="Aptos" w:hAnsi="Aptos"/>
                <w:sz w:val="16"/>
              </w:rPr>
            </w:r>
            <w:r>
              <w:rPr>
                <w:rFonts w:ascii="Aptos" w:hAnsi="Aptos"/>
                <w:b w:val="0"/>
                <w:sz w:val="16"/>
              </w:rPr>
              <w:t>13.0B USD</w:t>
            </w:r>
          </w:p>
        </w:tc>
        <w:tc>
          <w:tcPr>
            <w:tcW w:type="dxa" w:w="2592"/>
            <w:vAlign w:val="top"/>
          </w:tcPr>
          <w:p>
            <w:pPr>
              <w:spacing w:after="0"/>
              <w:jc w:val="left"/>
            </w:pPr>
            <w:r>
              <w:rPr>
                <w:rFonts w:ascii="Aptos" w:hAnsi="Aptos"/>
                <w:sz w:val="16"/>
              </w:rPr>
            </w:r>
            <w:r>
              <w:rPr>
                <w:rFonts w:ascii="Aptos" w:hAnsi="Aptos"/>
                <w:b w:val="0"/>
                <w:sz w:val="16"/>
              </w:rPr>
              <w:t>Below OpEx by about 2.0B USD. Requires added availability payments or cost share.</w:t>
            </w:r>
          </w:p>
        </w:tc>
      </w:tr>
      <w:tr>
        <w:tc>
          <w:tcPr>
            <w:tcW w:type="dxa" w:w="2592"/>
            <w:vAlign w:val="top"/>
          </w:tcPr>
          <w:p>
            <w:pPr>
              <w:spacing w:after="0"/>
              <w:jc w:val="left"/>
            </w:pPr>
            <w:r>
              <w:rPr>
                <w:rFonts w:ascii="Aptos" w:hAnsi="Aptos"/>
                <w:sz w:val="16"/>
              </w:rPr>
            </w:r>
            <w:r>
              <w:rPr>
                <w:rFonts w:ascii="Aptos" w:hAnsi="Aptos"/>
                <w:b w:val="0"/>
                <w:sz w:val="16"/>
              </w:rPr>
              <w:t>Base</w:t>
            </w:r>
          </w:p>
        </w:tc>
        <w:tc>
          <w:tcPr>
            <w:tcW w:type="dxa" w:w="2592"/>
            <w:vAlign w:val="top"/>
          </w:tcPr>
          <w:p>
            <w:pPr>
              <w:spacing w:after="0"/>
              <w:jc w:val="left"/>
            </w:pPr>
            <w:r>
              <w:rPr>
                <w:rFonts w:ascii="Aptos" w:hAnsi="Aptos"/>
                <w:sz w:val="16"/>
              </w:rPr>
            </w:r>
            <w:r>
              <w:rPr>
                <w:rFonts w:ascii="Aptos" w:hAnsi="Aptos"/>
                <w:b w:val="0"/>
                <w:sz w:val="16"/>
              </w:rPr>
              <w:t>24.225B USD</w:t>
            </w:r>
          </w:p>
        </w:tc>
        <w:tc>
          <w:tcPr>
            <w:tcW w:type="dxa" w:w="2592"/>
            <w:vAlign w:val="top"/>
          </w:tcPr>
          <w:p>
            <w:pPr>
              <w:spacing w:after="0"/>
              <w:jc w:val="left"/>
            </w:pPr>
            <w:r>
              <w:rPr>
                <w:rFonts w:ascii="Aptos" w:hAnsi="Aptos"/>
                <w:sz w:val="16"/>
              </w:rPr>
            </w:r>
            <w:r>
              <w:rPr>
                <w:rFonts w:ascii="Aptos" w:hAnsi="Aptos"/>
                <w:b w:val="0"/>
                <w:sz w:val="16"/>
              </w:rPr>
              <w:t>34.0B USD</w:t>
            </w:r>
          </w:p>
        </w:tc>
        <w:tc>
          <w:tcPr>
            <w:tcW w:type="dxa" w:w="2592"/>
            <w:vAlign w:val="top"/>
          </w:tcPr>
          <w:p>
            <w:pPr>
              <w:spacing w:after="0"/>
              <w:jc w:val="left"/>
            </w:pPr>
            <w:r>
              <w:rPr>
                <w:rFonts w:ascii="Aptos" w:hAnsi="Aptos"/>
                <w:sz w:val="16"/>
              </w:rPr>
            </w:r>
            <w:r>
              <w:rPr>
                <w:rFonts w:ascii="Aptos" w:hAnsi="Aptos"/>
                <w:b w:val="0"/>
                <w:sz w:val="16"/>
              </w:rPr>
              <w:t>Surplus of about 19.0B USD before debt, sustaining CapEx, taxes, and reinvestment.</w:t>
            </w:r>
          </w:p>
        </w:tc>
      </w:tr>
      <w:tr>
        <w:tc>
          <w:tcPr>
            <w:tcW w:type="dxa" w:w="2592"/>
            <w:vAlign w:val="top"/>
          </w:tcPr>
          <w:p>
            <w:pPr>
              <w:spacing w:after="0"/>
              <w:jc w:val="left"/>
            </w:pPr>
            <w:r>
              <w:rPr>
                <w:rFonts w:ascii="Aptos" w:hAnsi="Aptos"/>
                <w:sz w:val="16"/>
              </w:rPr>
            </w:r>
            <w:r>
              <w:rPr>
                <w:rFonts w:ascii="Aptos" w:hAnsi="Aptos"/>
                <w:b w:val="0"/>
                <w:sz w:val="16"/>
              </w:rPr>
              <w:t>Upside</w:t>
            </w:r>
          </w:p>
        </w:tc>
        <w:tc>
          <w:tcPr>
            <w:tcW w:type="dxa" w:w="2592"/>
            <w:vAlign w:val="top"/>
          </w:tcPr>
          <w:p>
            <w:pPr>
              <w:spacing w:after="0"/>
              <w:jc w:val="left"/>
            </w:pPr>
            <w:r>
              <w:rPr>
                <w:rFonts w:ascii="Aptos" w:hAnsi="Aptos"/>
                <w:sz w:val="16"/>
              </w:rPr>
            </w:r>
            <w:r>
              <w:rPr>
                <w:rFonts w:ascii="Aptos" w:hAnsi="Aptos"/>
                <w:b w:val="0"/>
                <w:sz w:val="16"/>
              </w:rPr>
              <w:t>57.5B USD</w:t>
            </w:r>
          </w:p>
        </w:tc>
        <w:tc>
          <w:tcPr>
            <w:tcW w:type="dxa" w:w="2592"/>
            <w:vAlign w:val="top"/>
          </w:tcPr>
          <w:p>
            <w:pPr>
              <w:spacing w:after="0"/>
              <w:jc w:val="left"/>
            </w:pPr>
            <w:r>
              <w:rPr>
                <w:rFonts w:ascii="Aptos" w:hAnsi="Aptos"/>
                <w:sz w:val="16"/>
              </w:rPr>
            </w:r>
            <w:r>
              <w:rPr>
                <w:rFonts w:ascii="Aptos" w:hAnsi="Aptos"/>
                <w:b w:val="0"/>
                <w:sz w:val="16"/>
              </w:rPr>
              <w:t>78.0B USD</w:t>
            </w:r>
          </w:p>
        </w:tc>
        <w:tc>
          <w:tcPr>
            <w:tcW w:type="dxa" w:w="2592"/>
            <w:vAlign w:val="top"/>
          </w:tcPr>
          <w:p>
            <w:pPr>
              <w:spacing w:after="0"/>
              <w:jc w:val="left"/>
            </w:pPr>
            <w:r>
              <w:rPr>
                <w:rFonts w:ascii="Aptos" w:hAnsi="Aptos"/>
                <w:sz w:val="16"/>
              </w:rPr>
            </w:r>
            <w:r>
              <w:rPr>
                <w:rFonts w:ascii="Aptos" w:hAnsi="Aptos"/>
                <w:b w:val="0"/>
                <w:sz w:val="16"/>
              </w:rPr>
              <w:t>Surplus of about 63.0B USD before debt, sustaining CapEx, taxes, and reinvestment.</w:t>
            </w:r>
          </w:p>
        </w:tc>
      </w:tr>
    </w:tbl>
    <w:p>
      <w:pPr>
        <w:spacing w:after="120"/>
      </w:pPr>
    </w:p>
    <w:p>
      <w:pPr>
        <w:pStyle w:val="Heading2"/>
        <w:spacing w:before="200" w:after="120"/>
      </w:pPr>
      <w:r>
        <w:rPr>
          <w:rFonts w:ascii="Aptos" w:hAnsi="Aptos"/>
          <w:b/>
          <w:sz w:val="24"/>
        </w:rPr>
        <w:t>17.13 Revised Governance and Board Controls</w:t>
      </w:r>
    </w:p>
    <w:p>
      <w:pPr>
        <w:spacing w:after="120"/>
      </w:pPr>
      <w:r>
        <w:rPr>
          <w:rFonts w:ascii="Aptos" w:hAnsi="Aptos"/>
          <w:b w:val="0"/>
          <w:i w:val="0"/>
          <w:sz w:val="21"/>
        </w:rPr>
        <w:t>Rev 2.7 requires explicit board control so new surface industrial systems do not weaken the core Phase 1 safety case. The approval sequence should separate life safety certification from high energy industrial expansion.</w:t>
      </w:r>
    </w:p>
    <w:tbl>
      <w:tblPr>
        <w:tblStyle w:val="TableGrid"/>
        <w:tblW w:type="auto" w:w="0"/>
        <w:jc w:val="center"/>
        <w:tblLayout w:type="autofit"/>
        <w:tblLook w:firstColumn="1" w:firstRow="1" w:lastColumn="0" w:lastRow="0" w:noHBand="0" w:noVBand="1" w:val="04A0"/>
      </w:tblPr>
      <w:tblGrid>
        <w:gridCol w:w="5184"/>
        <w:gridCol w:w="5184"/>
      </w:tblGrid>
      <w:tr>
        <w:tc>
          <w:tcPr>
            <w:tcW w:type="dxa" w:w="5184"/>
            <w:vAlign w:val="top"/>
            <w:shd w:fill="D9EAF7"/>
          </w:tcPr>
          <w:p>
            <w:pPr>
              <w:spacing w:after="0"/>
              <w:jc w:val="left"/>
            </w:pPr>
            <w:r>
              <w:rPr>
                <w:rFonts w:ascii="Aptos" w:hAnsi="Aptos"/>
                <w:b/>
                <w:sz w:val="16"/>
              </w:rPr>
            </w:r>
            <w:r>
              <w:rPr>
                <w:rFonts w:ascii="Aptos" w:hAnsi="Aptos"/>
                <w:b/>
                <w:sz w:val="16"/>
              </w:rPr>
              <w:t>Control item</w:t>
            </w:r>
          </w:p>
        </w:tc>
        <w:tc>
          <w:tcPr>
            <w:tcW w:type="dxa" w:w="5184"/>
            <w:vAlign w:val="top"/>
            <w:shd w:fill="D9EAF7"/>
          </w:tcPr>
          <w:p>
            <w:pPr>
              <w:spacing w:after="0"/>
              <w:jc w:val="left"/>
            </w:pPr>
            <w:r>
              <w:rPr>
                <w:rFonts w:ascii="Aptos" w:hAnsi="Aptos"/>
                <w:b/>
                <w:sz w:val="16"/>
              </w:rPr>
            </w:r>
            <w:r>
              <w:rPr>
                <w:rFonts w:ascii="Aptos" w:hAnsi="Aptos"/>
                <w:b/>
                <w:sz w:val="16"/>
              </w:rPr>
              <w:t>Board position</w:t>
            </w:r>
          </w:p>
        </w:tc>
      </w:tr>
      <w:tr>
        <w:tc>
          <w:tcPr>
            <w:tcW w:type="dxa" w:w="5184"/>
            <w:vAlign w:val="top"/>
          </w:tcPr>
          <w:p>
            <w:pPr>
              <w:spacing w:after="0"/>
              <w:jc w:val="left"/>
            </w:pPr>
            <w:r>
              <w:rPr>
                <w:rFonts w:ascii="Aptos" w:hAnsi="Aptos"/>
                <w:sz w:val="16"/>
              </w:rPr>
            </w:r>
            <w:r>
              <w:rPr>
                <w:rFonts w:ascii="Aptos" w:hAnsi="Aptos"/>
                <w:b w:val="0"/>
                <w:sz w:val="16"/>
              </w:rPr>
              <w:t>1000 resident certification</w:t>
            </w:r>
          </w:p>
        </w:tc>
        <w:tc>
          <w:tcPr>
            <w:tcW w:type="dxa" w:w="5184"/>
            <w:vAlign w:val="top"/>
          </w:tcPr>
          <w:p>
            <w:pPr>
              <w:spacing w:after="0"/>
              <w:jc w:val="left"/>
            </w:pPr>
            <w:r>
              <w:rPr>
                <w:rFonts w:ascii="Aptos" w:hAnsi="Aptos"/>
                <w:sz w:val="16"/>
              </w:rPr>
            </w:r>
            <w:r>
              <w:rPr>
                <w:rFonts w:ascii="Aptos" w:hAnsi="Aptos"/>
                <w:b w:val="0"/>
                <w:sz w:val="16"/>
              </w:rPr>
              <w:t>Do not make it dependent on full hyperloop rail maturity. It remains dependent on power, water, atmosphere, refuge, evacuation, medical, and command certification.</w:t>
            </w:r>
          </w:p>
        </w:tc>
      </w:tr>
      <w:tr>
        <w:tc>
          <w:tcPr>
            <w:tcW w:type="dxa" w:w="5184"/>
            <w:vAlign w:val="top"/>
          </w:tcPr>
          <w:p>
            <w:pPr>
              <w:spacing w:after="0"/>
              <w:jc w:val="left"/>
            </w:pPr>
            <w:r>
              <w:rPr>
                <w:rFonts w:ascii="Aptos" w:hAnsi="Aptos"/>
                <w:sz w:val="16"/>
              </w:rPr>
            </w:r>
            <w:r>
              <w:rPr>
                <w:rFonts w:ascii="Aptos" w:hAnsi="Aptos"/>
                <w:b w:val="0"/>
                <w:sz w:val="16"/>
              </w:rPr>
              <w:t>Spaceport</w:t>
            </w:r>
          </w:p>
        </w:tc>
        <w:tc>
          <w:tcPr>
            <w:tcW w:type="dxa" w:w="5184"/>
            <w:vAlign w:val="top"/>
          </w:tcPr>
          <w:p>
            <w:pPr>
              <w:spacing w:after="0"/>
              <w:jc w:val="left"/>
            </w:pPr>
            <w:r>
              <w:rPr>
                <w:rFonts w:ascii="Aptos" w:hAnsi="Aptos"/>
                <w:sz w:val="16"/>
              </w:rPr>
            </w:r>
            <w:r>
              <w:rPr>
                <w:rFonts w:ascii="Aptos" w:hAnsi="Aptos"/>
                <w:b w:val="0"/>
                <w:sz w:val="16"/>
              </w:rPr>
              <w:t>Integrate into Phase 1 because it improves logistics, emergency departure, and partner revenue. Require independent utility and traffic control validation.</w:t>
            </w:r>
          </w:p>
        </w:tc>
      </w:tr>
      <w:tr>
        <w:tc>
          <w:tcPr>
            <w:tcW w:type="dxa" w:w="5184"/>
            <w:vAlign w:val="top"/>
          </w:tcPr>
          <w:p>
            <w:pPr>
              <w:spacing w:after="0"/>
              <w:jc w:val="left"/>
            </w:pPr>
            <w:r>
              <w:rPr>
                <w:rFonts w:ascii="Aptos" w:hAnsi="Aptos"/>
                <w:sz w:val="16"/>
              </w:rPr>
            </w:r>
            <w:r>
              <w:rPr>
                <w:rFonts w:ascii="Aptos" w:hAnsi="Aptos"/>
                <w:b w:val="0"/>
                <w:sz w:val="16"/>
              </w:rPr>
              <w:t>Solar farm and seismic network</w:t>
            </w:r>
          </w:p>
        </w:tc>
        <w:tc>
          <w:tcPr>
            <w:tcW w:type="dxa" w:w="5184"/>
            <w:vAlign w:val="top"/>
          </w:tcPr>
          <w:p>
            <w:pPr>
              <w:spacing w:after="0"/>
              <w:jc w:val="left"/>
            </w:pPr>
            <w:r>
              <w:rPr>
                <w:rFonts w:ascii="Aptos" w:hAnsi="Aptos"/>
                <w:sz w:val="16"/>
              </w:rPr>
            </w:r>
            <w:r>
              <w:rPr>
                <w:rFonts w:ascii="Aptos" w:hAnsi="Aptos"/>
                <w:b w:val="0"/>
                <w:sz w:val="16"/>
              </w:rPr>
              <w:t>Integrate early because they directly improve resilience, safety, and construction quality.</w:t>
            </w:r>
          </w:p>
        </w:tc>
      </w:tr>
      <w:tr>
        <w:tc>
          <w:tcPr>
            <w:tcW w:type="dxa" w:w="5184"/>
            <w:vAlign w:val="top"/>
          </w:tcPr>
          <w:p>
            <w:pPr>
              <w:spacing w:after="0"/>
              <w:jc w:val="left"/>
            </w:pPr>
            <w:r>
              <w:rPr>
                <w:rFonts w:ascii="Aptos" w:hAnsi="Aptos"/>
                <w:sz w:val="16"/>
              </w:rPr>
            </w:r>
            <w:r>
              <w:rPr>
                <w:rFonts w:ascii="Aptos" w:hAnsi="Aptos"/>
                <w:b w:val="0"/>
                <w:sz w:val="16"/>
              </w:rPr>
              <w:t>Microwave receiver</w:t>
            </w:r>
          </w:p>
        </w:tc>
        <w:tc>
          <w:tcPr>
            <w:tcW w:type="dxa" w:w="5184"/>
            <w:vAlign w:val="top"/>
          </w:tcPr>
          <w:p>
            <w:pPr>
              <w:spacing w:after="0"/>
              <w:jc w:val="left"/>
            </w:pPr>
            <w:r>
              <w:rPr>
                <w:rFonts w:ascii="Aptos" w:hAnsi="Aptos"/>
                <w:sz w:val="16"/>
              </w:rPr>
            </w:r>
            <w:r>
              <w:rPr>
                <w:rFonts w:ascii="Aptos" w:hAnsi="Aptos"/>
                <w:b w:val="0"/>
                <w:sz w:val="16"/>
              </w:rPr>
              <w:t>Pilot in Phase 1 growth, scale after beam safety, conversion, thermal rejection, and HVDC integration tests.</w:t>
            </w:r>
          </w:p>
        </w:tc>
      </w:tr>
      <w:tr>
        <w:tc>
          <w:tcPr>
            <w:tcW w:type="dxa" w:w="5184"/>
            <w:vAlign w:val="top"/>
          </w:tcPr>
          <w:p>
            <w:pPr>
              <w:spacing w:after="0"/>
              <w:jc w:val="left"/>
            </w:pPr>
            <w:r>
              <w:rPr>
                <w:rFonts w:ascii="Aptos" w:hAnsi="Aptos"/>
                <w:sz w:val="16"/>
              </w:rPr>
            </w:r>
            <w:r>
              <w:rPr>
                <w:rFonts w:ascii="Aptos" w:hAnsi="Aptos"/>
                <w:b w:val="0"/>
                <w:sz w:val="16"/>
              </w:rPr>
              <w:t>Mineral processing</w:t>
            </w:r>
          </w:p>
        </w:tc>
        <w:tc>
          <w:tcPr>
            <w:tcW w:type="dxa" w:w="5184"/>
            <w:vAlign w:val="top"/>
          </w:tcPr>
          <w:p>
            <w:pPr>
              <w:spacing w:after="0"/>
              <w:jc w:val="left"/>
            </w:pPr>
            <w:r>
              <w:rPr>
                <w:rFonts w:ascii="Aptos" w:hAnsi="Aptos"/>
                <w:sz w:val="16"/>
              </w:rPr>
            </w:r>
            <w:r>
              <w:rPr>
                <w:rFonts w:ascii="Aptos" w:hAnsi="Aptos"/>
                <w:b w:val="0"/>
                <w:sz w:val="16"/>
              </w:rPr>
              <w:t>Build separate from volatile processing and life support. Require dust, thermal, hazardous byproduct, and water loop isolation.</w:t>
            </w:r>
          </w:p>
        </w:tc>
      </w:tr>
      <w:tr>
        <w:tc>
          <w:tcPr>
            <w:tcW w:type="dxa" w:w="5184"/>
            <w:vAlign w:val="top"/>
          </w:tcPr>
          <w:p>
            <w:pPr>
              <w:spacing w:after="0"/>
              <w:jc w:val="left"/>
            </w:pPr>
            <w:r>
              <w:rPr>
                <w:rFonts w:ascii="Aptos" w:hAnsi="Aptos"/>
                <w:sz w:val="16"/>
              </w:rPr>
            </w:r>
            <w:r>
              <w:rPr>
                <w:rFonts w:ascii="Aptos" w:hAnsi="Aptos"/>
                <w:b w:val="0"/>
                <w:sz w:val="16"/>
              </w:rPr>
              <w:t>Hyperloop EM launch rail</w:t>
            </w:r>
          </w:p>
        </w:tc>
        <w:tc>
          <w:tcPr>
            <w:tcW w:type="dxa" w:w="5184"/>
            <w:vAlign w:val="top"/>
          </w:tcPr>
          <w:p>
            <w:pPr>
              <w:spacing w:after="0"/>
              <w:jc w:val="left"/>
            </w:pPr>
            <w:r>
              <w:rPr>
                <w:rFonts w:ascii="Aptos" w:hAnsi="Aptos"/>
                <w:sz w:val="16"/>
              </w:rPr>
            </w:r>
            <w:r>
              <w:rPr>
                <w:rFonts w:ascii="Aptos" w:hAnsi="Aptos"/>
                <w:b w:val="0"/>
                <w:sz w:val="16"/>
              </w:rPr>
              <w:t>Authorize alignment and demonstration first. Release full operational cargo line funding only after mineral export demand and rail safety certification are credible.</w:t>
            </w:r>
          </w:p>
        </w:tc>
      </w:tr>
    </w:tbl>
    <w:p>
      <w:pPr>
        <w:spacing w:after="120"/>
      </w:pPr>
    </w:p>
    <w:p>
      <w:pPr>
        <w:pStyle w:val="Heading2"/>
        <w:spacing w:before="200" w:after="120"/>
      </w:pPr>
      <w:r>
        <w:rPr>
          <w:rFonts w:ascii="Aptos" w:hAnsi="Aptos"/>
          <w:b/>
          <w:sz w:val="24"/>
        </w:rPr>
        <w:t>17.14 Revised Governing Requirements</w:t>
      </w:r>
    </w:p>
    <w:p>
      <w:pPr>
        <w:pStyle w:val="ListBullet"/>
      </w:pPr>
      <w:r>
        <w:rPr>
          <w:rFonts w:ascii="Aptos" w:hAnsi="Aptos"/>
          <w:sz w:val="21"/>
        </w:rPr>
        <w:t>The lunar south pole installation shall include a dedicated surface spaceport physically separated from underground habitat access and emergency refuge routes.</w:t>
      </w:r>
    </w:p>
    <w:p>
      <w:pPr>
        <w:pStyle w:val="ListBullet"/>
      </w:pPr>
      <w:r>
        <w:rPr>
          <w:rFonts w:ascii="Aptos" w:hAnsi="Aptos"/>
          <w:sz w:val="21"/>
        </w:rPr>
        <w:t>The installation shall reserve and develop a cargo focused hyperloop EM launch rail system in phases, with full operational maturity treated as Phase 1B or Phase 2 if required to protect life safety milestones.</w:t>
      </w:r>
    </w:p>
    <w:p>
      <w:pPr>
        <w:pStyle w:val="ListBullet"/>
      </w:pPr>
      <w:r>
        <w:rPr>
          <w:rFonts w:ascii="Aptos" w:hAnsi="Aptos"/>
          <w:sz w:val="21"/>
        </w:rPr>
        <w:t>The installation shall include a surface microwave power receiver with rectenna field, beam safety controls, power conditioning, thermal rejection, and HVDC interconnection.</w:t>
      </w:r>
    </w:p>
    <w:p>
      <w:pPr>
        <w:pStyle w:val="ListBullet"/>
      </w:pPr>
      <w:r>
        <w:rPr>
          <w:rFonts w:ascii="Aptos" w:hAnsi="Aptos"/>
          <w:sz w:val="21"/>
        </w:rPr>
        <w:t>The installation shall include a surface solar farm tied to the HVDC network and capable of supporting noncritical loads, reserve charging, and hydrogen reserve rebuilding.</w:t>
      </w:r>
    </w:p>
    <w:p>
      <w:pPr>
        <w:pStyle w:val="ListBullet"/>
      </w:pPr>
      <w:r>
        <w:rPr>
          <w:rFonts w:ascii="Aptos" w:hAnsi="Aptos"/>
          <w:sz w:val="21"/>
        </w:rPr>
        <w:t>The installation shall include a lunar seismic and structural health monitoring network before large scale excavation, rail, spaceport, and mineral processing expansion.</w:t>
      </w:r>
    </w:p>
    <w:p>
      <w:pPr>
        <w:pStyle w:val="ListBullet"/>
      </w:pPr>
      <w:r>
        <w:rPr>
          <w:rFonts w:ascii="Aptos" w:hAnsi="Aptos"/>
          <w:sz w:val="21"/>
        </w:rPr>
        <w:t>The installation shall include a separate mineral processing facility isolated from volatile extraction, life support, habitat shafts, and protected evacuation corridors.</w:t>
      </w:r>
    </w:p>
    <w:p>
      <w:pPr>
        <w:pStyle w:val="ListBullet"/>
      </w:pPr>
      <w:r>
        <w:rPr>
          <w:rFonts w:ascii="Aptos" w:hAnsi="Aptos"/>
          <w:sz w:val="21"/>
        </w:rPr>
        <w:t>No Rev 2.7 export or industrial expansion system may draw power, water, thermal capacity, or transport capacity in a way that reduces one lunar night refuge capability or 72 hour full population evacuation compliance.</w:t>
      </w:r>
    </w:p>
    <w:p/>
    <w:p>
      <w:pPr>
        <w:pStyle w:val="Heading1"/>
        <w:spacing w:before="200" w:after="120"/>
      </w:pPr>
      <w:r>
        <w:rPr>
          <w:rFonts w:ascii="Aptos" w:hAnsi="Aptos"/>
        </w:rPr>
        <w:t>18. Interplanetary Derivative Installations and Lunar Biodiversity Vault Integration</w:t>
      </w:r>
    </w:p>
    <w:p>
      <w:r>
        <w:rPr>
          <w:rFonts w:ascii="Aptos" w:hAnsi="Aptos"/>
        </w:rPr>
        <w:t>Rev 2.8 extends the lunar south pole master architecture into a controlled derivative system. The Moon remains the primary control, logistics, safety, and finance asset. Mars receives a copied and modified settlement and mineral processing architecture. Ceres receives an autonomous modification and processing worksite. Venus receives an upper atmospheric gas processing afloat module and an orbital traffic insertion platform. The lunar site receives a dedicated Biodiversity Vault as a protected preservation and continuity asset.</w:t>
      </w:r>
    </w:p>
    <w:p>
      <w:pPr>
        <w:pStyle w:val="Heading2"/>
        <w:spacing w:before="200" w:after="120"/>
      </w:pPr>
      <w:r>
        <w:rPr>
          <w:rFonts w:ascii="Aptos" w:hAnsi="Aptos"/>
        </w:rPr>
        <w:t>18.1 Integration Objective</w:t>
      </w:r>
    </w:p>
    <w:p>
      <w:pPr>
        <w:pStyle w:val="ListBullet"/>
      </w:pPr>
      <w:r>
        <w:rPr>
          <w:rFonts w:ascii="Aptos" w:hAnsi="Aptos"/>
        </w:rPr>
        <w:t>Copy lunar settlement architecture to Mars only where it improves safety, redundancy, and industrial scalability.</w:t>
      </w:r>
    </w:p>
    <w:p>
      <w:pPr>
        <w:pStyle w:val="ListBullet"/>
      </w:pPr>
      <w:r>
        <w:rPr>
          <w:rFonts w:ascii="Aptos" w:hAnsi="Aptos"/>
        </w:rPr>
        <w:t>Copy lunar mineral processing facility specifications to Mars, with changes for atmosphere, gravity, dust chemistry, perchlorates, and different volatile pathways.</w:t>
      </w:r>
    </w:p>
    <w:p>
      <w:pPr>
        <w:pStyle w:val="ListBullet"/>
      </w:pPr>
      <w:r>
        <w:rPr>
          <w:rFonts w:ascii="Aptos" w:hAnsi="Aptos"/>
        </w:rPr>
        <w:t>Add a Lunar Biodiversity Vault to the lunar south pole site without increasing habitat bioload or industrial contamination risk.</w:t>
      </w:r>
    </w:p>
    <w:p>
      <w:pPr>
        <w:pStyle w:val="ListBullet"/>
      </w:pPr>
      <w:r>
        <w:rPr>
          <w:rFonts w:ascii="Aptos" w:hAnsi="Aptos"/>
        </w:rPr>
        <w:t>Add a Ceres autonomous worksite optimized for low gravity anchoring, robotic servicing, volatile extraction, brine and salt processing, and material modification.</w:t>
      </w:r>
    </w:p>
    <w:p>
      <w:pPr>
        <w:pStyle w:val="ListBullet"/>
      </w:pPr>
      <w:r>
        <w:rPr>
          <w:rFonts w:ascii="Aptos" w:hAnsi="Aptos"/>
        </w:rPr>
        <w:t>Add a Venus upper atmospheric gas processing afloat module operating in the temperate pressure band of the Venus atmosphere.</w:t>
      </w:r>
    </w:p>
    <w:p>
      <w:pPr>
        <w:pStyle w:val="ListBullet"/>
      </w:pPr>
      <w:r>
        <w:rPr>
          <w:rFonts w:ascii="Aptos" w:hAnsi="Aptos"/>
        </w:rPr>
        <w:t>Add a Venus orbital traffic insertion platform to manage inbound, outbound, aerocapture, rendezvous, transfer, and orbital safety operations around Venus.</w:t>
      </w:r>
    </w:p>
    <w:p>
      <w:pPr>
        <w:pStyle w:val="Heading2"/>
        <w:spacing w:before="200" w:after="120"/>
      </w:pPr>
      <w:r>
        <w:rPr>
          <w:rFonts w:ascii="Aptos" w:hAnsi="Aptos"/>
        </w:rPr>
        <w:t>18.2 Mars Installation Derived from Lunar Settlement Design</w:t>
      </w:r>
    </w:p>
    <w:p>
      <w:r>
        <w:rPr>
          <w:rFonts w:ascii="Aptos" w:hAnsi="Aptos"/>
        </w:rPr>
        <w:t>The Mars installation uses the lunar settlement as its design parent but does not copy it blindly. The common baseline is a protected underground habitat, surface industrial processing, separate mineral refining district, power island, spaceport, emergency refuge, controlled utility corridors, and staged occupancy gates. Mars requires specific modifications because of atmosphere, gravity, perchlorate contamination, dust storms, lower solar availability, entry and ascent dynamics, and longer communication delay from Earth and the lunar control hub.</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Design item</w:t>
            </w:r>
          </w:p>
        </w:tc>
        <w:tc>
          <w:tcPr>
            <w:tcW w:type="dxa" w:w="3456"/>
            <w:vAlign w:val="top"/>
            <w:shd w:fill="D9EAF7"/>
          </w:tcPr>
          <w:p>
            <w:pPr>
              <w:spacing w:after="0"/>
            </w:pPr>
            <w:r>
              <w:rPr>
                <w:b/>
                <w:sz w:val="16"/>
              </w:rPr>
              <w:t>Lunar baseline copied</w:t>
            </w:r>
          </w:p>
        </w:tc>
        <w:tc>
          <w:tcPr>
            <w:tcW w:type="dxa" w:w="3456"/>
            <w:vAlign w:val="top"/>
            <w:shd w:fill="D9EAF7"/>
          </w:tcPr>
          <w:p>
            <w:pPr>
              <w:spacing w:after="0"/>
            </w:pPr>
            <w:r>
              <w:rPr>
                <w:b/>
                <w:sz w:val="16"/>
              </w:rPr>
              <w:t>Mars modification</w:t>
            </w:r>
          </w:p>
        </w:tc>
      </w:tr>
      <w:tr>
        <w:tc>
          <w:tcPr>
            <w:tcW w:type="dxa" w:w="3456"/>
            <w:vAlign w:val="top"/>
          </w:tcPr>
          <w:p>
            <w:pPr>
              <w:spacing w:after="0"/>
            </w:pPr>
            <w:r>
              <w:rPr>
                <w:sz w:val="16"/>
              </w:rPr>
              <w:t>Habitat geometry</w:t>
            </w:r>
          </w:p>
        </w:tc>
        <w:tc>
          <w:tcPr>
            <w:tcW w:type="dxa" w:w="3456"/>
            <w:vAlign w:val="top"/>
          </w:tcPr>
          <w:p>
            <w:pPr>
              <w:spacing w:after="0"/>
            </w:pPr>
            <w:r>
              <w:rPr>
                <w:sz w:val="16"/>
              </w:rPr>
              <w:t>Underground loop and spoke habitat with command, medical, residential, food, laboratory, utility, and refuge sectors.</w:t>
            </w:r>
          </w:p>
        </w:tc>
        <w:tc>
          <w:tcPr>
            <w:tcW w:type="dxa" w:w="3456"/>
            <w:vAlign w:val="top"/>
          </w:tcPr>
          <w:p>
            <w:pPr>
              <w:spacing w:after="0"/>
            </w:pPr>
            <w:r>
              <w:rPr>
                <w:sz w:val="16"/>
              </w:rPr>
              <w:t>Use cut and cover, tunnel boring, lava tube if validated, or bermed pressure structures. Add stronger dust and perchlorate isolation at every ingress point.</w:t>
            </w:r>
          </w:p>
        </w:tc>
      </w:tr>
      <w:tr>
        <w:tc>
          <w:tcPr>
            <w:tcW w:type="dxa" w:w="3456"/>
            <w:vAlign w:val="top"/>
          </w:tcPr>
          <w:p>
            <w:pPr>
              <w:spacing w:after="0"/>
            </w:pPr>
            <w:r>
              <w:rPr>
                <w:sz w:val="16"/>
              </w:rPr>
              <w:t>Population basis</w:t>
            </w:r>
          </w:p>
        </w:tc>
        <w:tc>
          <w:tcPr>
            <w:tcW w:type="dxa" w:w="3456"/>
            <w:vAlign w:val="top"/>
          </w:tcPr>
          <w:p>
            <w:pPr>
              <w:spacing w:after="0"/>
            </w:pPr>
            <w:r>
              <w:rPr>
                <w:sz w:val="16"/>
              </w:rPr>
              <w:t>1000 resident personnel with 1200 surge planning basis.</w:t>
            </w:r>
          </w:p>
        </w:tc>
        <w:tc>
          <w:tcPr>
            <w:tcW w:type="dxa" w:w="3456"/>
            <w:vAlign w:val="top"/>
          </w:tcPr>
          <w:p>
            <w:pPr>
              <w:spacing w:after="0"/>
            </w:pPr>
            <w:r>
              <w:rPr>
                <w:sz w:val="16"/>
              </w:rPr>
              <w:t>Retain 1000 resident target as full build goal. Use smaller precursor bands of 50, 250, 500, and 1000 due slower Mars logistics and ascent constraints.</w:t>
            </w:r>
          </w:p>
        </w:tc>
      </w:tr>
      <w:tr>
        <w:tc>
          <w:tcPr>
            <w:tcW w:type="dxa" w:w="3456"/>
            <w:vAlign w:val="top"/>
          </w:tcPr>
          <w:p>
            <w:pPr>
              <w:spacing w:after="0"/>
            </w:pPr>
            <w:r>
              <w:rPr>
                <w:sz w:val="16"/>
              </w:rPr>
              <w:t>Emergency refuge</w:t>
            </w:r>
          </w:p>
        </w:tc>
        <w:tc>
          <w:tcPr>
            <w:tcW w:type="dxa" w:w="3456"/>
            <w:vAlign w:val="top"/>
          </w:tcPr>
          <w:p>
            <w:pPr>
              <w:spacing w:after="0"/>
            </w:pPr>
            <w:r>
              <w:rPr>
                <w:sz w:val="16"/>
              </w:rPr>
              <w:t>Distributed protected refuge clusters with isolated life support and reserve stores.</w:t>
            </w:r>
          </w:p>
        </w:tc>
        <w:tc>
          <w:tcPr>
            <w:tcW w:type="dxa" w:w="3456"/>
            <w:vAlign w:val="top"/>
          </w:tcPr>
          <w:p>
            <w:pPr>
              <w:spacing w:after="0"/>
            </w:pPr>
            <w:r>
              <w:rPr>
                <w:sz w:val="16"/>
              </w:rPr>
              <w:t>Adopt distributed refuge clusters, but size for dust storm, communications loss, and ascent delay scenarios. Mars surface evacuation to orbit must be treated separately from lunar 72 hour evacuation logic.</w:t>
            </w:r>
          </w:p>
        </w:tc>
      </w:tr>
      <w:tr>
        <w:tc>
          <w:tcPr>
            <w:tcW w:type="dxa" w:w="3456"/>
            <w:vAlign w:val="top"/>
          </w:tcPr>
          <w:p>
            <w:pPr>
              <w:spacing w:after="0"/>
            </w:pPr>
            <w:r>
              <w:rPr>
                <w:sz w:val="16"/>
              </w:rPr>
              <w:t>Surface processing</w:t>
            </w:r>
          </w:p>
        </w:tc>
        <w:tc>
          <w:tcPr>
            <w:tcW w:type="dxa" w:w="3456"/>
            <w:vAlign w:val="top"/>
          </w:tcPr>
          <w:p>
            <w:pPr>
              <w:spacing w:after="0"/>
            </w:pPr>
            <w:r>
              <w:rPr>
                <w:sz w:val="16"/>
              </w:rPr>
              <w:t>Volatile extraction, water purification, oxygen and hydrogen production, cryogenic storage, and export support.</w:t>
            </w:r>
          </w:p>
        </w:tc>
        <w:tc>
          <w:tcPr>
            <w:tcW w:type="dxa" w:w="3456"/>
            <w:vAlign w:val="top"/>
          </w:tcPr>
          <w:p>
            <w:pPr>
              <w:spacing w:after="0"/>
            </w:pPr>
            <w:r>
              <w:rPr>
                <w:sz w:val="16"/>
              </w:rPr>
              <w:t>Add atmospheric CO2 intake and compression. Oxygen production uses scaled solid oxide electrolysis and water electrolysis. Methane production uses Sabatier chemistry where hydrogen and CO2 are available.</w:t>
            </w:r>
          </w:p>
        </w:tc>
      </w:tr>
      <w:tr>
        <w:tc>
          <w:tcPr>
            <w:tcW w:type="dxa" w:w="3456"/>
            <w:vAlign w:val="top"/>
          </w:tcPr>
          <w:p>
            <w:pPr>
              <w:spacing w:after="0"/>
            </w:pPr>
            <w:r>
              <w:rPr>
                <w:sz w:val="16"/>
              </w:rPr>
              <w:t>Mineral processing</w:t>
            </w:r>
          </w:p>
        </w:tc>
        <w:tc>
          <w:tcPr>
            <w:tcW w:type="dxa" w:w="3456"/>
            <w:vAlign w:val="top"/>
          </w:tcPr>
          <w:p>
            <w:pPr>
              <w:spacing w:after="0"/>
            </w:pPr>
            <w:r>
              <w:rPr>
                <w:sz w:val="16"/>
              </w:rPr>
              <w:t>Separate District H for beneficiation, oxides, salts, metals, ceramics, glass, and residue handling.</w:t>
            </w:r>
          </w:p>
        </w:tc>
        <w:tc>
          <w:tcPr>
            <w:tcW w:type="dxa" w:w="3456"/>
            <w:vAlign w:val="top"/>
          </w:tcPr>
          <w:p>
            <w:pPr>
              <w:spacing w:after="0"/>
            </w:pPr>
            <w:r>
              <w:rPr>
                <w:sz w:val="16"/>
              </w:rPr>
              <w:t>Copy as Mars Mineral Processing Facility M-H with special controls for perchlorates, sulfates, chlorides, iron oxides, basaltic feedstock, and dust storm operations.</w:t>
            </w:r>
          </w:p>
        </w:tc>
      </w:tr>
      <w:tr>
        <w:tc>
          <w:tcPr>
            <w:tcW w:type="dxa" w:w="3456"/>
            <w:vAlign w:val="top"/>
          </w:tcPr>
          <w:p>
            <w:pPr>
              <w:spacing w:after="0"/>
            </w:pPr>
            <w:r>
              <w:rPr>
                <w:sz w:val="16"/>
              </w:rPr>
              <w:t>Power and thermal</w:t>
            </w:r>
          </w:p>
        </w:tc>
        <w:tc>
          <w:tcPr>
            <w:tcW w:type="dxa" w:w="3456"/>
            <w:vAlign w:val="top"/>
          </w:tcPr>
          <w:p>
            <w:pPr>
              <w:spacing w:after="0"/>
            </w:pPr>
            <w:r>
              <w:rPr>
                <w:sz w:val="16"/>
              </w:rPr>
              <w:t>Reactor first, solar second, microwave or beamed supplement third, protected batteries and fuel cells fourth.</w:t>
            </w:r>
          </w:p>
        </w:tc>
        <w:tc>
          <w:tcPr>
            <w:tcW w:type="dxa" w:w="3456"/>
            <w:vAlign w:val="top"/>
          </w:tcPr>
          <w:p>
            <w:pPr>
              <w:spacing w:after="0"/>
            </w:pPr>
            <w:r>
              <w:rPr>
                <w:sz w:val="16"/>
              </w:rPr>
              <w:t>Retain reactor first. Solar is useful but dust storm degraded. Thermal rejection must handle atmosphere, dust, and colder diurnal swings.</w:t>
            </w:r>
          </w:p>
        </w:tc>
      </w:tr>
      <w:tr>
        <w:tc>
          <w:tcPr>
            <w:tcW w:type="dxa" w:w="3456"/>
            <w:vAlign w:val="top"/>
          </w:tcPr>
          <w:p>
            <w:pPr>
              <w:spacing w:after="0"/>
            </w:pPr>
            <w:r>
              <w:rPr>
                <w:sz w:val="16"/>
              </w:rPr>
              <w:t>Spaceport</w:t>
            </w:r>
          </w:p>
        </w:tc>
        <w:tc>
          <w:tcPr>
            <w:tcW w:type="dxa" w:w="3456"/>
            <w:vAlign w:val="top"/>
          </w:tcPr>
          <w:p>
            <w:pPr>
              <w:spacing w:after="0"/>
            </w:pPr>
            <w:r>
              <w:rPr>
                <w:sz w:val="16"/>
              </w:rPr>
              <w:t>Surface spaceport with heavy pads, medium pads, terminal, cargo yard, and vehicle turnaround.</w:t>
            </w:r>
          </w:p>
        </w:tc>
        <w:tc>
          <w:tcPr>
            <w:tcW w:type="dxa" w:w="3456"/>
            <w:vAlign w:val="top"/>
          </w:tcPr>
          <w:p>
            <w:pPr>
              <w:spacing w:after="0"/>
            </w:pPr>
            <w:r>
              <w:rPr>
                <w:sz w:val="16"/>
              </w:rPr>
              <w:t>Mars spaceport must support atmospheric entry, dust storm hold, ascent propellant conditioning, and orbital rendezvous staging. Pads and roads need more mass due gravity.</w:t>
            </w:r>
          </w:p>
        </w:tc>
      </w:tr>
      <w:tr>
        <w:tc>
          <w:tcPr>
            <w:tcW w:type="dxa" w:w="3456"/>
            <w:vAlign w:val="top"/>
          </w:tcPr>
          <w:p>
            <w:pPr>
              <w:spacing w:after="0"/>
            </w:pPr>
            <w:r>
              <w:rPr>
                <w:sz w:val="16"/>
              </w:rPr>
              <w:t>Control</w:t>
            </w:r>
          </w:p>
        </w:tc>
        <w:tc>
          <w:tcPr>
            <w:tcW w:type="dxa" w:w="3456"/>
            <w:vAlign w:val="top"/>
          </w:tcPr>
          <w:p>
            <w:pPr>
              <w:spacing w:after="0"/>
            </w:pPr>
            <w:r>
              <w:rPr>
                <w:sz w:val="16"/>
              </w:rPr>
              <w:t>Moon is primary control asset for ISRU operations.</w:t>
            </w:r>
          </w:p>
        </w:tc>
        <w:tc>
          <w:tcPr>
            <w:tcW w:type="dxa" w:w="3456"/>
            <w:vAlign w:val="top"/>
          </w:tcPr>
          <w:p>
            <w:pPr>
              <w:spacing w:after="0"/>
            </w:pPr>
            <w:r>
              <w:rPr>
                <w:sz w:val="16"/>
              </w:rPr>
              <w:t>Mars site uses local autonomy for safety critical operation and reports to lunar hub for production allocation, logistics scheduling, and reserve governance.</w:t>
            </w:r>
          </w:p>
        </w:tc>
      </w:tr>
    </w:tbl>
    <w:p>
      <w:pPr>
        <w:pStyle w:val="Heading2"/>
        <w:spacing w:before="200" w:after="120"/>
      </w:pPr>
      <w:r>
        <w:rPr>
          <w:rFonts w:ascii="Aptos" w:hAnsi="Aptos"/>
        </w:rPr>
        <w:t>18.3 Mars Mineral Processing Facility Specification</w:t>
      </w:r>
    </w:p>
    <w:p>
      <w:r>
        <w:rPr>
          <w:rFonts w:ascii="Aptos" w:hAnsi="Aptos"/>
        </w:rPr>
        <w:t>The Mars mineral facility is a direct derivative of the lunar District H concept. Its purpose is not only metal production. It produces construction feedstock, oxygen bearing mineral concentrates, glass and ceramic feedstock, contaminant managed regolith products, and industrial chemistry streams.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Mars facility sector</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Mars specific controls</w:t>
            </w:r>
          </w:p>
        </w:tc>
      </w:tr>
      <w:tr>
        <w:tc>
          <w:tcPr>
            <w:tcW w:type="dxa" w:w="3456"/>
            <w:vAlign w:val="top"/>
          </w:tcPr>
          <w:p>
            <w:pPr>
              <w:spacing w:after="0"/>
            </w:pPr>
            <w:r>
              <w:rPr>
                <w:sz w:val="16"/>
              </w:rPr>
              <w:t>M-H1 Raw regolith and ore receiving yard</w:t>
            </w:r>
          </w:p>
        </w:tc>
        <w:tc>
          <w:tcPr>
            <w:tcW w:type="dxa" w:w="3456"/>
            <w:vAlign w:val="top"/>
          </w:tcPr>
          <w:p>
            <w:pPr>
              <w:spacing w:after="0"/>
            </w:pPr>
            <w:r>
              <w:rPr>
                <w:sz w:val="16"/>
              </w:rPr>
              <w:t>Receive basaltic regolith, sedimentary feed, ice bearing fines, and mineral concentrates.</w:t>
            </w:r>
          </w:p>
        </w:tc>
        <w:tc>
          <w:tcPr>
            <w:tcW w:type="dxa" w:w="3456"/>
            <w:vAlign w:val="top"/>
          </w:tcPr>
          <w:p>
            <w:pPr>
              <w:spacing w:after="0"/>
            </w:pPr>
            <w:r>
              <w:rPr>
                <w:sz w:val="16"/>
              </w:rPr>
              <w:t>Perchlorate segregation, dust storm closure, atmosphere capable seals, and sample assay before routing.</w:t>
            </w:r>
          </w:p>
        </w:tc>
      </w:tr>
      <w:tr>
        <w:tc>
          <w:tcPr>
            <w:tcW w:type="dxa" w:w="3456"/>
            <w:vAlign w:val="top"/>
          </w:tcPr>
          <w:p>
            <w:pPr>
              <w:spacing w:after="0"/>
            </w:pPr>
            <w:r>
              <w:rPr>
                <w:sz w:val="16"/>
              </w:rPr>
              <w:t>M-H2 Beneficiation hall</w:t>
            </w:r>
          </w:p>
        </w:tc>
        <w:tc>
          <w:tcPr>
            <w:tcW w:type="dxa" w:w="3456"/>
            <w:vAlign w:val="top"/>
          </w:tcPr>
          <w:p>
            <w:pPr>
              <w:spacing w:after="0"/>
            </w:pPr>
            <w:r>
              <w:rPr>
                <w:sz w:val="16"/>
              </w:rPr>
              <w:t>Crushing, screening, density separation, magnetic separation, electrostatic separation, and feed classification.</w:t>
            </w:r>
          </w:p>
        </w:tc>
        <w:tc>
          <w:tcPr>
            <w:tcW w:type="dxa" w:w="3456"/>
            <w:vAlign w:val="top"/>
          </w:tcPr>
          <w:p>
            <w:pPr>
              <w:spacing w:after="0"/>
            </w:pPr>
            <w:r>
              <w:rPr>
                <w:sz w:val="16"/>
              </w:rPr>
              <w:t>Mars dust electrostatics, oxide rich fines, and contamination tagging integrated into process controls.</w:t>
            </w:r>
          </w:p>
        </w:tc>
      </w:tr>
      <w:tr>
        <w:tc>
          <w:tcPr>
            <w:tcW w:type="dxa" w:w="3456"/>
            <w:vAlign w:val="top"/>
          </w:tcPr>
          <w:p>
            <w:pPr>
              <w:spacing w:after="0"/>
            </w:pPr>
            <w:r>
              <w:rPr>
                <w:sz w:val="16"/>
              </w:rPr>
              <w:t>M-H3 Oxide and salt processing hall</w:t>
            </w:r>
          </w:p>
        </w:tc>
        <w:tc>
          <w:tcPr>
            <w:tcW w:type="dxa" w:w="3456"/>
            <w:vAlign w:val="top"/>
          </w:tcPr>
          <w:p>
            <w:pPr>
              <w:spacing w:after="0"/>
            </w:pPr>
            <w:r>
              <w:rPr>
                <w:sz w:val="16"/>
              </w:rPr>
              <w:t>Process iron oxides, sulfates, chlorides, perchlorate bearing soils, and carbonate or silica bearing materials.</w:t>
            </w:r>
          </w:p>
        </w:tc>
        <w:tc>
          <w:tcPr>
            <w:tcW w:type="dxa" w:w="3456"/>
            <w:vAlign w:val="top"/>
          </w:tcPr>
          <w:p>
            <w:pPr>
              <w:spacing w:after="0"/>
            </w:pPr>
            <w:r>
              <w:rPr>
                <w:sz w:val="16"/>
              </w:rPr>
              <w:t>Hazard controls for perchlorate chemistry and toxic offgas. Separation from habitat air and agricultural systems is mandatory.</w:t>
            </w:r>
          </w:p>
        </w:tc>
      </w:tr>
      <w:tr>
        <w:tc>
          <w:tcPr>
            <w:tcW w:type="dxa" w:w="3456"/>
            <w:vAlign w:val="top"/>
          </w:tcPr>
          <w:p>
            <w:pPr>
              <w:spacing w:after="0"/>
            </w:pPr>
            <w:r>
              <w:rPr>
                <w:sz w:val="16"/>
              </w:rPr>
              <w:t>M-H4 Metals recovery hall</w:t>
            </w:r>
          </w:p>
        </w:tc>
        <w:tc>
          <w:tcPr>
            <w:tcW w:type="dxa" w:w="3456"/>
            <w:vAlign w:val="top"/>
          </w:tcPr>
          <w:p>
            <w:pPr>
              <w:spacing w:after="0"/>
            </w:pPr>
            <w:r>
              <w:rPr>
                <w:sz w:val="16"/>
              </w:rPr>
              <w:t>Recover iron, titanium bearing phases, aluminum bearing feed, magnesium bearing phases, nickel traces, and alloy starter products.</w:t>
            </w:r>
          </w:p>
        </w:tc>
        <w:tc>
          <w:tcPr>
            <w:tcW w:type="dxa" w:w="3456"/>
            <w:vAlign w:val="top"/>
          </w:tcPr>
          <w:p>
            <w:pPr>
              <w:spacing w:after="0"/>
            </w:pPr>
            <w:r>
              <w:rPr>
                <w:sz w:val="16"/>
              </w:rPr>
              <w:t>Prioritize structural metals and machine shop feed before exportable metals.</w:t>
            </w:r>
          </w:p>
        </w:tc>
      </w:tr>
      <w:tr>
        <w:tc>
          <w:tcPr>
            <w:tcW w:type="dxa" w:w="3456"/>
            <w:vAlign w:val="top"/>
          </w:tcPr>
          <w:p>
            <w:pPr>
              <w:spacing w:after="0"/>
            </w:pPr>
            <w:r>
              <w:rPr>
                <w:sz w:val="16"/>
              </w:rPr>
              <w:t>M-H5 Ceramic, glass, and structural feedstock hall</w:t>
            </w:r>
          </w:p>
        </w:tc>
        <w:tc>
          <w:tcPr>
            <w:tcW w:type="dxa" w:w="3456"/>
            <w:vAlign w:val="top"/>
          </w:tcPr>
          <w:p>
            <w:pPr>
              <w:spacing w:after="0"/>
            </w:pPr>
            <w:r>
              <w:rPr>
                <w:sz w:val="16"/>
              </w:rPr>
              <w:t>Produce sintered blocks, glass, fibers, ceramic powders, pad materials, and pressure shell support products.</w:t>
            </w:r>
          </w:p>
        </w:tc>
        <w:tc>
          <w:tcPr>
            <w:tcW w:type="dxa" w:w="3456"/>
            <w:vAlign w:val="top"/>
          </w:tcPr>
          <w:p>
            <w:pPr>
              <w:spacing w:after="0"/>
            </w:pPr>
            <w:r>
              <w:rPr>
                <w:sz w:val="16"/>
              </w:rPr>
              <w:t>Supports habitat expansion, landing pad hardening, dust barriers, and radiation shielding.</w:t>
            </w:r>
          </w:p>
        </w:tc>
      </w:tr>
      <w:tr>
        <w:tc>
          <w:tcPr>
            <w:tcW w:type="dxa" w:w="3456"/>
            <w:vAlign w:val="top"/>
          </w:tcPr>
          <w:p>
            <w:pPr>
              <w:spacing w:after="0"/>
            </w:pPr>
            <w:r>
              <w:rPr>
                <w:sz w:val="16"/>
              </w:rPr>
              <w:t>M-H6 Hazardous residue and slag management</w:t>
            </w:r>
          </w:p>
        </w:tc>
        <w:tc>
          <w:tcPr>
            <w:tcW w:type="dxa" w:w="3456"/>
            <w:vAlign w:val="top"/>
          </w:tcPr>
          <w:p>
            <w:pPr>
              <w:spacing w:after="0"/>
            </w:pPr>
            <w:r>
              <w:rPr>
                <w:sz w:val="16"/>
              </w:rPr>
              <w:t>Stabilize byproducts, dust rejects, salts, and chemical residues.</w:t>
            </w:r>
          </w:p>
        </w:tc>
        <w:tc>
          <w:tcPr>
            <w:tcW w:type="dxa" w:w="3456"/>
            <w:vAlign w:val="top"/>
          </w:tcPr>
          <w:p>
            <w:pPr>
              <w:spacing w:after="0"/>
            </w:pPr>
            <w:r>
              <w:rPr>
                <w:sz w:val="16"/>
              </w:rPr>
              <w:t>No residue route may cross water, food, medical, or breathable atmosphere loops.</w:t>
            </w:r>
          </w:p>
        </w:tc>
      </w:tr>
    </w:tbl>
    <w:p>
      <w:pPr>
        <w:pStyle w:val="Heading2"/>
        <w:spacing w:before="200" w:after="120"/>
      </w:pPr>
      <w:r>
        <w:rPr>
          <w:rFonts w:ascii="Aptos" w:hAnsi="Aptos"/>
        </w:rPr>
        <w:t>18.4 Mars Installation District Plan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pPr>
            <w:r>
              <w:rPr>
                <w:b/>
                <w:sz w:val="16"/>
              </w:rPr>
              <w:t>Mars district</w:t>
            </w:r>
          </w:p>
        </w:tc>
        <w:tc>
          <w:tcPr>
            <w:tcW w:type="dxa" w:w="2592"/>
            <w:vAlign w:val="top"/>
            <w:shd w:fill="D9EAF7"/>
          </w:tcPr>
          <w:p>
            <w:pPr>
              <w:spacing w:after="0"/>
            </w:pPr>
            <w:r>
              <w:rPr>
                <w:b/>
                <w:sz w:val="16"/>
              </w:rPr>
              <w:t>Name</w:t>
            </w:r>
          </w:p>
        </w:tc>
        <w:tc>
          <w:tcPr>
            <w:tcW w:type="dxa" w:w="2592"/>
            <w:vAlign w:val="top"/>
            <w:shd w:fill="D9EAF7"/>
          </w:tcPr>
          <w:p>
            <w:pPr>
              <w:spacing w:after="0"/>
            </w:pPr>
            <w:r>
              <w:rPr>
                <w:b/>
                <w:sz w:val="16"/>
              </w:rPr>
              <w:t>Primary facilities</w:t>
            </w:r>
          </w:p>
        </w:tc>
        <w:tc>
          <w:tcPr>
            <w:tcW w:type="dxa" w:w="2592"/>
            <w:vAlign w:val="top"/>
            <w:shd w:fill="D9EAF7"/>
          </w:tcPr>
          <w:p>
            <w:pPr>
              <w:spacing w:after="0"/>
            </w:pPr>
            <w:r>
              <w:rPr>
                <w:b/>
                <w:sz w:val="16"/>
              </w:rPr>
              <w:t>Design posture</w:t>
            </w:r>
          </w:p>
        </w:tc>
      </w:tr>
      <w:tr>
        <w:tc>
          <w:tcPr>
            <w:tcW w:type="dxa" w:w="2592"/>
            <w:vAlign w:val="top"/>
          </w:tcPr>
          <w:p>
            <w:pPr>
              <w:spacing w:after="0"/>
            </w:pPr>
            <w:r>
              <w:rPr>
                <w:sz w:val="16"/>
              </w:rPr>
              <w:t>M-A</w:t>
            </w:r>
          </w:p>
        </w:tc>
        <w:tc>
          <w:tcPr>
            <w:tcW w:type="dxa" w:w="2592"/>
            <w:vAlign w:val="top"/>
          </w:tcPr>
          <w:p>
            <w:pPr>
              <w:spacing w:after="0"/>
            </w:pPr>
            <w:r>
              <w:rPr>
                <w:sz w:val="16"/>
              </w:rPr>
              <w:t>Surface ISRU and volatile processing district</w:t>
            </w:r>
          </w:p>
        </w:tc>
        <w:tc>
          <w:tcPr>
            <w:tcW w:type="dxa" w:w="2592"/>
            <w:vAlign w:val="top"/>
          </w:tcPr>
          <w:p>
            <w:pPr>
              <w:spacing w:after="0"/>
            </w:pPr>
            <w:r>
              <w:rPr>
                <w:sz w:val="16"/>
              </w:rPr>
              <w:t>Atmospheric CO2 intake, water extraction, water purification, oxygen production, methane production, gas handling, tank farm.</w:t>
            </w:r>
          </w:p>
        </w:tc>
        <w:tc>
          <w:tcPr>
            <w:tcW w:type="dxa" w:w="2592"/>
            <w:vAlign w:val="top"/>
          </w:tcPr>
          <w:p>
            <w:pPr>
              <w:spacing w:after="0"/>
            </w:pPr>
            <w:r>
              <w:rPr>
                <w:sz w:val="16"/>
              </w:rPr>
              <w:t>Fuel and life support production. Must hold reserve priority over exports.</w:t>
            </w:r>
          </w:p>
        </w:tc>
      </w:tr>
      <w:tr>
        <w:tc>
          <w:tcPr>
            <w:tcW w:type="dxa" w:w="2592"/>
            <w:vAlign w:val="top"/>
          </w:tcPr>
          <w:p>
            <w:pPr>
              <w:spacing w:after="0"/>
            </w:pPr>
            <w:r>
              <w:rPr>
                <w:sz w:val="16"/>
              </w:rPr>
              <w:t>M-B</w:t>
            </w:r>
          </w:p>
        </w:tc>
        <w:tc>
          <w:tcPr>
            <w:tcW w:type="dxa" w:w="2592"/>
            <w:vAlign w:val="top"/>
          </w:tcPr>
          <w:p>
            <w:pPr>
              <w:spacing w:after="0"/>
            </w:pPr>
            <w:r>
              <w:rPr>
                <w:sz w:val="16"/>
              </w:rPr>
              <w:t>Subsurface habitat and command district</w:t>
            </w:r>
          </w:p>
        </w:tc>
        <w:tc>
          <w:tcPr>
            <w:tcW w:type="dxa" w:w="2592"/>
            <w:vAlign w:val="top"/>
          </w:tcPr>
          <w:p>
            <w:pPr>
              <w:spacing w:after="0"/>
            </w:pPr>
            <w:r>
              <w:rPr>
                <w:sz w:val="16"/>
              </w:rPr>
              <w:t>Housing, command, medical, food, labs, hydroponics, data center, refuge clusters, pressure zoning.</w:t>
            </w:r>
          </w:p>
        </w:tc>
        <w:tc>
          <w:tcPr>
            <w:tcW w:type="dxa" w:w="2592"/>
            <w:vAlign w:val="top"/>
          </w:tcPr>
          <w:p>
            <w:pPr>
              <w:spacing w:after="0"/>
            </w:pPr>
            <w:r>
              <w:rPr>
                <w:sz w:val="16"/>
              </w:rPr>
              <w:t>Life safety and local autonomy. Derived from lunar District B.</w:t>
            </w:r>
          </w:p>
        </w:tc>
      </w:tr>
      <w:tr>
        <w:tc>
          <w:tcPr>
            <w:tcW w:type="dxa" w:w="2592"/>
            <w:vAlign w:val="top"/>
          </w:tcPr>
          <w:p>
            <w:pPr>
              <w:spacing w:after="0"/>
            </w:pPr>
            <w:r>
              <w:rPr>
                <w:sz w:val="16"/>
              </w:rPr>
              <w:t>M-C</w:t>
            </w:r>
          </w:p>
        </w:tc>
        <w:tc>
          <w:tcPr>
            <w:tcW w:type="dxa" w:w="2592"/>
            <w:vAlign w:val="top"/>
          </w:tcPr>
          <w:p>
            <w:pPr>
              <w:spacing w:after="0"/>
            </w:pPr>
            <w:r>
              <w:rPr>
                <w:sz w:val="16"/>
              </w:rPr>
              <w:t>Power and thermal district</w:t>
            </w:r>
          </w:p>
        </w:tc>
        <w:tc>
          <w:tcPr>
            <w:tcW w:type="dxa" w:w="2592"/>
            <w:vAlign w:val="top"/>
          </w:tcPr>
          <w:p>
            <w:pPr>
              <w:spacing w:after="0"/>
            </w:pPr>
            <w:r>
              <w:rPr>
                <w:sz w:val="16"/>
              </w:rPr>
              <w:t>Reactor units, solar arrays, storage, distribution, radiator and thermal control, protected emergency power.</w:t>
            </w:r>
          </w:p>
        </w:tc>
        <w:tc>
          <w:tcPr>
            <w:tcW w:type="dxa" w:w="2592"/>
            <w:vAlign w:val="top"/>
          </w:tcPr>
          <w:p>
            <w:pPr>
              <w:spacing w:after="0"/>
            </w:pPr>
            <w:r>
              <w:rPr>
                <w:sz w:val="16"/>
              </w:rPr>
              <w:t>Reactor first. Solar supports noncritical loads and reserve rebuilding.</w:t>
            </w:r>
          </w:p>
        </w:tc>
      </w:tr>
      <w:tr>
        <w:tc>
          <w:tcPr>
            <w:tcW w:type="dxa" w:w="2592"/>
            <w:vAlign w:val="top"/>
          </w:tcPr>
          <w:p>
            <w:pPr>
              <w:spacing w:after="0"/>
            </w:pPr>
            <w:r>
              <w:rPr>
                <w:sz w:val="16"/>
              </w:rPr>
              <w:t>M-D</w:t>
            </w:r>
          </w:p>
        </w:tc>
        <w:tc>
          <w:tcPr>
            <w:tcW w:type="dxa" w:w="2592"/>
            <w:vAlign w:val="top"/>
          </w:tcPr>
          <w:p>
            <w:pPr>
              <w:spacing w:after="0"/>
            </w:pPr>
            <w:r>
              <w:rPr>
                <w:sz w:val="16"/>
              </w:rPr>
              <w:t>Mars spaceport and orbital interface district</w:t>
            </w:r>
          </w:p>
        </w:tc>
        <w:tc>
          <w:tcPr>
            <w:tcW w:type="dxa" w:w="2592"/>
            <w:vAlign w:val="top"/>
          </w:tcPr>
          <w:p>
            <w:pPr>
              <w:spacing w:after="0"/>
            </w:pPr>
            <w:r>
              <w:rPr>
                <w:sz w:val="16"/>
              </w:rPr>
              <w:t>Landing pads, ascent vehicle pads, cargo yard, crew terminal, propellant loading, traffic control.</w:t>
            </w:r>
          </w:p>
        </w:tc>
        <w:tc>
          <w:tcPr>
            <w:tcW w:type="dxa" w:w="2592"/>
            <w:vAlign w:val="top"/>
          </w:tcPr>
          <w:p>
            <w:pPr>
              <w:spacing w:after="0"/>
            </w:pPr>
            <w:r>
              <w:rPr>
                <w:sz w:val="16"/>
              </w:rPr>
              <w:t>Supports crew rotation, cargo receipt, and Mars orbit interface.</w:t>
            </w:r>
          </w:p>
        </w:tc>
      </w:tr>
      <w:tr>
        <w:tc>
          <w:tcPr>
            <w:tcW w:type="dxa" w:w="2592"/>
            <w:vAlign w:val="top"/>
          </w:tcPr>
          <w:p>
            <w:pPr>
              <w:spacing w:after="0"/>
            </w:pPr>
            <w:r>
              <w:rPr>
                <w:sz w:val="16"/>
              </w:rPr>
              <w:t>M-E</w:t>
            </w:r>
          </w:p>
        </w:tc>
        <w:tc>
          <w:tcPr>
            <w:tcW w:type="dxa" w:w="2592"/>
            <w:vAlign w:val="top"/>
          </w:tcPr>
          <w:p>
            <w:pPr>
              <w:spacing w:after="0"/>
            </w:pPr>
            <w:r>
              <w:rPr>
                <w:sz w:val="16"/>
              </w:rPr>
              <w:t>Emergency refuge and surface mobility district</w:t>
            </w:r>
          </w:p>
        </w:tc>
        <w:tc>
          <w:tcPr>
            <w:tcW w:type="dxa" w:w="2592"/>
            <w:vAlign w:val="top"/>
          </w:tcPr>
          <w:p>
            <w:pPr>
              <w:spacing w:after="0"/>
            </w:pPr>
            <w:r>
              <w:rPr>
                <w:sz w:val="16"/>
              </w:rPr>
              <w:t>Protected assembly halls, suit systems, emergency rovers, evacuation staging, reserve water and gas stores.</w:t>
            </w:r>
          </w:p>
        </w:tc>
        <w:tc>
          <w:tcPr>
            <w:tcW w:type="dxa" w:w="2592"/>
            <w:vAlign w:val="top"/>
          </w:tcPr>
          <w:p>
            <w:pPr>
              <w:spacing w:after="0"/>
            </w:pPr>
            <w:r>
              <w:rPr>
                <w:sz w:val="16"/>
              </w:rPr>
              <w:t>Survival and base wide movement under dust storm or utility failure.</w:t>
            </w:r>
          </w:p>
        </w:tc>
      </w:tr>
      <w:tr>
        <w:tc>
          <w:tcPr>
            <w:tcW w:type="dxa" w:w="2592"/>
            <w:vAlign w:val="top"/>
          </w:tcPr>
          <w:p>
            <w:pPr>
              <w:spacing w:after="0"/>
            </w:pPr>
            <w:r>
              <w:rPr>
                <w:sz w:val="16"/>
              </w:rPr>
              <w:t>M-F</w:t>
            </w:r>
          </w:p>
        </w:tc>
        <w:tc>
          <w:tcPr>
            <w:tcW w:type="dxa" w:w="2592"/>
            <w:vAlign w:val="top"/>
          </w:tcPr>
          <w:p>
            <w:pPr>
              <w:spacing w:after="0"/>
            </w:pPr>
            <w:r>
              <w:rPr>
                <w:sz w:val="16"/>
              </w:rPr>
              <w:t>Food production and bioregenerative systems district</w:t>
            </w:r>
          </w:p>
        </w:tc>
        <w:tc>
          <w:tcPr>
            <w:tcW w:type="dxa" w:w="2592"/>
            <w:vAlign w:val="top"/>
          </w:tcPr>
          <w:p>
            <w:pPr>
              <w:spacing w:after="0"/>
            </w:pPr>
            <w:r>
              <w:rPr>
                <w:sz w:val="16"/>
              </w:rPr>
              <w:t>Hydroponics, algae, microbial protein, nutrient processing, seed stock, controlled bioload corridors.</w:t>
            </w:r>
          </w:p>
        </w:tc>
        <w:tc>
          <w:tcPr>
            <w:tcW w:type="dxa" w:w="2592"/>
            <w:vAlign w:val="top"/>
          </w:tcPr>
          <w:p>
            <w:pPr>
              <w:spacing w:after="0"/>
            </w:pPr>
            <w:r>
              <w:rPr>
                <w:sz w:val="16"/>
              </w:rPr>
              <w:t>Food resilience and closed loop life support support.</w:t>
            </w:r>
          </w:p>
        </w:tc>
      </w:tr>
      <w:tr>
        <w:tc>
          <w:tcPr>
            <w:tcW w:type="dxa" w:w="2592"/>
            <w:vAlign w:val="top"/>
          </w:tcPr>
          <w:p>
            <w:pPr>
              <w:spacing w:after="0"/>
            </w:pPr>
            <w:r>
              <w:rPr>
                <w:sz w:val="16"/>
              </w:rPr>
              <w:t>M-G</w:t>
            </w:r>
          </w:p>
        </w:tc>
        <w:tc>
          <w:tcPr>
            <w:tcW w:type="dxa" w:w="2592"/>
            <w:vAlign w:val="top"/>
          </w:tcPr>
          <w:p>
            <w:pPr>
              <w:spacing w:after="0"/>
            </w:pPr>
            <w:r>
              <w:rPr>
                <w:sz w:val="16"/>
              </w:rPr>
              <w:t>Science, weather, seismic, and radiation monitoring network</w:t>
            </w:r>
          </w:p>
        </w:tc>
        <w:tc>
          <w:tcPr>
            <w:tcW w:type="dxa" w:w="2592"/>
            <w:vAlign w:val="top"/>
          </w:tcPr>
          <w:p>
            <w:pPr>
              <w:spacing w:after="0"/>
            </w:pPr>
            <w:r>
              <w:rPr>
                <w:sz w:val="16"/>
              </w:rPr>
              <w:t>Weather masts, dust sensors, seismic nodes, radiation monitors, geotechnical sensors, orbital relay interface.</w:t>
            </w:r>
          </w:p>
        </w:tc>
        <w:tc>
          <w:tcPr>
            <w:tcW w:type="dxa" w:w="2592"/>
            <w:vAlign w:val="top"/>
          </w:tcPr>
          <w:p>
            <w:pPr>
              <w:spacing w:after="0"/>
            </w:pPr>
            <w:r>
              <w:rPr>
                <w:sz w:val="16"/>
              </w:rPr>
              <w:t>Operational hazard detection and science value.</w:t>
            </w:r>
          </w:p>
        </w:tc>
      </w:tr>
      <w:tr>
        <w:tc>
          <w:tcPr>
            <w:tcW w:type="dxa" w:w="2592"/>
            <w:vAlign w:val="top"/>
          </w:tcPr>
          <w:p>
            <w:pPr>
              <w:spacing w:after="0"/>
            </w:pPr>
            <w:r>
              <w:rPr>
                <w:sz w:val="16"/>
              </w:rPr>
              <w:t>M-H</w:t>
            </w:r>
          </w:p>
        </w:tc>
        <w:tc>
          <w:tcPr>
            <w:tcW w:type="dxa" w:w="2592"/>
            <w:vAlign w:val="top"/>
          </w:tcPr>
          <w:p>
            <w:pPr>
              <w:spacing w:after="0"/>
            </w:pPr>
            <w:r>
              <w:rPr>
                <w:sz w:val="16"/>
              </w:rPr>
              <w:t>Mineral processing and materials refining district</w:t>
            </w:r>
          </w:p>
        </w:tc>
        <w:tc>
          <w:tcPr>
            <w:tcW w:type="dxa" w:w="2592"/>
            <w:vAlign w:val="top"/>
          </w:tcPr>
          <w:p>
            <w:pPr>
              <w:spacing w:after="0"/>
            </w:pPr>
            <w:r>
              <w:rPr>
                <w:sz w:val="16"/>
              </w:rPr>
              <w:t>Beneficiation, salts and oxides, metals recovery, glass and ceramics, residue control.</w:t>
            </w:r>
          </w:p>
        </w:tc>
        <w:tc>
          <w:tcPr>
            <w:tcW w:type="dxa" w:w="2592"/>
            <w:vAlign w:val="top"/>
          </w:tcPr>
          <w:p>
            <w:pPr>
              <w:spacing w:after="0"/>
            </w:pPr>
            <w:r>
              <w:rPr>
                <w:sz w:val="16"/>
              </w:rPr>
              <w:t>Separate from habitat and life support. Direct derivative of lunar District H.</w:t>
            </w:r>
          </w:p>
        </w:tc>
      </w:tr>
    </w:tbl>
    <w:p>
      <w:pPr>
        <w:pStyle w:val="Heading2"/>
        <w:spacing w:before="200" w:after="120"/>
      </w:pPr>
      <w:r>
        <w:rPr>
          <w:rFonts w:ascii="Aptos" w:hAnsi="Aptos"/>
        </w:rPr>
        <w:t>18.5 Lunar Biodiversity Vault Added to Lunar Site</w:t>
      </w:r>
    </w:p>
    <w:p>
      <w:r>
        <w:rPr>
          <w:rFonts w:ascii="Aptos" w:hAnsi="Aptos"/>
        </w:rPr>
        <w:t>The Lunar Biodiversity Vault is added as District J at the lunar south pole site. It is a protected underground archive for seeds, spores, microbial references, tissue samples, DNA and genome libraries, agricultural baseline stocks, and ecosystem reference data. It is not a release facility and it is not a biological production zone. Its purpose is preservation, science continuity, settlement resilience, and civilization level redundancy.</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Vault element</w:t>
            </w:r>
          </w:p>
        </w:tc>
        <w:tc>
          <w:tcPr>
            <w:tcW w:type="dxa" w:w="3456"/>
            <w:vAlign w:val="top"/>
            <w:shd w:fill="D9EAF7"/>
          </w:tcPr>
          <w:p>
            <w:pPr>
              <w:spacing w:after="0"/>
            </w:pPr>
            <w:r>
              <w:rPr>
                <w:b/>
                <w:sz w:val="16"/>
              </w:rPr>
              <w:t>Specification</w:t>
            </w:r>
          </w:p>
        </w:tc>
        <w:tc>
          <w:tcPr>
            <w:tcW w:type="dxa" w:w="3456"/>
            <w:vAlign w:val="top"/>
            <w:shd w:fill="D9EAF7"/>
          </w:tcPr>
          <w:p>
            <w:pPr>
              <w:spacing w:after="0"/>
            </w:pPr>
            <w:r>
              <w:rPr>
                <w:b/>
                <w:sz w:val="16"/>
              </w:rPr>
              <w:t>Control requirement</w:t>
            </w:r>
          </w:p>
        </w:tc>
      </w:tr>
      <w:tr>
        <w:tc>
          <w:tcPr>
            <w:tcW w:type="dxa" w:w="3456"/>
            <w:vAlign w:val="top"/>
          </w:tcPr>
          <w:p>
            <w:pPr>
              <w:spacing w:after="0"/>
            </w:pPr>
            <w:r>
              <w:rPr>
                <w:sz w:val="16"/>
              </w:rPr>
              <w:t>J1 Protected receiving and quarantine lab</w:t>
            </w:r>
          </w:p>
        </w:tc>
        <w:tc>
          <w:tcPr>
            <w:tcW w:type="dxa" w:w="3456"/>
            <w:vAlign w:val="top"/>
          </w:tcPr>
          <w:p>
            <w:pPr>
              <w:spacing w:after="0"/>
            </w:pPr>
            <w:r>
              <w:rPr>
                <w:sz w:val="16"/>
              </w:rPr>
              <w:t>Clean receiving suite for sealed sample containers, chain of custody logging, contamination screening, and transfer to storage.</w:t>
            </w:r>
          </w:p>
        </w:tc>
        <w:tc>
          <w:tcPr>
            <w:tcW w:type="dxa" w:w="3456"/>
            <w:vAlign w:val="top"/>
          </w:tcPr>
          <w:p>
            <w:pPr>
              <w:spacing w:after="0"/>
            </w:pPr>
            <w:r>
              <w:rPr>
                <w:sz w:val="16"/>
              </w:rPr>
              <w:t>Must be isolated from habitat food production, medical, and industrial dust corridors.</w:t>
            </w:r>
          </w:p>
        </w:tc>
      </w:tr>
      <w:tr>
        <w:tc>
          <w:tcPr>
            <w:tcW w:type="dxa" w:w="3456"/>
            <w:vAlign w:val="top"/>
          </w:tcPr>
          <w:p>
            <w:pPr>
              <w:spacing w:after="0"/>
            </w:pPr>
            <w:r>
              <w:rPr>
                <w:sz w:val="16"/>
              </w:rPr>
              <w:t>J2 Passive cold storage galleries</w:t>
            </w:r>
          </w:p>
        </w:tc>
        <w:tc>
          <w:tcPr>
            <w:tcW w:type="dxa" w:w="3456"/>
            <w:vAlign w:val="top"/>
          </w:tcPr>
          <w:p>
            <w:pPr>
              <w:spacing w:after="0"/>
            </w:pPr>
            <w:r>
              <w:rPr>
                <w:sz w:val="16"/>
              </w:rPr>
              <w:t>Underground cold rooms using regolith shielding, thermal mass, and shaded or insulated geometry to reduce active cooling demand.</w:t>
            </w:r>
          </w:p>
        </w:tc>
        <w:tc>
          <w:tcPr>
            <w:tcW w:type="dxa" w:w="3456"/>
            <w:vAlign w:val="top"/>
          </w:tcPr>
          <w:p>
            <w:pPr>
              <w:spacing w:after="0"/>
            </w:pPr>
            <w:r>
              <w:rPr>
                <w:sz w:val="16"/>
              </w:rPr>
              <w:t>Temperature stability and low vibration outrank access convenience.</w:t>
            </w:r>
          </w:p>
        </w:tc>
      </w:tr>
      <w:tr>
        <w:tc>
          <w:tcPr>
            <w:tcW w:type="dxa" w:w="3456"/>
            <w:vAlign w:val="top"/>
          </w:tcPr>
          <w:p>
            <w:pPr>
              <w:spacing w:after="0"/>
            </w:pPr>
            <w:r>
              <w:rPr>
                <w:sz w:val="16"/>
              </w:rPr>
              <w:t>J3 Active cryogenic vaults</w:t>
            </w:r>
          </w:p>
        </w:tc>
        <w:tc>
          <w:tcPr>
            <w:tcW w:type="dxa" w:w="3456"/>
            <w:vAlign w:val="top"/>
          </w:tcPr>
          <w:p>
            <w:pPr>
              <w:spacing w:after="0"/>
            </w:pPr>
            <w:r>
              <w:rPr>
                <w:sz w:val="16"/>
              </w:rPr>
              <w:t>Ultra low temperature storage for seeds, tissues, cell lines, microbial cultures, genetic reference samples, and critical biological standards.</w:t>
            </w:r>
          </w:p>
        </w:tc>
        <w:tc>
          <w:tcPr>
            <w:tcW w:type="dxa" w:w="3456"/>
            <w:vAlign w:val="top"/>
          </w:tcPr>
          <w:p>
            <w:pPr>
              <w:spacing w:after="0"/>
            </w:pPr>
            <w:r>
              <w:rPr>
                <w:sz w:val="16"/>
              </w:rPr>
              <w:t>Power supplied by protected emergency bus and independent thermal control. No single cryogenic train may hold all sample classes.</w:t>
            </w:r>
          </w:p>
        </w:tc>
      </w:tr>
      <w:tr>
        <w:tc>
          <w:tcPr>
            <w:tcW w:type="dxa" w:w="3456"/>
            <w:vAlign w:val="top"/>
          </w:tcPr>
          <w:p>
            <w:pPr>
              <w:spacing w:after="0"/>
            </w:pPr>
            <w:r>
              <w:rPr>
                <w:sz w:val="16"/>
              </w:rPr>
              <w:t>J4 Digital genetic and ecological archive</w:t>
            </w:r>
          </w:p>
        </w:tc>
        <w:tc>
          <w:tcPr>
            <w:tcW w:type="dxa" w:w="3456"/>
            <w:vAlign w:val="top"/>
          </w:tcPr>
          <w:p>
            <w:pPr>
              <w:spacing w:after="0"/>
            </w:pPr>
            <w:r>
              <w:rPr>
                <w:sz w:val="16"/>
              </w:rPr>
              <w:t>Redundant offline and online storage of genomes, phenotypes, provenance, chain of custody records, and restoration protocols.</w:t>
            </w:r>
          </w:p>
        </w:tc>
        <w:tc>
          <w:tcPr>
            <w:tcW w:type="dxa" w:w="3456"/>
            <w:vAlign w:val="top"/>
          </w:tcPr>
          <w:p>
            <w:pPr>
              <w:spacing w:after="0"/>
            </w:pPr>
            <w:r>
              <w:rPr>
                <w:sz w:val="16"/>
              </w:rPr>
              <w:t>Mirrored to lunar command data center and selected Earth or orbital archives.</w:t>
            </w:r>
          </w:p>
        </w:tc>
      </w:tr>
      <w:tr>
        <w:tc>
          <w:tcPr>
            <w:tcW w:type="dxa" w:w="3456"/>
            <w:vAlign w:val="top"/>
          </w:tcPr>
          <w:p>
            <w:pPr>
              <w:spacing w:after="0"/>
            </w:pPr>
            <w:r>
              <w:rPr>
                <w:sz w:val="16"/>
              </w:rPr>
              <w:t>J5 Custody and governance suite</w:t>
            </w:r>
          </w:p>
        </w:tc>
        <w:tc>
          <w:tcPr>
            <w:tcW w:type="dxa" w:w="3456"/>
            <w:vAlign w:val="top"/>
          </w:tcPr>
          <w:p>
            <w:pPr>
              <w:spacing w:after="0"/>
            </w:pPr>
            <w:r>
              <w:rPr>
                <w:sz w:val="16"/>
              </w:rPr>
              <w:t>Access control, audit, ethics review, sample release approvals, and long term preservation policy.</w:t>
            </w:r>
          </w:p>
        </w:tc>
        <w:tc>
          <w:tcPr>
            <w:tcW w:type="dxa" w:w="3456"/>
            <w:vAlign w:val="top"/>
          </w:tcPr>
          <w:p>
            <w:pPr>
              <w:spacing w:after="0"/>
            </w:pPr>
            <w:r>
              <w:rPr>
                <w:sz w:val="16"/>
              </w:rPr>
              <w:t>Sample release requires governance approval and operational hazard review.</w:t>
            </w:r>
          </w:p>
        </w:tc>
      </w:tr>
      <w:tr>
        <w:tc>
          <w:tcPr>
            <w:tcW w:type="dxa" w:w="3456"/>
            <w:vAlign w:val="top"/>
          </w:tcPr>
          <w:p>
            <w:pPr>
              <w:spacing w:after="0"/>
            </w:pPr>
            <w:r>
              <w:rPr>
                <w:sz w:val="16"/>
              </w:rPr>
              <w:t>J6 Vault emergency mode</w:t>
            </w:r>
          </w:p>
        </w:tc>
        <w:tc>
          <w:tcPr>
            <w:tcW w:type="dxa" w:w="3456"/>
            <w:vAlign w:val="top"/>
          </w:tcPr>
          <w:p>
            <w:pPr>
              <w:spacing w:after="0"/>
            </w:pPr>
            <w:r>
              <w:rPr>
                <w:sz w:val="16"/>
              </w:rPr>
              <w:t>Vault can operate through one lunar night with isolated power and thermal control.</w:t>
            </w:r>
          </w:p>
        </w:tc>
        <w:tc>
          <w:tcPr>
            <w:tcW w:type="dxa" w:w="3456"/>
            <w:vAlign w:val="top"/>
          </w:tcPr>
          <w:p>
            <w:pPr>
              <w:spacing w:after="0"/>
            </w:pPr>
            <w:r>
              <w:rPr>
                <w:sz w:val="16"/>
              </w:rPr>
              <w:t>Vault survival shall not draw reserves from habitat refuge clusters unless explicitly approved by emergency command.</w:t>
            </w:r>
          </w:p>
        </w:tc>
      </w:tr>
    </w:tbl>
    <w:p>
      <w:pPr>
        <w:pStyle w:val="ListBullet"/>
      </w:pPr>
      <w:r>
        <w:rPr>
          <w:rFonts w:ascii="Aptos" w:hAnsi="Aptos"/>
        </w:rPr>
        <w:t>District J should be physically located below the main habitat level or in a separate protected lateral gallery, not inside residential or food production zones.</w:t>
      </w:r>
    </w:p>
    <w:p>
      <w:pPr>
        <w:pStyle w:val="ListBullet"/>
      </w:pPr>
      <w:r>
        <w:rPr>
          <w:rFonts w:ascii="Aptos" w:hAnsi="Aptos"/>
        </w:rPr>
        <w:t>The vault shall use class based sample segregation so seed, microbial, animal cell, plant tissue, DNA, and data archives cannot be compromised by one failure path.</w:t>
      </w:r>
    </w:p>
    <w:p>
      <w:pPr>
        <w:pStyle w:val="ListBullet"/>
      </w:pPr>
      <w:r>
        <w:rPr>
          <w:rFonts w:ascii="Aptos" w:hAnsi="Aptos"/>
        </w:rPr>
        <w:t>The vault shall include biosecurity procedures but shall avoid active ecological release or open biological experimentation within the archive boundary.</w:t>
      </w:r>
    </w:p>
    <w:p>
      <w:pPr>
        <w:pStyle w:val="ListBullet"/>
      </w:pPr>
      <w:r>
        <w:rPr>
          <w:rFonts w:ascii="Aptos" w:hAnsi="Aptos"/>
        </w:rPr>
        <w:t>The vault shall have a protected logistics path to medical and science sectors only through controlled clean transfer corridors.</w:t>
      </w:r>
    </w:p>
    <w:p>
      <w:pPr>
        <w:pStyle w:val="Heading2"/>
        <w:spacing w:before="200" w:after="120"/>
      </w:pPr>
      <w:r>
        <w:rPr>
          <w:rFonts w:ascii="Aptos" w:hAnsi="Aptos"/>
        </w:rPr>
        <w:t>18.6 Ceres Autonomous Modification Worksite</w:t>
      </w:r>
    </w:p>
    <w:p>
      <w:r>
        <w:rPr>
          <w:rFonts w:ascii="Aptos" w:hAnsi="Aptos"/>
        </w:rPr>
        <w:t>The Ceres Autonomous Modification Worksite, abbreviated CAMW, is a robotic facility for belt operations. It is not a 1000 person settlement. It is an autonomous worksite used to modify equipment, service cargo vehicles, process water and mineral feedstock, prepare low gravity exports, and support later crew tended operations if justified. The facility operates under lunar hub governance with high local autonomy because real time manual control is not practical at belt distances.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CAMW sector</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driver</w:t>
            </w:r>
          </w:p>
        </w:tc>
      </w:tr>
      <w:tr>
        <w:tc>
          <w:tcPr>
            <w:tcW w:type="dxa" w:w="3456"/>
            <w:vAlign w:val="top"/>
          </w:tcPr>
          <w:p>
            <w:pPr>
              <w:spacing w:after="0"/>
            </w:pPr>
            <w:r>
              <w:rPr>
                <w:sz w:val="16"/>
              </w:rPr>
              <w:t>C-A Anchored landing and capture field</w:t>
            </w:r>
          </w:p>
        </w:tc>
        <w:tc>
          <w:tcPr>
            <w:tcW w:type="dxa" w:w="3456"/>
            <w:vAlign w:val="top"/>
          </w:tcPr>
          <w:p>
            <w:pPr>
              <w:spacing w:after="0"/>
            </w:pPr>
            <w:r>
              <w:rPr>
                <w:sz w:val="16"/>
              </w:rPr>
              <w:t>Receive low gravity landers, cargo pods, tankers, and robotic work platforms.</w:t>
            </w:r>
          </w:p>
        </w:tc>
        <w:tc>
          <w:tcPr>
            <w:tcW w:type="dxa" w:w="3456"/>
            <w:vAlign w:val="top"/>
          </w:tcPr>
          <w:p>
            <w:pPr>
              <w:spacing w:after="0"/>
            </w:pPr>
            <w:r>
              <w:rPr>
                <w:sz w:val="16"/>
              </w:rPr>
              <w:t>Anchoring and grappling are primary because uncontrolled rebound is a major operational hazard.</w:t>
            </w:r>
          </w:p>
        </w:tc>
      </w:tr>
      <w:tr>
        <w:tc>
          <w:tcPr>
            <w:tcW w:type="dxa" w:w="3456"/>
            <w:vAlign w:val="top"/>
          </w:tcPr>
          <w:p>
            <w:pPr>
              <w:spacing w:after="0"/>
            </w:pPr>
            <w:r>
              <w:rPr>
                <w:sz w:val="16"/>
              </w:rPr>
              <w:t>C-B Autonomous modification and repair bay</w:t>
            </w:r>
          </w:p>
        </w:tc>
        <w:tc>
          <w:tcPr>
            <w:tcW w:type="dxa" w:w="3456"/>
            <w:vAlign w:val="top"/>
          </w:tcPr>
          <w:p>
            <w:pPr>
              <w:spacing w:after="0"/>
            </w:pPr>
            <w:r>
              <w:rPr>
                <w:sz w:val="16"/>
              </w:rPr>
              <w:t>Modify tools, repair mining robots, refit cargo pods, inspect pressure systems, and update modular process skids.</w:t>
            </w:r>
          </w:p>
        </w:tc>
        <w:tc>
          <w:tcPr>
            <w:tcW w:type="dxa" w:w="3456"/>
            <w:vAlign w:val="top"/>
          </w:tcPr>
          <w:p>
            <w:pPr>
              <w:spacing w:after="0"/>
            </w:pPr>
            <w:r>
              <w:rPr>
                <w:sz w:val="16"/>
              </w:rPr>
              <w:t>Designed around robotic manipulation, machine vision, tool changing, and modular interfaces.</w:t>
            </w:r>
          </w:p>
        </w:tc>
      </w:tr>
      <w:tr>
        <w:tc>
          <w:tcPr>
            <w:tcW w:type="dxa" w:w="3456"/>
            <w:vAlign w:val="top"/>
          </w:tcPr>
          <w:p>
            <w:pPr>
              <w:spacing w:after="0"/>
            </w:pPr>
            <w:r>
              <w:rPr>
                <w:sz w:val="16"/>
              </w:rPr>
              <w:t>C-C Volatile and brine processing unit</w:t>
            </w:r>
          </w:p>
        </w:tc>
        <w:tc>
          <w:tcPr>
            <w:tcW w:type="dxa" w:w="3456"/>
            <w:vAlign w:val="top"/>
          </w:tcPr>
          <w:p>
            <w:pPr>
              <w:spacing w:after="0"/>
            </w:pPr>
            <w:r>
              <w:rPr>
                <w:sz w:val="16"/>
              </w:rPr>
              <w:t>Extract and purify water, process salts and brines, separate carbonates and ammoniated materials where available.</w:t>
            </w:r>
          </w:p>
        </w:tc>
        <w:tc>
          <w:tcPr>
            <w:tcW w:type="dxa" w:w="3456"/>
            <w:vAlign w:val="top"/>
          </w:tcPr>
          <w:p>
            <w:pPr>
              <w:spacing w:after="0"/>
            </w:pPr>
            <w:r>
              <w:rPr>
                <w:sz w:val="16"/>
              </w:rPr>
              <w:t>Prioritize water and nitrogen chemistry for logistics, fuel, and life support support.</w:t>
            </w:r>
          </w:p>
        </w:tc>
      </w:tr>
      <w:tr>
        <w:tc>
          <w:tcPr>
            <w:tcW w:type="dxa" w:w="3456"/>
            <w:vAlign w:val="top"/>
          </w:tcPr>
          <w:p>
            <w:pPr>
              <w:spacing w:after="0"/>
            </w:pPr>
            <w:r>
              <w:rPr>
                <w:sz w:val="16"/>
              </w:rPr>
              <w:t>C-D Mineral preprocessing yard</w:t>
            </w:r>
          </w:p>
        </w:tc>
        <w:tc>
          <w:tcPr>
            <w:tcW w:type="dxa" w:w="3456"/>
            <w:vAlign w:val="top"/>
          </w:tcPr>
          <w:p>
            <w:pPr>
              <w:spacing w:after="0"/>
            </w:pPr>
            <w:r>
              <w:rPr>
                <w:sz w:val="16"/>
              </w:rPr>
              <w:t>Crush, classify, magnetically or electrostatically separate, and package material for export or local manufacturing.</w:t>
            </w:r>
          </w:p>
        </w:tc>
        <w:tc>
          <w:tcPr>
            <w:tcW w:type="dxa" w:w="3456"/>
            <w:vAlign w:val="top"/>
          </w:tcPr>
          <w:p>
            <w:pPr>
              <w:spacing w:after="0"/>
            </w:pPr>
            <w:r>
              <w:rPr>
                <w:sz w:val="16"/>
              </w:rPr>
              <w:t>Low gravity dust and particle control require sealed or tented process envelopes.</w:t>
            </w:r>
          </w:p>
        </w:tc>
      </w:tr>
      <w:tr>
        <w:tc>
          <w:tcPr>
            <w:tcW w:type="dxa" w:w="3456"/>
            <w:vAlign w:val="top"/>
          </w:tcPr>
          <w:p>
            <w:pPr>
              <w:spacing w:after="0"/>
            </w:pPr>
            <w:r>
              <w:rPr>
                <w:sz w:val="16"/>
              </w:rPr>
              <w:t>C-E Power and thermal node</w:t>
            </w:r>
          </w:p>
        </w:tc>
        <w:tc>
          <w:tcPr>
            <w:tcW w:type="dxa" w:w="3456"/>
            <w:vAlign w:val="top"/>
          </w:tcPr>
          <w:p>
            <w:pPr>
              <w:spacing w:after="0"/>
            </w:pPr>
            <w:r>
              <w:rPr>
                <w:sz w:val="16"/>
              </w:rPr>
              <w:t>Small reactor or high reliability power source, solar supplement where useful, batteries, thermal control, and low temperature stores.</w:t>
            </w:r>
          </w:p>
        </w:tc>
        <w:tc>
          <w:tcPr>
            <w:tcW w:type="dxa" w:w="3456"/>
            <w:vAlign w:val="top"/>
          </w:tcPr>
          <w:p>
            <w:pPr>
              <w:spacing w:after="0"/>
            </w:pPr>
            <w:r>
              <w:rPr>
                <w:sz w:val="16"/>
              </w:rPr>
              <w:t>Power continuity is required for dormant survival and remote restart.</w:t>
            </w:r>
          </w:p>
        </w:tc>
      </w:tr>
      <w:tr>
        <w:tc>
          <w:tcPr>
            <w:tcW w:type="dxa" w:w="3456"/>
            <w:vAlign w:val="top"/>
          </w:tcPr>
          <w:p>
            <w:pPr>
              <w:spacing w:after="0"/>
            </w:pPr>
            <w:r>
              <w:rPr>
                <w:sz w:val="16"/>
              </w:rPr>
              <w:t>C-F Low gravity export staging</w:t>
            </w:r>
          </w:p>
        </w:tc>
        <w:tc>
          <w:tcPr>
            <w:tcW w:type="dxa" w:w="3456"/>
            <w:vAlign w:val="top"/>
          </w:tcPr>
          <w:p>
            <w:pPr>
              <w:spacing w:after="0"/>
            </w:pPr>
            <w:r>
              <w:rPr>
                <w:sz w:val="16"/>
              </w:rPr>
              <w:t>Prepare cargo bags, tanks, pellets, or modular containers for transfer to orbit or outbound transport.</w:t>
            </w:r>
          </w:p>
        </w:tc>
        <w:tc>
          <w:tcPr>
            <w:tcW w:type="dxa" w:w="3456"/>
            <w:vAlign w:val="top"/>
          </w:tcPr>
          <w:p>
            <w:pPr>
              <w:spacing w:after="0"/>
            </w:pPr>
            <w:r>
              <w:rPr>
                <w:sz w:val="16"/>
              </w:rPr>
              <w:t>Launch and transfer use low delta v but demand strong traffic control and anchoring discipline.</w:t>
            </w:r>
          </w:p>
        </w:tc>
      </w:tr>
      <w:tr>
        <w:tc>
          <w:tcPr>
            <w:tcW w:type="dxa" w:w="3456"/>
            <w:vAlign w:val="top"/>
          </w:tcPr>
          <w:p>
            <w:pPr>
              <w:spacing w:after="0"/>
            </w:pPr>
            <w:r>
              <w:rPr>
                <w:sz w:val="16"/>
              </w:rPr>
              <w:t>C-G Autonomous control and communications node</w:t>
            </w:r>
          </w:p>
        </w:tc>
        <w:tc>
          <w:tcPr>
            <w:tcW w:type="dxa" w:w="3456"/>
            <w:vAlign w:val="top"/>
          </w:tcPr>
          <w:p>
            <w:pPr>
              <w:spacing w:after="0"/>
            </w:pPr>
            <w:r>
              <w:rPr>
                <w:sz w:val="16"/>
              </w:rPr>
              <w:t>Local AI control, lunar hub reporting, asset scheduling, telemetry, anomaly response, and cyber isolation.</w:t>
            </w:r>
          </w:p>
        </w:tc>
        <w:tc>
          <w:tcPr>
            <w:tcW w:type="dxa" w:w="3456"/>
            <w:vAlign w:val="top"/>
          </w:tcPr>
          <w:p>
            <w:pPr>
              <w:spacing w:after="0"/>
            </w:pPr>
            <w:r>
              <w:rPr>
                <w:sz w:val="16"/>
              </w:rPr>
              <w:t>System must keep safe without constant human command.</w:t>
            </w:r>
          </w:p>
        </w:tc>
      </w:tr>
    </w:tbl>
    <w:p>
      <w:pPr>
        <w:pStyle w:val="Heading2"/>
        <w:spacing w:before="200" w:after="120"/>
      </w:pPr>
      <w:r>
        <w:rPr>
          <w:rFonts w:ascii="Aptos" w:hAnsi="Aptos"/>
        </w:rPr>
        <w:t>18.7 Venus Upper Atmospheric Gas Processing Afloat Module</w:t>
      </w:r>
    </w:p>
    <w:p>
      <w:r>
        <w:rPr>
          <w:rFonts w:ascii="Aptos" w:hAnsi="Aptos"/>
        </w:rPr>
        <w:t>The Venus upper atmospheric gas processing afloat module, abbreviated V-GPAM, is an aerostat based industrial science and production module. It avoids Venus surface operations and operates in the upper atmosphere where pressure and temperature are materially more favorable than the surface. The module is cargo and science first, with crewed access deferred until multiple robotic demonstration cycles are complete.</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V-GPAM subsystem</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requirement</w:t>
            </w:r>
          </w:p>
        </w:tc>
      </w:tr>
      <w:tr>
        <w:tc>
          <w:tcPr>
            <w:tcW w:type="dxa" w:w="3456"/>
            <w:vAlign w:val="top"/>
          </w:tcPr>
          <w:p>
            <w:pPr>
              <w:spacing w:after="0"/>
            </w:pPr>
            <w:r>
              <w:rPr>
                <w:sz w:val="16"/>
              </w:rPr>
              <w:t>Afloat structure</w:t>
            </w:r>
          </w:p>
        </w:tc>
        <w:tc>
          <w:tcPr>
            <w:tcW w:type="dxa" w:w="3456"/>
            <w:vAlign w:val="top"/>
          </w:tcPr>
          <w:p>
            <w:pPr>
              <w:spacing w:after="0"/>
            </w:pPr>
            <w:r>
              <w:rPr>
                <w:sz w:val="16"/>
              </w:rPr>
              <w:t>Buoyant envelope, gondola, modular process decks, docking interface, and corrosion protected outer surfaces.</w:t>
            </w:r>
          </w:p>
        </w:tc>
        <w:tc>
          <w:tcPr>
            <w:tcW w:type="dxa" w:w="3456"/>
            <w:vAlign w:val="top"/>
          </w:tcPr>
          <w:p>
            <w:pPr>
              <w:spacing w:after="0"/>
            </w:pPr>
            <w:r>
              <w:rPr>
                <w:sz w:val="16"/>
              </w:rPr>
              <w:t>Must tolerate sulfuric acid aerosols, wind shear, lightning risk, and long duration autonomous drift or station keeping.</w:t>
            </w:r>
          </w:p>
        </w:tc>
      </w:tr>
      <w:tr>
        <w:tc>
          <w:tcPr>
            <w:tcW w:type="dxa" w:w="3456"/>
            <w:vAlign w:val="top"/>
          </w:tcPr>
          <w:p>
            <w:pPr>
              <w:spacing w:after="0"/>
            </w:pPr>
            <w:r>
              <w:rPr>
                <w:sz w:val="16"/>
              </w:rPr>
              <w:t>Atmospheric intake and separation</w:t>
            </w:r>
          </w:p>
        </w:tc>
        <w:tc>
          <w:tcPr>
            <w:tcW w:type="dxa" w:w="3456"/>
            <w:vAlign w:val="top"/>
          </w:tcPr>
          <w:p>
            <w:pPr>
              <w:spacing w:after="0"/>
            </w:pPr>
            <w:r>
              <w:rPr>
                <w:sz w:val="16"/>
              </w:rPr>
              <w:t>Collect CO2 rich atmosphere, separate CO2 and N2 fractions, monitor trace gases, and condition process feed.</w:t>
            </w:r>
          </w:p>
        </w:tc>
        <w:tc>
          <w:tcPr>
            <w:tcW w:type="dxa" w:w="3456"/>
            <w:vAlign w:val="top"/>
          </w:tcPr>
          <w:p>
            <w:pPr>
              <w:spacing w:after="0"/>
            </w:pPr>
            <w:r>
              <w:rPr>
                <w:sz w:val="16"/>
              </w:rPr>
              <w:t>Contamination resistant compressors and filters with replaceable aerosol traps.</w:t>
            </w:r>
          </w:p>
        </w:tc>
      </w:tr>
      <w:tr>
        <w:tc>
          <w:tcPr>
            <w:tcW w:type="dxa" w:w="3456"/>
            <w:vAlign w:val="top"/>
          </w:tcPr>
          <w:p>
            <w:pPr>
              <w:spacing w:after="0"/>
            </w:pPr>
            <w:r>
              <w:rPr>
                <w:sz w:val="16"/>
              </w:rPr>
              <w:t>Sulfur and aerosol handling</w:t>
            </w:r>
          </w:p>
        </w:tc>
        <w:tc>
          <w:tcPr>
            <w:tcW w:type="dxa" w:w="3456"/>
            <w:vAlign w:val="top"/>
          </w:tcPr>
          <w:p>
            <w:pPr>
              <w:spacing w:after="0"/>
            </w:pPr>
            <w:r>
              <w:rPr>
                <w:sz w:val="16"/>
              </w:rPr>
              <w:t>Capture acid aerosols and sulfur compounds for chemistry, hazard monitoring, and materials testing.</w:t>
            </w:r>
          </w:p>
        </w:tc>
        <w:tc>
          <w:tcPr>
            <w:tcW w:type="dxa" w:w="3456"/>
            <w:vAlign w:val="top"/>
          </w:tcPr>
          <w:p>
            <w:pPr>
              <w:spacing w:after="0"/>
            </w:pPr>
            <w:r>
              <w:rPr>
                <w:sz w:val="16"/>
              </w:rPr>
              <w:t>Strict corrosion control and sealed byproduct storage.</w:t>
            </w:r>
          </w:p>
        </w:tc>
      </w:tr>
      <w:tr>
        <w:tc>
          <w:tcPr>
            <w:tcW w:type="dxa" w:w="3456"/>
            <w:vAlign w:val="top"/>
          </w:tcPr>
          <w:p>
            <w:pPr>
              <w:spacing w:after="0"/>
            </w:pPr>
            <w:r>
              <w:rPr>
                <w:sz w:val="16"/>
              </w:rPr>
              <w:t>Gas processing and product storage</w:t>
            </w:r>
          </w:p>
        </w:tc>
        <w:tc>
          <w:tcPr>
            <w:tcW w:type="dxa" w:w="3456"/>
            <w:vAlign w:val="top"/>
          </w:tcPr>
          <w:p>
            <w:pPr>
              <w:spacing w:after="0"/>
            </w:pPr>
            <w:r>
              <w:rPr>
                <w:sz w:val="16"/>
              </w:rPr>
              <w:t>Produce compressed CO2, nitrogen rich fractions, oxygen bearing products if powered process modules are installed, and chemical feedstock samples.</w:t>
            </w:r>
          </w:p>
        </w:tc>
        <w:tc>
          <w:tcPr>
            <w:tcW w:type="dxa" w:w="3456"/>
            <w:vAlign w:val="top"/>
          </w:tcPr>
          <w:p>
            <w:pPr>
              <w:spacing w:after="0"/>
            </w:pPr>
            <w:r>
              <w:rPr>
                <w:sz w:val="16"/>
              </w:rPr>
              <w:t>Initial operations prioritize sample return and feedstock characterization before high throughput production.</w:t>
            </w:r>
          </w:p>
        </w:tc>
      </w:tr>
      <w:tr>
        <w:tc>
          <w:tcPr>
            <w:tcW w:type="dxa" w:w="3456"/>
            <w:vAlign w:val="top"/>
          </w:tcPr>
          <w:p>
            <w:pPr>
              <w:spacing w:after="0"/>
            </w:pPr>
            <w:r>
              <w:rPr>
                <w:sz w:val="16"/>
              </w:rPr>
              <w:t>Power and thermal</w:t>
            </w:r>
          </w:p>
        </w:tc>
        <w:tc>
          <w:tcPr>
            <w:tcW w:type="dxa" w:w="3456"/>
            <w:vAlign w:val="top"/>
          </w:tcPr>
          <w:p>
            <w:pPr>
              <w:spacing w:after="0"/>
            </w:pPr>
            <w:r>
              <w:rPr>
                <w:sz w:val="16"/>
              </w:rPr>
              <w:t>High efficiency solar collection, batteries, thermal rejection, and emergency safe mode.</w:t>
            </w:r>
          </w:p>
        </w:tc>
        <w:tc>
          <w:tcPr>
            <w:tcW w:type="dxa" w:w="3456"/>
            <w:vAlign w:val="top"/>
          </w:tcPr>
          <w:p>
            <w:pPr>
              <w:spacing w:after="0"/>
            </w:pPr>
            <w:r>
              <w:rPr>
                <w:sz w:val="16"/>
              </w:rPr>
              <w:t>Solar power is primary. Thermal design must handle high irradiance and corrosive atmosphere.</w:t>
            </w:r>
          </w:p>
        </w:tc>
      </w:tr>
      <w:tr>
        <w:tc>
          <w:tcPr>
            <w:tcW w:type="dxa" w:w="3456"/>
            <w:vAlign w:val="top"/>
          </w:tcPr>
          <w:p>
            <w:pPr>
              <w:spacing w:after="0"/>
            </w:pPr>
            <w:r>
              <w:rPr>
                <w:sz w:val="16"/>
              </w:rPr>
              <w:t>Autonomous repair and inspection</w:t>
            </w:r>
          </w:p>
        </w:tc>
        <w:tc>
          <w:tcPr>
            <w:tcW w:type="dxa" w:w="3456"/>
            <w:vAlign w:val="top"/>
          </w:tcPr>
          <w:p>
            <w:pPr>
              <w:spacing w:after="0"/>
            </w:pPr>
            <w:r>
              <w:rPr>
                <w:sz w:val="16"/>
              </w:rPr>
              <w:t>Drones or crawlers inspect envelope, intakes, filters, and external surfaces.</w:t>
            </w:r>
          </w:p>
        </w:tc>
        <w:tc>
          <w:tcPr>
            <w:tcW w:type="dxa" w:w="3456"/>
            <w:vAlign w:val="top"/>
          </w:tcPr>
          <w:p>
            <w:pPr>
              <w:spacing w:after="0"/>
            </w:pPr>
            <w:r>
              <w:rPr>
                <w:sz w:val="16"/>
              </w:rPr>
              <w:t>Repair capability is required before long duration production.</w:t>
            </w:r>
          </w:p>
        </w:tc>
      </w:tr>
      <w:tr>
        <w:tc>
          <w:tcPr>
            <w:tcW w:type="dxa" w:w="3456"/>
            <w:vAlign w:val="top"/>
          </w:tcPr>
          <w:p>
            <w:pPr>
              <w:spacing w:after="0"/>
            </w:pPr>
            <w:r>
              <w:rPr>
                <w:sz w:val="16"/>
              </w:rPr>
              <w:t>Ascent and transfer interface</w:t>
            </w:r>
          </w:p>
        </w:tc>
        <w:tc>
          <w:tcPr>
            <w:tcW w:type="dxa" w:w="3456"/>
            <w:vAlign w:val="top"/>
          </w:tcPr>
          <w:p>
            <w:pPr>
              <w:spacing w:after="0"/>
            </w:pPr>
            <w:r>
              <w:rPr>
                <w:sz w:val="16"/>
              </w:rPr>
              <w:t>Cargo capsule, balloon to upper atmosphere transfer, or aircraft style transfer concept for products and samples.</w:t>
            </w:r>
          </w:p>
        </w:tc>
        <w:tc>
          <w:tcPr>
            <w:tcW w:type="dxa" w:w="3456"/>
            <w:vAlign w:val="top"/>
          </w:tcPr>
          <w:p>
            <w:pPr>
              <w:spacing w:after="0"/>
            </w:pPr>
            <w:r>
              <w:rPr>
                <w:sz w:val="16"/>
              </w:rPr>
              <w:t>Interface must connect to the Venus orbital traffic insertion platform.</w:t>
            </w:r>
          </w:p>
        </w:tc>
      </w:tr>
    </w:tbl>
    <w:p>
      <w:pPr>
        <w:pStyle w:val="Heading2"/>
        <w:spacing w:before="200" w:after="120"/>
      </w:pPr>
      <w:r>
        <w:rPr>
          <w:rFonts w:ascii="Aptos" w:hAnsi="Aptos"/>
        </w:rPr>
        <w:t>18.8 Venus Orbital Traffic Insertion Platform</w:t>
      </w:r>
    </w:p>
    <w:p>
      <w:r>
        <w:rPr>
          <w:rFonts w:ascii="Aptos" w:hAnsi="Aptos"/>
        </w:rPr>
        <w:t>The Venus orbital traffic insertion platform, abbreviated V-OTIP, is the orbital logistics and safety node for Venus operations. It supports inbound transfer vehicles, aerocapture or aerobraking management, rendezvous, tugs, cargo staging, communications relay, traffic deconfliction, and transfer between Venus orbit and the upper atmospheric afloat module. It is not a surface base and does not depend on surface landing.</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V-OTIP element</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posture</w:t>
            </w:r>
          </w:p>
        </w:tc>
      </w:tr>
      <w:tr>
        <w:tc>
          <w:tcPr>
            <w:tcW w:type="dxa" w:w="3456"/>
            <w:vAlign w:val="top"/>
          </w:tcPr>
          <w:p>
            <w:pPr>
              <w:spacing w:after="0"/>
            </w:pPr>
            <w:r>
              <w:rPr>
                <w:sz w:val="16"/>
              </w:rPr>
              <w:t>Orbital traffic control center</w:t>
            </w:r>
          </w:p>
        </w:tc>
        <w:tc>
          <w:tcPr>
            <w:tcW w:type="dxa" w:w="3456"/>
            <w:vAlign w:val="top"/>
          </w:tcPr>
          <w:p>
            <w:pPr>
              <w:spacing w:after="0"/>
            </w:pPr>
            <w:r>
              <w:rPr>
                <w:sz w:val="16"/>
              </w:rPr>
              <w:t>Tracks inbound, outbound, and local vehicles, manages insertion corridors, and controls safe separation.</w:t>
            </w:r>
          </w:p>
        </w:tc>
        <w:tc>
          <w:tcPr>
            <w:tcW w:type="dxa" w:w="3456"/>
            <w:vAlign w:val="top"/>
          </w:tcPr>
          <w:p>
            <w:pPr>
              <w:spacing w:after="0"/>
            </w:pPr>
            <w:r>
              <w:rPr>
                <w:sz w:val="16"/>
              </w:rPr>
              <w:t>Must integrate with lunar hub traffic governance and independent local collision avoidance.</w:t>
            </w:r>
          </w:p>
        </w:tc>
      </w:tr>
      <w:tr>
        <w:tc>
          <w:tcPr>
            <w:tcW w:type="dxa" w:w="3456"/>
            <w:vAlign w:val="top"/>
          </w:tcPr>
          <w:p>
            <w:pPr>
              <w:spacing w:after="0"/>
            </w:pPr>
            <w:r>
              <w:rPr>
                <w:sz w:val="16"/>
              </w:rPr>
              <w:t>Aerocapture and insertion support</w:t>
            </w:r>
          </w:p>
        </w:tc>
        <w:tc>
          <w:tcPr>
            <w:tcW w:type="dxa" w:w="3456"/>
            <w:vAlign w:val="top"/>
          </w:tcPr>
          <w:p>
            <w:pPr>
              <w:spacing w:after="0"/>
            </w:pPr>
            <w:r>
              <w:rPr>
                <w:sz w:val="16"/>
              </w:rPr>
              <w:t>Provides navigation updates, heat shield inspection support, transfer windows, and abort corridor management.</w:t>
            </w:r>
          </w:p>
        </w:tc>
        <w:tc>
          <w:tcPr>
            <w:tcW w:type="dxa" w:w="3456"/>
            <w:vAlign w:val="top"/>
          </w:tcPr>
          <w:p>
            <w:pPr>
              <w:spacing w:after="0"/>
            </w:pPr>
            <w:r>
              <w:rPr>
                <w:sz w:val="16"/>
              </w:rPr>
              <w:t>Does not require all vehicles to use aerocapture. Supports propulsive and hybrid approaches.</w:t>
            </w:r>
          </w:p>
        </w:tc>
      </w:tr>
      <w:tr>
        <w:tc>
          <w:tcPr>
            <w:tcW w:type="dxa" w:w="3456"/>
            <w:vAlign w:val="top"/>
          </w:tcPr>
          <w:p>
            <w:pPr>
              <w:spacing w:after="0"/>
            </w:pPr>
            <w:r>
              <w:rPr>
                <w:sz w:val="16"/>
              </w:rPr>
              <w:t>Rendezvous and staging node</w:t>
            </w:r>
          </w:p>
        </w:tc>
        <w:tc>
          <w:tcPr>
            <w:tcW w:type="dxa" w:w="3456"/>
            <w:vAlign w:val="top"/>
          </w:tcPr>
          <w:p>
            <w:pPr>
              <w:spacing w:after="0"/>
            </w:pPr>
            <w:r>
              <w:rPr>
                <w:sz w:val="16"/>
              </w:rPr>
              <w:t>Supports cargo transfer, tug docking, crew transfer where approved, and holding for atmospheric module access.</w:t>
            </w:r>
          </w:p>
        </w:tc>
        <w:tc>
          <w:tcPr>
            <w:tcW w:type="dxa" w:w="3456"/>
            <w:vAlign w:val="top"/>
          </w:tcPr>
          <w:p>
            <w:pPr>
              <w:spacing w:after="0"/>
            </w:pPr>
            <w:r>
              <w:rPr>
                <w:sz w:val="16"/>
              </w:rPr>
              <w:t>Designed for modular expansion and quarantine of suspect cargo.</w:t>
            </w:r>
          </w:p>
        </w:tc>
      </w:tr>
      <w:tr>
        <w:tc>
          <w:tcPr>
            <w:tcW w:type="dxa" w:w="3456"/>
            <w:vAlign w:val="top"/>
          </w:tcPr>
          <w:p>
            <w:pPr>
              <w:spacing w:after="0"/>
            </w:pPr>
            <w:r>
              <w:rPr>
                <w:sz w:val="16"/>
              </w:rPr>
              <w:t>Communications and navigation relay</w:t>
            </w:r>
          </w:p>
        </w:tc>
        <w:tc>
          <w:tcPr>
            <w:tcW w:type="dxa" w:w="3456"/>
            <w:vAlign w:val="top"/>
          </w:tcPr>
          <w:p>
            <w:pPr>
              <w:spacing w:after="0"/>
            </w:pPr>
            <w:r>
              <w:rPr>
                <w:sz w:val="16"/>
              </w:rPr>
              <w:t>Links Venus atmosphere modules, inbound vehicles, lunar hub, Earth, and interplanetary transport network.</w:t>
            </w:r>
          </w:p>
        </w:tc>
        <w:tc>
          <w:tcPr>
            <w:tcW w:type="dxa" w:w="3456"/>
            <w:vAlign w:val="top"/>
          </w:tcPr>
          <w:p>
            <w:pPr>
              <w:spacing w:after="0"/>
            </w:pPr>
            <w:r>
              <w:rPr>
                <w:sz w:val="16"/>
              </w:rPr>
              <w:t>High availability relay and timing service are primary functions.</w:t>
            </w:r>
          </w:p>
        </w:tc>
      </w:tr>
      <w:tr>
        <w:tc>
          <w:tcPr>
            <w:tcW w:type="dxa" w:w="3456"/>
            <w:vAlign w:val="top"/>
          </w:tcPr>
          <w:p>
            <w:pPr>
              <w:spacing w:after="0"/>
            </w:pPr>
            <w:r>
              <w:rPr>
                <w:sz w:val="16"/>
              </w:rPr>
              <w:t>Propellant and power interface</w:t>
            </w:r>
          </w:p>
        </w:tc>
        <w:tc>
          <w:tcPr>
            <w:tcW w:type="dxa" w:w="3456"/>
            <w:vAlign w:val="top"/>
          </w:tcPr>
          <w:p>
            <w:pPr>
              <w:spacing w:after="0"/>
            </w:pPr>
            <w:r>
              <w:rPr>
                <w:sz w:val="16"/>
              </w:rPr>
              <w:t>Stores limited propellant, power, spares, and emergency supplies for local tugs and vehicles.</w:t>
            </w:r>
          </w:p>
        </w:tc>
        <w:tc>
          <w:tcPr>
            <w:tcW w:type="dxa" w:w="3456"/>
            <w:vAlign w:val="top"/>
          </w:tcPr>
          <w:p>
            <w:pPr>
              <w:spacing w:after="0"/>
            </w:pPr>
            <w:r>
              <w:rPr>
                <w:sz w:val="16"/>
              </w:rPr>
              <w:t>Initial version is logistics support, not a large propellant depot.</w:t>
            </w:r>
          </w:p>
        </w:tc>
      </w:tr>
      <w:tr>
        <w:tc>
          <w:tcPr>
            <w:tcW w:type="dxa" w:w="3456"/>
            <w:vAlign w:val="top"/>
          </w:tcPr>
          <w:p>
            <w:pPr>
              <w:spacing w:after="0"/>
            </w:pPr>
            <w:r>
              <w:rPr>
                <w:sz w:val="16"/>
              </w:rPr>
              <w:t>Afloat module interface</w:t>
            </w:r>
          </w:p>
        </w:tc>
        <w:tc>
          <w:tcPr>
            <w:tcW w:type="dxa" w:w="3456"/>
            <w:vAlign w:val="top"/>
          </w:tcPr>
          <w:p>
            <w:pPr>
              <w:spacing w:after="0"/>
            </w:pPr>
            <w:r>
              <w:rPr>
                <w:sz w:val="16"/>
              </w:rPr>
              <w:t>Schedules ascent capsules, sample returns, atmospheric cargo, and maintenance missions between V-GPAM and orbit.</w:t>
            </w:r>
          </w:p>
        </w:tc>
        <w:tc>
          <w:tcPr>
            <w:tcW w:type="dxa" w:w="3456"/>
            <w:vAlign w:val="top"/>
          </w:tcPr>
          <w:p>
            <w:pPr>
              <w:spacing w:after="0"/>
            </w:pPr>
            <w:r>
              <w:rPr>
                <w:sz w:val="16"/>
              </w:rPr>
              <w:t>All transfers require weather, trajectory, and traffic approval.</w:t>
            </w:r>
          </w:p>
        </w:tc>
      </w:tr>
    </w:tbl>
    <w:p>
      <w:pPr>
        <w:pStyle w:val="Heading2"/>
        <w:spacing w:before="200" w:after="120"/>
      </w:pPr>
      <w:r>
        <w:rPr>
          <w:rFonts w:ascii="Aptos" w:hAnsi="Aptos"/>
        </w:rPr>
        <w:t>18.9 Rev 2.8 Schedule and Milestone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Milestone</w:t>
            </w:r>
          </w:p>
        </w:tc>
        <w:tc>
          <w:tcPr>
            <w:tcW w:type="dxa" w:w="3456"/>
            <w:vAlign w:val="top"/>
            <w:shd w:fill="D9EAF7"/>
          </w:tcPr>
          <w:p>
            <w:pPr>
              <w:spacing w:after="0"/>
            </w:pPr>
            <w:r>
              <w:rPr>
                <w:b/>
                <w:sz w:val="16"/>
              </w:rPr>
              <w:t>Timing band</w:t>
            </w:r>
          </w:p>
        </w:tc>
        <w:tc>
          <w:tcPr>
            <w:tcW w:type="dxa" w:w="3456"/>
            <w:vAlign w:val="top"/>
            <w:shd w:fill="D9EAF7"/>
          </w:tcPr>
          <w:p>
            <w:pPr>
              <w:spacing w:after="0"/>
            </w:pPr>
            <w:r>
              <w:rPr>
                <w:b/>
                <w:sz w:val="16"/>
              </w:rPr>
              <w:t>Exit criterion</w:t>
            </w:r>
          </w:p>
        </w:tc>
      </w:tr>
      <w:tr>
        <w:tc>
          <w:tcPr>
            <w:tcW w:type="dxa" w:w="3456"/>
            <w:vAlign w:val="top"/>
          </w:tcPr>
          <w:p>
            <w:pPr>
              <w:spacing w:after="0"/>
            </w:pPr>
            <w:r>
              <w:rPr>
                <w:sz w:val="16"/>
              </w:rPr>
              <w:t>M18.1 Lunar Biodiversity Vault requirements freeze</w:t>
            </w:r>
          </w:p>
        </w:tc>
        <w:tc>
          <w:tcPr>
            <w:tcW w:type="dxa" w:w="3456"/>
            <w:vAlign w:val="top"/>
          </w:tcPr>
          <w:p>
            <w:pPr>
              <w:spacing w:after="0"/>
            </w:pPr>
            <w:r>
              <w:rPr>
                <w:sz w:val="16"/>
              </w:rPr>
              <w:t>T0 to T1</w:t>
            </w:r>
          </w:p>
        </w:tc>
        <w:tc>
          <w:tcPr>
            <w:tcW w:type="dxa" w:w="3456"/>
            <w:vAlign w:val="top"/>
          </w:tcPr>
          <w:p>
            <w:pPr>
              <w:spacing w:after="0"/>
            </w:pPr>
            <w:r>
              <w:rPr>
                <w:sz w:val="16"/>
              </w:rPr>
              <w:t>Sample classes, custody rules, cryogenic architecture, passive cold storage geometry, and vault location are approved.</w:t>
            </w:r>
          </w:p>
        </w:tc>
      </w:tr>
      <w:tr>
        <w:tc>
          <w:tcPr>
            <w:tcW w:type="dxa" w:w="3456"/>
            <w:vAlign w:val="top"/>
          </w:tcPr>
          <w:p>
            <w:pPr>
              <w:spacing w:after="0"/>
            </w:pPr>
            <w:r>
              <w:rPr>
                <w:sz w:val="16"/>
              </w:rPr>
              <w:t>M18.2 Lunar Biodiversity Vault starter completion</w:t>
            </w:r>
          </w:p>
        </w:tc>
        <w:tc>
          <w:tcPr>
            <w:tcW w:type="dxa" w:w="3456"/>
            <w:vAlign w:val="top"/>
          </w:tcPr>
          <w:p>
            <w:pPr>
              <w:spacing w:after="0"/>
            </w:pPr>
            <w:r>
              <w:rPr>
                <w:sz w:val="16"/>
              </w:rPr>
              <w:t>T2 to T4</w:t>
            </w:r>
          </w:p>
        </w:tc>
        <w:tc>
          <w:tcPr>
            <w:tcW w:type="dxa" w:w="3456"/>
            <w:vAlign w:val="top"/>
          </w:tcPr>
          <w:p>
            <w:pPr>
              <w:spacing w:after="0"/>
            </w:pPr>
            <w:r>
              <w:rPr>
                <w:sz w:val="16"/>
              </w:rPr>
              <w:t>Receiving lab, first passive cold gallery, first active cryogenic vault, and digital archive mirror are operational.</w:t>
            </w:r>
          </w:p>
        </w:tc>
      </w:tr>
      <w:tr>
        <w:tc>
          <w:tcPr>
            <w:tcW w:type="dxa" w:w="3456"/>
            <w:vAlign w:val="top"/>
          </w:tcPr>
          <w:p>
            <w:pPr>
              <w:spacing w:after="0"/>
            </w:pPr>
            <w:r>
              <w:rPr>
                <w:sz w:val="16"/>
              </w:rPr>
              <w:t>M18.3 Mars derivative architecture freeze</w:t>
            </w:r>
          </w:p>
        </w:tc>
        <w:tc>
          <w:tcPr>
            <w:tcW w:type="dxa" w:w="3456"/>
            <w:vAlign w:val="top"/>
          </w:tcPr>
          <w:p>
            <w:pPr>
              <w:spacing w:after="0"/>
            </w:pPr>
            <w:r>
              <w:rPr>
                <w:sz w:val="16"/>
              </w:rPr>
              <w:t>T2 to T4</w:t>
            </w:r>
          </w:p>
        </w:tc>
        <w:tc>
          <w:tcPr>
            <w:tcW w:type="dxa" w:w="3456"/>
            <w:vAlign w:val="top"/>
          </w:tcPr>
          <w:p>
            <w:pPr>
              <w:spacing w:after="0"/>
            </w:pPr>
            <w:r>
              <w:rPr>
                <w:sz w:val="16"/>
              </w:rPr>
              <w:t>Mars district plan, hazard controls, mineral processing adaptation, and precursor site survey requirements are approved.</w:t>
            </w:r>
          </w:p>
        </w:tc>
      </w:tr>
      <w:tr>
        <w:tc>
          <w:tcPr>
            <w:tcW w:type="dxa" w:w="3456"/>
            <w:vAlign w:val="top"/>
          </w:tcPr>
          <w:p>
            <w:pPr>
              <w:spacing w:after="0"/>
            </w:pPr>
            <w:r>
              <w:rPr>
                <w:sz w:val="16"/>
              </w:rPr>
              <w:t>M18.4 Mars precursor robotic civil and ISRU demonstration</w:t>
            </w:r>
          </w:p>
        </w:tc>
        <w:tc>
          <w:tcPr>
            <w:tcW w:type="dxa" w:w="3456"/>
            <w:vAlign w:val="top"/>
          </w:tcPr>
          <w:p>
            <w:pPr>
              <w:spacing w:after="0"/>
            </w:pPr>
            <w:r>
              <w:rPr>
                <w:sz w:val="16"/>
              </w:rPr>
              <w:t>T5 to T8</w:t>
            </w:r>
          </w:p>
        </w:tc>
        <w:tc>
          <w:tcPr>
            <w:tcW w:type="dxa" w:w="3456"/>
            <w:vAlign w:val="top"/>
          </w:tcPr>
          <w:p>
            <w:pPr>
              <w:spacing w:after="0"/>
            </w:pPr>
            <w:r>
              <w:rPr>
                <w:sz w:val="16"/>
              </w:rPr>
              <w:t>CO2 intake, oxygen production, dust control, and site construction robotics are demonstrated at pilot scale.</w:t>
            </w:r>
          </w:p>
        </w:tc>
      </w:tr>
      <w:tr>
        <w:tc>
          <w:tcPr>
            <w:tcW w:type="dxa" w:w="3456"/>
            <w:vAlign w:val="top"/>
          </w:tcPr>
          <w:p>
            <w:pPr>
              <w:spacing w:after="0"/>
            </w:pPr>
            <w:r>
              <w:rPr>
                <w:sz w:val="16"/>
              </w:rPr>
              <w:t>M18.5 Mars settlement starter installation</w:t>
            </w:r>
          </w:p>
        </w:tc>
        <w:tc>
          <w:tcPr>
            <w:tcW w:type="dxa" w:w="3456"/>
            <w:vAlign w:val="top"/>
          </w:tcPr>
          <w:p>
            <w:pPr>
              <w:spacing w:after="0"/>
            </w:pPr>
            <w:r>
              <w:rPr>
                <w:sz w:val="16"/>
              </w:rPr>
              <w:t>T8 to T12</w:t>
            </w:r>
          </w:p>
        </w:tc>
        <w:tc>
          <w:tcPr>
            <w:tcW w:type="dxa" w:w="3456"/>
            <w:vAlign w:val="top"/>
          </w:tcPr>
          <w:p>
            <w:pPr>
              <w:spacing w:after="0"/>
            </w:pPr>
            <w:r>
              <w:rPr>
                <w:sz w:val="16"/>
              </w:rPr>
              <w:t>Subsurface or bermed habitat starter, power, water or oxygen systems, and mineral processing starter facility are operational for limited occupancy.</w:t>
            </w:r>
          </w:p>
        </w:tc>
      </w:tr>
      <w:tr>
        <w:tc>
          <w:tcPr>
            <w:tcW w:type="dxa" w:w="3456"/>
            <w:vAlign w:val="top"/>
          </w:tcPr>
          <w:p>
            <w:pPr>
              <w:spacing w:after="0"/>
            </w:pPr>
            <w:r>
              <w:rPr>
                <w:sz w:val="16"/>
              </w:rPr>
              <w:t>M18.6 Venus V-GPAM robotic demonstrator</w:t>
            </w:r>
          </w:p>
        </w:tc>
        <w:tc>
          <w:tcPr>
            <w:tcW w:type="dxa" w:w="3456"/>
            <w:vAlign w:val="top"/>
          </w:tcPr>
          <w:p>
            <w:pPr>
              <w:spacing w:after="0"/>
            </w:pPr>
            <w:r>
              <w:rPr>
                <w:sz w:val="16"/>
              </w:rPr>
              <w:t>T6 to T10</w:t>
            </w:r>
          </w:p>
        </w:tc>
        <w:tc>
          <w:tcPr>
            <w:tcW w:type="dxa" w:w="3456"/>
            <w:vAlign w:val="top"/>
          </w:tcPr>
          <w:p>
            <w:pPr>
              <w:spacing w:after="0"/>
            </w:pPr>
            <w:r>
              <w:rPr>
                <w:sz w:val="16"/>
              </w:rPr>
              <w:t>Afloat structure, intake, separation, corrosion control, and communications are demonstrated for a full mission duration.</w:t>
            </w:r>
          </w:p>
        </w:tc>
      </w:tr>
      <w:tr>
        <w:tc>
          <w:tcPr>
            <w:tcW w:type="dxa" w:w="3456"/>
            <w:vAlign w:val="top"/>
          </w:tcPr>
          <w:p>
            <w:pPr>
              <w:spacing w:after="0"/>
            </w:pPr>
            <w:r>
              <w:rPr>
                <w:sz w:val="16"/>
              </w:rPr>
              <w:t>M18.7 Venus V-OTIP starter platform</w:t>
            </w:r>
          </w:p>
        </w:tc>
        <w:tc>
          <w:tcPr>
            <w:tcW w:type="dxa" w:w="3456"/>
            <w:vAlign w:val="top"/>
          </w:tcPr>
          <w:p>
            <w:pPr>
              <w:spacing w:after="0"/>
            </w:pPr>
            <w:r>
              <w:rPr>
                <w:sz w:val="16"/>
              </w:rPr>
              <w:t>T8 to T12</w:t>
            </w:r>
          </w:p>
        </w:tc>
        <w:tc>
          <w:tcPr>
            <w:tcW w:type="dxa" w:w="3456"/>
            <w:vAlign w:val="top"/>
          </w:tcPr>
          <w:p>
            <w:pPr>
              <w:spacing w:after="0"/>
            </w:pPr>
            <w:r>
              <w:rPr>
                <w:sz w:val="16"/>
              </w:rPr>
              <w:t>Traffic control, relay, rendezvous, and atmospheric module interface are active in Venus orbit.</w:t>
            </w:r>
          </w:p>
        </w:tc>
      </w:tr>
      <w:tr>
        <w:tc>
          <w:tcPr>
            <w:tcW w:type="dxa" w:w="3456"/>
            <w:vAlign w:val="top"/>
          </w:tcPr>
          <w:p>
            <w:pPr>
              <w:spacing w:after="0"/>
            </w:pPr>
            <w:r>
              <w:rPr>
                <w:sz w:val="16"/>
              </w:rPr>
              <w:t>M18.8 Ceres CAMW precursor deployment</w:t>
            </w:r>
          </w:p>
        </w:tc>
        <w:tc>
          <w:tcPr>
            <w:tcW w:type="dxa" w:w="3456"/>
            <w:vAlign w:val="top"/>
          </w:tcPr>
          <w:p>
            <w:pPr>
              <w:spacing w:after="0"/>
            </w:pPr>
            <w:r>
              <w:rPr>
                <w:sz w:val="16"/>
              </w:rPr>
              <w:t>T10 to T14</w:t>
            </w:r>
          </w:p>
        </w:tc>
        <w:tc>
          <w:tcPr>
            <w:tcW w:type="dxa" w:w="3456"/>
            <w:vAlign w:val="top"/>
          </w:tcPr>
          <w:p>
            <w:pPr>
              <w:spacing w:after="0"/>
            </w:pPr>
            <w:r>
              <w:rPr>
                <w:sz w:val="16"/>
              </w:rPr>
              <w:t>Anchored landing, autonomous modification bay, volatile processing pilot, and communications autonomy are demonstrated.</w:t>
            </w:r>
          </w:p>
        </w:tc>
      </w:tr>
      <w:tr>
        <w:tc>
          <w:tcPr>
            <w:tcW w:type="dxa" w:w="3456"/>
            <w:vAlign w:val="top"/>
          </w:tcPr>
          <w:p>
            <w:pPr>
              <w:spacing w:after="0"/>
            </w:pPr>
            <w:r>
              <w:rPr>
                <w:sz w:val="16"/>
              </w:rPr>
              <w:t>M18.9 Ceres CAMW operational worksite</w:t>
            </w:r>
          </w:p>
        </w:tc>
        <w:tc>
          <w:tcPr>
            <w:tcW w:type="dxa" w:w="3456"/>
            <w:vAlign w:val="top"/>
          </w:tcPr>
          <w:p>
            <w:pPr>
              <w:spacing w:after="0"/>
            </w:pPr>
            <w:r>
              <w:rPr>
                <w:sz w:val="16"/>
              </w:rPr>
              <w:t>T14 to T18</w:t>
            </w:r>
          </w:p>
        </w:tc>
        <w:tc>
          <w:tcPr>
            <w:tcW w:type="dxa" w:w="3456"/>
            <w:vAlign w:val="top"/>
          </w:tcPr>
          <w:p>
            <w:pPr>
              <w:spacing w:after="0"/>
            </w:pPr>
            <w:r>
              <w:rPr>
                <w:sz w:val="16"/>
              </w:rPr>
              <w:t>Automated repair, water processing, mineral preprocessing, and low gravity export staging operate as a repeatable service.</w:t>
            </w:r>
          </w:p>
        </w:tc>
      </w:tr>
    </w:tbl>
    <w:p>
      <w:pPr>
        <w:pStyle w:val="Heading2"/>
        <w:spacing w:before="200" w:after="120"/>
      </w:pPr>
      <w:r>
        <w:rPr>
          <w:rFonts w:ascii="Aptos" w:hAnsi="Aptos"/>
        </w:rPr>
        <w:t>18.10 Rev 2.8 Concept Capital and Operating Cost Ranges</w:t>
      </w:r>
    </w:p>
    <w:p>
      <w:r>
        <w:rPr>
          <w:rFonts w:ascii="Aptos" w:hAnsi="Aptos"/>
        </w:rPr>
        <w:t>The following concept estimates are portfolio planning ranges. They are not folded into the Rev 2.7 lunar Phase 1 capital baseline unless separately authorized by the board. Mars, Ceres, and Venus releases should be staged behind lunar hub maturity, anchor customer commitments, and technology demonstration gates.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074"/>
            <w:vAlign w:val="top"/>
            <w:shd w:fill="D9EAF7"/>
          </w:tcPr>
          <w:p>
            <w:pPr>
              <w:spacing w:after="0"/>
            </w:pPr>
            <w:r>
              <w:rPr>
                <w:b/>
                <w:sz w:val="16"/>
              </w:rPr>
              <w:t>System</w:t>
            </w:r>
          </w:p>
        </w:tc>
        <w:tc>
          <w:tcPr>
            <w:tcW w:type="dxa" w:w="2074"/>
            <w:vAlign w:val="top"/>
            <w:shd w:fill="D9EAF7"/>
          </w:tcPr>
          <w:p>
            <w:pPr>
              <w:spacing w:after="0"/>
            </w:pPr>
            <w:r>
              <w:rPr>
                <w:b/>
                <w:sz w:val="16"/>
              </w:rPr>
              <w:t>Low CapEx</w:t>
            </w:r>
          </w:p>
        </w:tc>
        <w:tc>
          <w:tcPr>
            <w:tcW w:type="dxa" w:w="2074"/>
            <w:vAlign w:val="top"/>
            <w:shd w:fill="D9EAF7"/>
          </w:tcPr>
          <w:p>
            <w:pPr>
              <w:spacing w:after="0"/>
            </w:pPr>
            <w:r>
              <w:rPr>
                <w:b/>
                <w:sz w:val="16"/>
              </w:rPr>
              <w:t>Mid CapEx</w:t>
            </w:r>
          </w:p>
        </w:tc>
        <w:tc>
          <w:tcPr>
            <w:tcW w:type="dxa" w:w="2074"/>
            <w:vAlign w:val="top"/>
            <w:shd w:fill="D9EAF7"/>
          </w:tcPr>
          <w:p>
            <w:pPr>
              <w:spacing w:after="0"/>
            </w:pPr>
            <w:r>
              <w:rPr>
                <w:b/>
                <w:sz w:val="16"/>
              </w:rPr>
              <w:t>High CapEx</w:t>
            </w:r>
          </w:p>
        </w:tc>
        <w:tc>
          <w:tcPr>
            <w:tcW w:type="dxa" w:w="2074"/>
            <w:vAlign w:val="top"/>
            <w:shd w:fill="D9EAF7"/>
          </w:tcPr>
          <w:p>
            <w:pPr>
              <w:spacing w:after="0"/>
            </w:pPr>
            <w:r>
              <w:rPr>
                <w:b/>
                <w:sz w:val="16"/>
              </w:rPr>
              <w:t>Mature annual OpEx, mid case</w:t>
            </w:r>
          </w:p>
        </w:tc>
      </w:tr>
      <w:tr>
        <w:tc>
          <w:tcPr>
            <w:tcW w:type="dxa" w:w="2074"/>
            <w:vAlign w:val="top"/>
          </w:tcPr>
          <w:p>
            <w:pPr>
              <w:spacing w:after="0"/>
            </w:pPr>
            <w:r>
              <w:rPr>
                <w:sz w:val="16"/>
              </w:rPr>
              <w:t>Lunar Biodiversity Vault</w:t>
            </w:r>
          </w:p>
        </w:tc>
        <w:tc>
          <w:tcPr>
            <w:tcW w:type="dxa" w:w="2074"/>
            <w:vAlign w:val="top"/>
          </w:tcPr>
          <w:p>
            <w:pPr>
              <w:spacing w:after="0"/>
            </w:pPr>
            <w:r>
              <w:rPr>
                <w:sz w:val="16"/>
              </w:rPr>
              <w:t>1.2B USD</w:t>
            </w:r>
          </w:p>
        </w:tc>
        <w:tc>
          <w:tcPr>
            <w:tcW w:type="dxa" w:w="2074"/>
            <w:vAlign w:val="top"/>
          </w:tcPr>
          <w:p>
            <w:pPr>
              <w:spacing w:after="0"/>
            </w:pPr>
            <w:r>
              <w:rPr>
                <w:sz w:val="16"/>
              </w:rPr>
              <w:t>2.4B USD</w:t>
            </w:r>
          </w:p>
        </w:tc>
        <w:tc>
          <w:tcPr>
            <w:tcW w:type="dxa" w:w="2074"/>
            <w:vAlign w:val="top"/>
          </w:tcPr>
          <w:p>
            <w:pPr>
              <w:spacing w:after="0"/>
            </w:pPr>
            <w:r>
              <w:rPr>
                <w:sz w:val="16"/>
              </w:rPr>
              <w:t>4.0B USD</w:t>
            </w:r>
          </w:p>
        </w:tc>
        <w:tc>
          <w:tcPr>
            <w:tcW w:type="dxa" w:w="2074"/>
            <w:vAlign w:val="top"/>
          </w:tcPr>
          <w:p>
            <w:pPr>
              <w:spacing w:after="0"/>
            </w:pPr>
            <w:r>
              <w:rPr>
                <w:sz w:val="16"/>
              </w:rPr>
              <w:t>0.15B USD</w:t>
            </w:r>
          </w:p>
        </w:tc>
      </w:tr>
      <w:tr>
        <w:tc>
          <w:tcPr>
            <w:tcW w:type="dxa" w:w="2074"/>
            <w:vAlign w:val="top"/>
          </w:tcPr>
          <w:p>
            <w:pPr>
              <w:spacing w:after="0"/>
            </w:pPr>
            <w:r>
              <w:rPr>
                <w:sz w:val="16"/>
              </w:rPr>
              <w:t>Mars settlement and mineral processing copy package, 1000 person full build target</w:t>
            </w:r>
          </w:p>
        </w:tc>
        <w:tc>
          <w:tcPr>
            <w:tcW w:type="dxa" w:w="2074"/>
            <w:vAlign w:val="top"/>
          </w:tcPr>
          <w:p>
            <w:pPr>
              <w:spacing w:after="0"/>
            </w:pPr>
            <w:r>
              <w:rPr>
                <w:sz w:val="16"/>
              </w:rPr>
              <w:t>110.0B USD</w:t>
            </w:r>
          </w:p>
        </w:tc>
        <w:tc>
          <w:tcPr>
            <w:tcW w:type="dxa" w:w="2074"/>
            <w:vAlign w:val="top"/>
          </w:tcPr>
          <w:p>
            <w:pPr>
              <w:spacing w:after="0"/>
            </w:pPr>
            <w:r>
              <w:rPr>
                <w:sz w:val="16"/>
              </w:rPr>
              <w:t>165.0B USD</w:t>
            </w:r>
          </w:p>
        </w:tc>
        <w:tc>
          <w:tcPr>
            <w:tcW w:type="dxa" w:w="2074"/>
            <w:vAlign w:val="top"/>
          </w:tcPr>
          <w:p>
            <w:pPr>
              <w:spacing w:after="0"/>
            </w:pPr>
            <w:r>
              <w:rPr>
                <w:sz w:val="16"/>
              </w:rPr>
              <w:t>240.0B USD</w:t>
            </w:r>
          </w:p>
        </w:tc>
        <w:tc>
          <w:tcPr>
            <w:tcW w:type="dxa" w:w="2074"/>
            <w:vAlign w:val="top"/>
          </w:tcPr>
          <w:p>
            <w:pPr>
              <w:spacing w:after="0"/>
            </w:pPr>
            <w:r>
              <w:rPr>
                <w:sz w:val="16"/>
              </w:rPr>
              <w:t>14.0B USD</w:t>
            </w:r>
          </w:p>
        </w:tc>
      </w:tr>
      <w:tr>
        <w:tc>
          <w:tcPr>
            <w:tcW w:type="dxa" w:w="2074"/>
            <w:vAlign w:val="top"/>
          </w:tcPr>
          <w:p>
            <w:pPr>
              <w:spacing w:after="0"/>
            </w:pPr>
            <w:r>
              <w:rPr>
                <w:sz w:val="16"/>
              </w:rPr>
              <w:t>Ceres Autonomous Modification Worksite</w:t>
            </w:r>
          </w:p>
        </w:tc>
        <w:tc>
          <w:tcPr>
            <w:tcW w:type="dxa" w:w="2074"/>
            <w:vAlign w:val="top"/>
          </w:tcPr>
          <w:p>
            <w:pPr>
              <w:spacing w:after="0"/>
            </w:pPr>
            <w:r>
              <w:rPr>
                <w:sz w:val="16"/>
              </w:rPr>
              <w:t>18.0B USD</w:t>
            </w:r>
          </w:p>
        </w:tc>
        <w:tc>
          <w:tcPr>
            <w:tcW w:type="dxa" w:w="2074"/>
            <w:vAlign w:val="top"/>
          </w:tcPr>
          <w:p>
            <w:pPr>
              <w:spacing w:after="0"/>
            </w:pPr>
            <w:r>
              <w:rPr>
                <w:sz w:val="16"/>
              </w:rPr>
              <w:t>32.0B USD</w:t>
            </w:r>
          </w:p>
        </w:tc>
        <w:tc>
          <w:tcPr>
            <w:tcW w:type="dxa" w:w="2074"/>
            <w:vAlign w:val="top"/>
          </w:tcPr>
          <w:p>
            <w:pPr>
              <w:spacing w:after="0"/>
            </w:pPr>
            <w:r>
              <w:rPr>
                <w:sz w:val="16"/>
              </w:rPr>
              <w:t>55.0B USD</w:t>
            </w:r>
          </w:p>
        </w:tc>
        <w:tc>
          <w:tcPr>
            <w:tcW w:type="dxa" w:w="2074"/>
            <w:vAlign w:val="top"/>
          </w:tcPr>
          <w:p>
            <w:pPr>
              <w:spacing w:after="0"/>
            </w:pPr>
            <w:r>
              <w:rPr>
                <w:sz w:val="16"/>
              </w:rPr>
              <w:t>1.8B USD</w:t>
            </w:r>
          </w:p>
        </w:tc>
      </w:tr>
      <w:tr>
        <w:tc>
          <w:tcPr>
            <w:tcW w:type="dxa" w:w="2074"/>
            <w:vAlign w:val="top"/>
          </w:tcPr>
          <w:p>
            <w:pPr>
              <w:spacing w:after="0"/>
            </w:pPr>
            <w:r>
              <w:rPr>
                <w:sz w:val="16"/>
              </w:rPr>
              <w:t>Venus upper atmospheric gas processing afloat module</w:t>
            </w:r>
          </w:p>
        </w:tc>
        <w:tc>
          <w:tcPr>
            <w:tcW w:type="dxa" w:w="2074"/>
            <w:vAlign w:val="top"/>
          </w:tcPr>
          <w:p>
            <w:pPr>
              <w:spacing w:after="0"/>
            </w:pPr>
            <w:r>
              <w:rPr>
                <w:sz w:val="16"/>
              </w:rPr>
              <w:t>8.0B USD</w:t>
            </w:r>
          </w:p>
        </w:tc>
        <w:tc>
          <w:tcPr>
            <w:tcW w:type="dxa" w:w="2074"/>
            <w:vAlign w:val="top"/>
          </w:tcPr>
          <w:p>
            <w:pPr>
              <w:spacing w:after="0"/>
            </w:pPr>
            <w:r>
              <w:rPr>
                <w:sz w:val="16"/>
              </w:rPr>
              <w:t>14.0B USD</w:t>
            </w:r>
          </w:p>
        </w:tc>
        <w:tc>
          <w:tcPr>
            <w:tcW w:type="dxa" w:w="2074"/>
            <w:vAlign w:val="top"/>
          </w:tcPr>
          <w:p>
            <w:pPr>
              <w:spacing w:after="0"/>
            </w:pPr>
            <w:r>
              <w:rPr>
                <w:sz w:val="16"/>
              </w:rPr>
              <w:t>24.0B USD</w:t>
            </w:r>
          </w:p>
        </w:tc>
        <w:tc>
          <w:tcPr>
            <w:tcW w:type="dxa" w:w="2074"/>
            <w:vAlign w:val="top"/>
          </w:tcPr>
          <w:p>
            <w:pPr>
              <w:spacing w:after="0"/>
            </w:pPr>
            <w:r>
              <w:rPr>
                <w:sz w:val="16"/>
              </w:rPr>
              <w:t>0.9B USD</w:t>
            </w:r>
          </w:p>
        </w:tc>
      </w:tr>
      <w:tr>
        <w:tc>
          <w:tcPr>
            <w:tcW w:type="dxa" w:w="2074"/>
            <w:vAlign w:val="top"/>
          </w:tcPr>
          <w:p>
            <w:pPr>
              <w:spacing w:after="0"/>
            </w:pPr>
            <w:r>
              <w:rPr>
                <w:sz w:val="16"/>
              </w:rPr>
              <w:t>Venus orbital traffic insertion platform</w:t>
            </w:r>
          </w:p>
        </w:tc>
        <w:tc>
          <w:tcPr>
            <w:tcW w:type="dxa" w:w="2074"/>
            <w:vAlign w:val="top"/>
          </w:tcPr>
          <w:p>
            <w:pPr>
              <w:spacing w:after="0"/>
            </w:pPr>
            <w:r>
              <w:rPr>
                <w:sz w:val="16"/>
              </w:rPr>
              <w:t>12.0B USD</w:t>
            </w:r>
          </w:p>
        </w:tc>
        <w:tc>
          <w:tcPr>
            <w:tcW w:type="dxa" w:w="2074"/>
            <w:vAlign w:val="top"/>
          </w:tcPr>
          <w:p>
            <w:pPr>
              <w:spacing w:after="0"/>
            </w:pPr>
            <w:r>
              <w:rPr>
                <w:sz w:val="16"/>
              </w:rPr>
              <w:t>22.0B USD</w:t>
            </w:r>
          </w:p>
        </w:tc>
        <w:tc>
          <w:tcPr>
            <w:tcW w:type="dxa" w:w="2074"/>
            <w:vAlign w:val="top"/>
          </w:tcPr>
          <w:p>
            <w:pPr>
              <w:spacing w:after="0"/>
            </w:pPr>
            <w:r>
              <w:rPr>
                <w:sz w:val="16"/>
              </w:rPr>
              <w:t>36.0B USD</w:t>
            </w:r>
          </w:p>
        </w:tc>
        <w:tc>
          <w:tcPr>
            <w:tcW w:type="dxa" w:w="2074"/>
            <w:vAlign w:val="top"/>
          </w:tcPr>
          <w:p>
            <w:pPr>
              <w:spacing w:after="0"/>
            </w:pPr>
            <w:r>
              <w:rPr>
                <w:sz w:val="16"/>
              </w:rPr>
              <w:t>1.2B USD</w:t>
            </w:r>
          </w:p>
        </w:tc>
      </w:tr>
      <w:tr>
        <w:tc>
          <w:tcPr>
            <w:tcW w:type="dxa" w:w="2074"/>
            <w:vAlign w:val="top"/>
          </w:tcPr>
          <w:p>
            <w:pPr>
              <w:spacing w:after="0"/>
            </w:pPr>
            <w:r>
              <w:rPr>
                <w:sz w:val="16"/>
              </w:rPr>
              <w:t>Rev 2.8 derivative portfolio total</w:t>
            </w:r>
          </w:p>
        </w:tc>
        <w:tc>
          <w:tcPr>
            <w:tcW w:type="dxa" w:w="2074"/>
            <w:vAlign w:val="top"/>
          </w:tcPr>
          <w:p>
            <w:pPr>
              <w:spacing w:after="0"/>
            </w:pPr>
            <w:r>
              <w:rPr>
                <w:sz w:val="16"/>
              </w:rPr>
              <w:t>149.2B USD</w:t>
            </w:r>
          </w:p>
        </w:tc>
        <w:tc>
          <w:tcPr>
            <w:tcW w:type="dxa" w:w="2074"/>
            <w:vAlign w:val="top"/>
          </w:tcPr>
          <w:p>
            <w:pPr>
              <w:spacing w:after="0"/>
            </w:pPr>
            <w:r>
              <w:rPr>
                <w:sz w:val="16"/>
              </w:rPr>
              <w:t>235.4B USD</w:t>
            </w:r>
          </w:p>
        </w:tc>
        <w:tc>
          <w:tcPr>
            <w:tcW w:type="dxa" w:w="2074"/>
            <w:vAlign w:val="top"/>
          </w:tcPr>
          <w:p>
            <w:pPr>
              <w:spacing w:after="0"/>
            </w:pPr>
            <w:r>
              <w:rPr>
                <w:sz w:val="16"/>
              </w:rPr>
              <w:t>359.0B USD</w:t>
            </w:r>
          </w:p>
        </w:tc>
        <w:tc>
          <w:tcPr>
            <w:tcW w:type="dxa" w:w="2074"/>
            <w:vAlign w:val="top"/>
          </w:tcPr>
          <w:p>
            <w:pPr>
              <w:spacing w:after="0"/>
            </w:pPr>
            <w:r>
              <w:rPr>
                <w:sz w:val="16"/>
              </w:rPr>
              <w:t>18.05B USD</w:t>
            </w:r>
          </w:p>
        </w:tc>
      </w:tr>
    </w:tbl>
    <w:p>
      <w:pPr>
        <w:pStyle w:val="Heading2"/>
        <w:spacing w:before="200" w:after="120"/>
      </w:pPr>
      <w:r>
        <w:rPr>
          <w:rFonts w:ascii="Aptos" w:hAnsi="Aptos"/>
        </w:rPr>
        <w:t>18.11 Utility and Control Architecture Impacts</w:t>
      </w:r>
    </w:p>
    <w:p>
      <w:pPr>
        <w:pStyle w:val="ListBullet"/>
      </w:pPr>
      <w:r>
        <w:rPr>
          <w:rFonts w:ascii="Aptos" w:hAnsi="Aptos"/>
        </w:rPr>
        <w:t>The lunar hub remains the primary authority for production allocation, resource pricing, traffic priority, emergency reserve protection, and off world industrial scheduling.</w:t>
      </w:r>
    </w:p>
    <w:p>
      <w:pPr>
        <w:pStyle w:val="ListBullet"/>
      </w:pPr>
      <w:r>
        <w:rPr>
          <w:rFonts w:ascii="Aptos" w:hAnsi="Aptos"/>
        </w:rPr>
        <w:t>Mars installation control uses local autonomy for life safety, entry and ascent safety, dust storm response, and refuge mode. Strategic resource allocation reports to the lunar hub.</w:t>
      </w:r>
    </w:p>
    <w:p>
      <w:pPr>
        <w:pStyle w:val="ListBullet"/>
      </w:pPr>
      <w:r>
        <w:rPr>
          <w:rFonts w:ascii="Aptos" w:hAnsi="Aptos"/>
        </w:rPr>
        <w:t>Ceres CAMW uses high local autonomy because communication delay prevents direct real time equipment control. The lunar hub issues goals, constraints, and safety envelopes rather than manual commands.</w:t>
      </w:r>
    </w:p>
    <w:p>
      <w:pPr>
        <w:pStyle w:val="ListBullet"/>
      </w:pPr>
      <w:r>
        <w:rPr>
          <w:rFonts w:ascii="Aptos" w:hAnsi="Aptos"/>
        </w:rPr>
        <w:t>Venus V-GPAM and V-OTIP use a two tier control loop. V-GPAM handles atmospheric safety and product processing locally. V-OTIP handles traffic insertion, relay, staging, and orbital safety.</w:t>
      </w:r>
    </w:p>
    <w:p>
      <w:pPr>
        <w:pStyle w:val="ListBullet"/>
      </w:pPr>
      <w:r>
        <w:rPr>
          <w:rFonts w:ascii="Aptos" w:hAnsi="Aptos"/>
        </w:rPr>
        <w:t>The Lunar Biodiversity Vault is isolated from production scheduling. It has a protected power and thermal reserve budget and may not be used as a routine industrial cold storage asset.</w:t>
      </w:r>
    </w:p>
    <w:p>
      <w:pPr>
        <w:pStyle w:val="Heading2"/>
        <w:spacing w:before="200" w:after="120"/>
      </w:pPr>
      <w:r>
        <w:rPr>
          <w:rFonts w:ascii="Aptos" w:hAnsi="Aptos"/>
        </w:rPr>
        <w:t>18.12 Risk Register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Risk</w:t>
            </w:r>
          </w:p>
        </w:tc>
        <w:tc>
          <w:tcPr>
            <w:tcW w:type="dxa" w:w="3456"/>
            <w:vAlign w:val="top"/>
            <w:shd w:fill="D9EAF7"/>
          </w:tcPr>
          <w:p>
            <w:pPr>
              <w:spacing w:after="0"/>
            </w:pPr>
            <w:r>
              <w:rPr>
                <w:b/>
                <w:sz w:val="16"/>
              </w:rPr>
              <w:t>Affected system</w:t>
            </w:r>
          </w:p>
        </w:tc>
        <w:tc>
          <w:tcPr>
            <w:tcW w:type="dxa" w:w="3456"/>
            <w:vAlign w:val="top"/>
            <w:shd w:fill="D9EAF7"/>
          </w:tcPr>
          <w:p>
            <w:pPr>
              <w:spacing w:after="0"/>
            </w:pPr>
            <w:r>
              <w:rPr>
                <w:b/>
                <w:sz w:val="16"/>
              </w:rPr>
              <w:t>Mitigation</w:t>
            </w:r>
          </w:p>
        </w:tc>
      </w:tr>
      <w:tr>
        <w:tc>
          <w:tcPr>
            <w:tcW w:type="dxa" w:w="3456"/>
            <w:vAlign w:val="top"/>
          </w:tcPr>
          <w:p>
            <w:pPr>
              <w:spacing w:after="0"/>
            </w:pPr>
            <w:r>
              <w:rPr>
                <w:sz w:val="16"/>
              </w:rPr>
              <w:t>Mars copy error</w:t>
            </w:r>
          </w:p>
        </w:tc>
        <w:tc>
          <w:tcPr>
            <w:tcW w:type="dxa" w:w="3456"/>
            <w:vAlign w:val="top"/>
          </w:tcPr>
          <w:p>
            <w:pPr>
              <w:spacing w:after="0"/>
            </w:pPr>
            <w:r>
              <w:rPr>
                <w:sz w:val="16"/>
              </w:rPr>
              <w:t>Mars settlement and mineral processing</w:t>
            </w:r>
          </w:p>
        </w:tc>
        <w:tc>
          <w:tcPr>
            <w:tcW w:type="dxa" w:w="3456"/>
            <w:vAlign w:val="top"/>
          </w:tcPr>
          <w:p>
            <w:pPr>
              <w:spacing w:after="0"/>
            </w:pPr>
            <w:r>
              <w:rPr>
                <w:sz w:val="16"/>
              </w:rPr>
              <w:t>Use lunar specifications as parent architecture but require Mars specific design review for gravity, atmosphere, dust, perchlorates, and ascent safety.</w:t>
            </w:r>
          </w:p>
        </w:tc>
      </w:tr>
      <w:tr>
        <w:tc>
          <w:tcPr>
            <w:tcW w:type="dxa" w:w="3456"/>
            <w:vAlign w:val="top"/>
          </w:tcPr>
          <w:p>
            <w:pPr>
              <w:spacing w:after="0"/>
            </w:pPr>
            <w:r>
              <w:rPr>
                <w:sz w:val="16"/>
              </w:rPr>
              <w:t>Biocontamination or sample loss</w:t>
            </w:r>
          </w:p>
        </w:tc>
        <w:tc>
          <w:tcPr>
            <w:tcW w:type="dxa" w:w="3456"/>
            <w:vAlign w:val="top"/>
          </w:tcPr>
          <w:p>
            <w:pPr>
              <w:spacing w:after="0"/>
            </w:pPr>
            <w:r>
              <w:rPr>
                <w:sz w:val="16"/>
              </w:rPr>
              <w:t>Lunar Biodiversity Vault</w:t>
            </w:r>
          </w:p>
        </w:tc>
        <w:tc>
          <w:tcPr>
            <w:tcW w:type="dxa" w:w="3456"/>
            <w:vAlign w:val="top"/>
          </w:tcPr>
          <w:p>
            <w:pPr>
              <w:spacing w:after="0"/>
            </w:pPr>
            <w:r>
              <w:rPr>
                <w:sz w:val="16"/>
              </w:rPr>
              <w:t>Physical isolation, chain of custody, redundant cryogenic zones, passive cold fallback, and strict no release policy.</w:t>
            </w:r>
          </w:p>
        </w:tc>
      </w:tr>
      <w:tr>
        <w:tc>
          <w:tcPr>
            <w:tcW w:type="dxa" w:w="3456"/>
            <w:vAlign w:val="top"/>
          </w:tcPr>
          <w:p>
            <w:pPr>
              <w:spacing w:after="0"/>
            </w:pPr>
            <w:r>
              <w:rPr>
                <w:sz w:val="16"/>
              </w:rPr>
              <w:t>Low gravity anchoring failure</w:t>
            </w:r>
          </w:p>
        </w:tc>
        <w:tc>
          <w:tcPr>
            <w:tcW w:type="dxa" w:w="3456"/>
            <w:vAlign w:val="top"/>
          </w:tcPr>
          <w:p>
            <w:pPr>
              <w:spacing w:after="0"/>
            </w:pPr>
            <w:r>
              <w:rPr>
                <w:sz w:val="16"/>
              </w:rPr>
              <w:t>Ceres CAMW</w:t>
            </w:r>
          </w:p>
        </w:tc>
        <w:tc>
          <w:tcPr>
            <w:tcW w:type="dxa" w:w="3456"/>
            <w:vAlign w:val="top"/>
          </w:tcPr>
          <w:p>
            <w:pPr>
              <w:spacing w:after="0"/>
            </w:pPr>
            <w:r>
              <w:rPr>
                <w:sz w:val="16"/>
              </w:rPr>
              <w:t>Design all work bays around grapples, anchors, tethers, reaction control, and slow collision tolerant robotics.</w:t>
            </w:r>
          </w:p>
        </w:tc>
      </w:tr>
      <w:tr>
        <w:tc>
          <w:tcPr>
            <w:tcW w:type="dxa" w:w="3456"/>
            <w:vAlign w:val="top"/>
          </w:tcPr>
          <w:p>
            <w:pPr>
              <w:spacing w:after="0"/>
            </w:pPr>
            <w:r>
              <w:rPr>
                <w:sz w:val="16"/>
              </w:rPr>
              <w:t>Ceres process chemistry uncertainty</w:t>
            </w:r>
          </w:p>
        </w:tc>
        <w:tc>
          <w:tcPr>
            <w:tcW w:type="dxa" w:w="3456"/>
            <w:vAlign w:val="top"/>
          </w:tcPr>
          <w:p>
            <w:pPr>
              <w:spacing w:after="0"/>
            </w:pPr>
            <w:r>
              <w:rPr>
                <w:sz w:val="16"/>
              </w:rPr>
              <w:t>Ceres CAMW</w:t>
            </w:r>
          </w:p>
        </w:tc>
        <w:tc>
          <w:tcPr>
            <w:tcW w:type="dxa" w:w="3456"/>
            <w:vAlign w:val="top"/>
          </w:tcPr>
          <w:p>
            <w:pPr>
              <w:spacing w:after="0"/>
            </w:pPr>
            <w:r>
              <w:rPr>
                <w:sz w:val="16"/>
              </w:rPr>
              <w:t>Deploy assay first, then modular volatile and brine processing. Do not scale before feedstock validation.</w:t>
            </w:r>
          </w:p>
        </w:tc>
      </w:tr>
      <w:tr>
        <w:tc>
          <w:tcPr>
            <w:tcW w:type="dxa" w:w="3456"/>
            <w:vAlign w:val="top"/>
          </w:tcPr>
          <w:p>
            <w:pPr>
              <w:spacing w:after="0"/>
            </w:pPr>
            <w:r>
              <w:rPr>
                <w:sz w:val="16"/>
              </w:rPr>
              <w:t>Venus corrosion and aerosol damage</w:t>
            </w:r>
          </w:p>
        </w:tc>
        <w:tc>
          <w:tcPr>
            <w:tcW w:type="dxa" w:w="3456"/>
            <w:vAlign w:val="top"/>
          </w:tcPr>
          <w:p>
            <w:pPr>
              <w:spacing w:after="0"/>
            </w:pPr>
            <w:r>
              <w:rPr>
                <w:sz w:val="16"/>
              </w:rPr>
              <w:t>V-GPAM</w:t>
            </w:r>
          </w:p>
        </w:tc>
        <w:tc>
          <w:tcPr>
            <w:tcW w:type="dxa" w:w="3456"/>
            <w:vAlign w:val="top"/>
          </w:tcPr>
          <w:p>
            <w:pPr>
              <w:spacing w:after="0"/>
            </w:pPr>
            <w:r>
              <w:rPr>
                <w:sz w:val="16"/>
              </w:rPr>
              <w:t>Use corrosion resistant materials, replaceable filters, sacrificial coatings, autonomous inspection, and short duration robotic demonstrators before long duration operations.</w:t>
            </w:r>
          </w:p>
        </w:tc>
      </w:tr>
      <w:tr>
        <w:tc>
          <w:tcPr>
            <w:tcW w:type="dxa" w:w="3456"/>
            <w:vAlign w:val="top"/>
          </w:tcPr>
          <w:p>
            <w:pPr>
              <w:spacing w:after="0"/>
            </w:pPr>
            <w:r>
              <w:rPr>
                <w:sz w:val="16"/>
              </w:rPr>
              <w:t>Venus traffic insertion overload</w:t>
            </w:r>
          </w:p>
        </w:tc>
        <w:tc>
          <w:tcPr>
            <w:tcW w:type="dxa" w:w="3456"/>
            <w:vAlign w:val="top"/>
          </w:tcPr>
          <w:p>
            <w:pPr>
              <w:spacing w:after="0"/>
            </w:pPr>
            <w:r>
              <w:rPr>
                <w:sz w:val="16"/>
              </w:rPr>
              <w:t>V-OTIP</w:t>
            </w:r>
          </w:p>
        </w:tc>
        <w:tc>
          <w:tcPr>
            <w:tcW w:type="dxa" w:w="3456"/>
            <w:vAlign w:val="top"/>
          </w:tcPr>
          <w:p>
            <w:pPr>
              <w:spacing w:after="0"/>
            </w:pPr>
            <w:r>
              <w:rPr>
                <w:sz w:val="16"/>
              </w:rPr>
              <w:t>Use staged corridor approval, independent navigation, safe hold orbits, and lunar hub deconfliction rules.</w:t>
            </w:r>
          </w:p>
        </w:tc>
      </w:tr>
      <w:tr>
        <w:tc>
          <w:tcPr>
            <w:tcW w:type="dxa" w:w="3456"/>
            <w:vAlign w:val="top"/>
          </w:tcPr>
          <w:p>
            <w:pPr>
              <w:spacing w:after="0"/>
            </w:pPr>
            <w:r>
              <w:rPr>
                <w:sz w:val="16"/>
              </w:rPr>
              <w:t>Portfolio capital overload</w:t>
            </w:r>
          </w:p>
        </w:tc>
        <w:tc>
          <w:tcPr>
            <w:tcW w:type="dxa" w:w="3456"/>
            <w:vAlign w:val="top"/>
          </w:tcPr>
          <w:p>
            <w:pPr>
              <w:spacing w:after="0"/>
            </w:pPr>
            <w:r>
              <w:rPr>
                <w:sz w:val="16"/>
              </w:rPr>
              <w:t>Rev 2.8 derivative portfolio</w:t>
            </w:r>
          </w:p>
        </w:tc>
        <w:tc>
          <w:tcPr>
            <w:tcW w:type="dxa" w:w="3456"/>
            <w:vAlign w:val="top"/>
          </w:tcPr>
          <w:p>
            <w:pPr>
              <w:spacing w:after="0"/>
            </w:pPr>
            <w:r>
              <w:rPr>
                <w:sz w:val="16"/>
              </w:rPr>
              <w:t>Keep each derivative system behind its own funding gate. Do not finance Mars, Ceres, or Venus systems from lunar safety reserves.</w:t>
            </w:r>
          </w:p>
        </w:tc>
      </w:tr>
    </w:tbl>
    <w:p>
      <w:pPr>
        <w:pStyle w:val="Heading2"/>
        <w:spacing w:before="200" w:after="120"/>
      </w:pPr>
      <w:r>
        <w:rPr>
          <w:rFonts w:ascii="Aptos" w:hAnsi="Aptos"/>
        </w:rPr>
        <w:t>18.13 Governing Requirements Added in Rev 2.8</w:t>
      </w:r>
    </w:p>
    <w:p>
      <w:pPr>
        <w:pStyle w:val="ListBullet"/>
      </w:pPr>
      <w:r>
        <w:rPr>
          <w:rFonts w:ascii="Aptos" w:hAnsi="Aptos"/>
        </w:rPr>
        <w:t>The Mars installation shall use the lunar settlement and mineral processing architecture as its design parent, with documented Mars specific modifications before any construction release.</w:t>
      </w:r>
    </w:p>
    <w:p>
      <w:pPr>
        <w:pStyle w:val="ListBullet"/>
      </w:pPr>
      <w:r>
        <w:rPr>
          <w:rFonts w:ascii="Aptos" w:hAnsi="Aptos"/>
        </w:rPr>
        <w:t>The Mars mineral processing facility shall remain physically and functionally separated from habitat, food production, water recovery, medical, and refuge systems.</w:t>
      </w:r>
    </w:p>
    <w:p>
      <w:pPr>
        <w:pStyle w:val="ListBullet"/>
      </w:pPr>
      <w:r>
        <w:rPr>
          <w:rFonts w:ascii="Aptos" w:hAnsi="Aptos"/>
        </w:rPr>
        <w:t>The Lunar Biodiversity Vault shall be added as District J and shall remain isolated from habitat bioload, surface industrial dust, launch corridors, rail corridors, and volatile processing hazards.</w:t>
      </w:r>
    </w:p>
    <w:p>
      <w:pPr>
        <w:pStyle w:val="ListBullet"/>
      </w:pPr>
      <w:r>
        <w:rPr>
          <w:rFonts w:ascii="Aptos" w:hAnsi="Aptos"/>
        </w:rPr>
        <w:t>The Ceres Autonomous Modification Worksite shall be robotic first, anchored, locally autonomous, and focused on modification, repair, volatile extraction, mineral preprocessing, and low gravity logistics.</w:t>
      </w:r>
    </w:p>
    <w:p>
      <w:pPr>
        <w:pStyle w:val="ListBullet"/>
      </w:pPr>
      <w:r>
        <w:rPr>
          <w:rFonts w:ascii="Aptos" w:hAnsi="Aptos"/>
        </w:rPr>
        <w:t>The Venus gas processing system shall begin as an uncrewed upper atmospheric afloat module and shall avoid Venus surface dependency.</w:t>
      </w:r>
    </w:p>
    <w:p>
      <w:pPr>
        <w:pStyle w:val="ListBullet"/>
      </w:pPr>
      <w:r>
        <w:rPr>
          <w:rFonts w:ascii="Aptos" w:hAnsi="Aptos"/>
        </w:rPr>
        <w:t>The Venus orbital traffic insertion platform shall be the primary Venus traffic, relay, rendezvous, and insertion support node for the inner system network.</w:t>
      </w:r>
    </w:p>
    <w:p>
      <w:pPr>
        <w:pStyle w:val="ListBullet"/>
      </w:pPr>
      <w:r>
        <w:rPr>
          <w:rFonts w:ascii="Aptos" w:hAnsi="Aptos"/>
        </w:rPr>
        <w:t>No Rev 2.8 derivative system may reduce the Moon primary control role or draw capital, power, water, transport, or emergency reserves from the lunar Phase 1 safety baseline without a specific board release.</w:t>
      </w:r>
    </w:p>
    <w:p>
      <w:pPr>
        <w:pStyle w:val="Heading2"/>
        <w:spacing w:before="200" w:after="120"/>
      </w:pPr>
      <w:r>
        <w:rPr>
          <w:rFonts w:ascii="Aptos" w:hAnsi="Aptos"/>
        </w:rPr>
        <w:t>18.14 Rev 2.8 Reference Additions</w:t>
      </w:r>
    </w:p>
    <w:tbl>
      <w:tblPr>
        <w:tblStyle w:val="TableGrid"/>
        <w:tblW w:type="auto" w:w="0"/>
        <w:jc w:val="center"/>
        <w:tblLook w:firstColumn="1" w:firstRow="1" w:lastColumn="0" w:lastRow="0" w:noHBand="0" w:noVBand="1" w:val="04A0"/>
      </w:tblPr>
      <w:tblGrid>
        <w:gridCol w:w="5184"/>
        <w:gridCol w:w="5184"/>
      </w:tblGrid>
      <w:tr>
        <w:tc>
          <w:tcPr>
            <w:tcW w:type="dxa" w:w="5184"/>
            <w:vAlign w:val="top"/>
            <w:shd w:fill="D9EAF7"/>
          </w:tcPr>
          <w:p>
            <w:pPr>
              <w:spacing w:after="0"/>
            </w:pPr>
            <w:r>
              <w:rPr>
                <w:b/>
                <w:sz w:val="16"/>
              </w:rPr>
              <w:t>Reference</w:t>
            </w:r>
          </w:p>
        </w:tc>
        <w:tc>
          <w:tcPr>
            <w:tcW w:type="dxa" w:w="5184"/>
            <w:vAlign w:val="top"/>
            <w:shd w:fill="D9EAF7"/>
          </w:tcPr>
          <w:p>
            <w:pPr>
              <w:spacing w:after="0"/>
            </w:pPr>
            <w:r>
              <w:rPr>
                <w:b/>
                <w:sz w:val="16"/>
              </w:rPr>
              <w:t>Use in Rev 2.8</w:t>
            </w:r>
          </w:p>
        </w:tc>
      </w:tr>
      <w:tr>
        <w:tc>
          <w:tcPr>
            <w:tcW w:type="dxa" w:w="5184"/>
            <w:vAlign w:val="top"/>
          </w:tcPr>
          <w:p>
            <w:pPr>
              <w:spacing w:after="0"/>
            </w:pPr>
            <w:r>
              <w:rPr>
                <w:sz w:val="16"/>
              </w:rPr>
              <w:t>NASA MOXIE oxygen production on Mars</w:t>
            </w:r>
          </w:p>
        </w:tc>
        <w:tc>
          <w:tcPr>
            <w:tcW w:type="dxa" w:w="5184"/>
            <w:vAlign w:val="top"/>
          </w:tcPr>
          <w:p>
            <w:pPr>
              <w:spacing w:after="0"/>
            </w:pPr>
            <w:r>
              <w:rPr>
                <w:sz w:val="16"/>
              </w:rPr>
              <w:t>Mars atmospheric oxygen ISRU precedent and Mars settlement production logic.</w:t>
            </w:r>
          </w:p>
        </w:tc>
      </w:tr>
      <w:tr>
        <w:tc>
          <w:tcPr>
            <w:tcW w:type="dxa" w:w="5184"/>
            <w:vAlign w:val="top"/>
          </w:tcPr>
          <w:p>
            <w:pPr>
              <w:spacing w:after="0"/>
            </w:pPr>
            <w:r>
              <w:rPr>
                <w:sz w:val="16"/>
              </w:rPr>
              <w:t>NASA Dawn and JPL Ceres findings</w:t>
            </w:r>
          </w:p>
        </w:tc>
        <w:tc>
          <w:tcPr>
            <w:tcW w:type="dxa" w:w="5184"/>
            <w:vAlign w:val="top"/>
          </w:tcPr>
          <w:p>
            <w:pPr>
              <w:spacing w:after="0"/>
            </w:pPr>
            <w:r>
              <w:rPr>
                <w:sz w:val="16"/>
              </w:rPr>
              <w:t>Ceres water, hydrated minerals, carbonates, salts, ammoniated clays, and organics context for CAMW feedstock planning.</w:t>
            </w:r>
          </w:p>
        </w:tc>
      </w:tr>
      <w:tr>
        <w:tc>
          <w:tcPr>
            <w:tcW w:type="dxa" w:w="5184"/>
            <w:vAlign w:val="top"/>
          </w:tcPr>
          <w:p>
            <w:pPr>
              <w:spacing w:after="0"/>
            </w:pPr>
            <w:r>
              <w:rPr>
                <w:sz w:val="16"/>
              </w:rPr>
              <w:t>NASA Venus facts and HAVOC concept</w:t>
            </w:r>
          </w:p>
        </w:tc>
        <w:tc>
          <w:tcPr>
            <w:tcW w:type="dxa" w:w="5184"/>
            <w:vAlign w:val="top"/>
          </w:tcPr>
          <w:p>
            <w:pPr>
              <w:spacing w:after="0"/>
            </w:pPr>
            <w:r>
              <w:rPr>
                <w:sz w:val="16"/>
              </w:rPr>
              <w:t>Venus upper atmosphere float altitude context and gas processing afloat module precedent.</w:t>
            </w:r>
          </w:p>
        </w:tc>
      </w:tr>
      <w:tr>
        <w:tc>
          <w:tcPr>
            <w:tcW w:type="dxa" w:w="5184"/>
            <w:vAlign w:val="top"/>
          </w:tcPr>
          <w:p>
            <w:pPr>
              <w:spacing w:after="0"/>
            </w:pPr>
            <w:r>
              <w:rPr>
                <w:sz w:val="16"/>
              </w:rPr>
              <w:t>NASA LEMS lunar seismic monitoring</w:t>
            </w:r>
          </w:p>
        </w:tc>
        <w:tc>
          <w:tcPr>
            <w:tcW w:type="dxa" w:w="5184"/>
            <w:vAlign w:val="top"/>
          </w:tcPr>
          <w:p>
            <w:pPr>
              <w:spacing w:after="0"/>
            </w:pPr>
            <w:r>
              <w:rPr>
                <w:sz w:val="16"/>
              </w:rPr>
              <w:t>Lunar monitoring network and structural geophysics context already integrated into Rev 2.7 and relevant for vault and site safety.</w:t>
            </w:r>
          </w:p>
        </w:tc>
      </w:tr>
      <w:tr>
        <w:tc>
          <w:tcPr>
            <w:tcW w:type="dxa" w:w="5184"/>
            <w:vAlign w:val="top"/>
          </w:tcPr>
          <w:p>
            <w:pPr>
              <w:spacing w:after="0"/>
            </w:pPr>
            <w:r>
              <w:rPr>
                <w:sz w:val="16"/>
              </w:rPr>
              <w:t>NASA lunar caves and subsurface protection context</w:t>
            </w:r>
          </w:p>
        </w:tc>
        <w:tc>
          <w:tcPr>
            <w:tcW w:type="dxa" w:w="5184"/>
            <w:vAlign w:val="top"/>
          </w:tcPr>
          <w:p>
            <w:pPr>
              <w:spacing w:after="0"/>
            </w:pPr>
            <w:r>
              <w:rPr>
                <w:sz w:val="16"/>
              </w:rPr>
              <w:t>Protected underground vault siting logic for long duration archive resilience.</w:t>
            </w:r>
          </w:p>
        </w:tc>
      </w:tr>
    </w:tbl>
    <w:p>
      <w:pPr>
        <w:pStyle w:val="Heading1"/>
        <w:spacing w:before="200" w:after="120"/>
      </w:pPr>
      <w:r>
        <w:rPr>
          <w:rFonts w:ascii="Aptos" w:hAnsi="Aptos"/>
          <w:b/>
          <w:color w:val="1F4E79"/>
          <w:sz w:val="32"/>
        </w:rPr>
        <w:t>19. Rev 2.9 Integrated Review, Interface Control, and Portfolio Governance Update</w:t>
      </w:r>
    </w:p>
    <w:p>
      <w:pPr>
        <w:spacing w:after="120"/>
      </w:pPr>
      <w:r>
        <w:rPr>
          <w:rFonts w:ascii="Aptos" w:hAnsi="Aptos"/>
          <w:sz w:val="21"/>
        </w:rPr>
        <w:t>Review outcome: The Rev 2.8 master architecture remains internally coherent. The lunar south pole site remains the primary control, logistics, survival, and industrial authority. The Mars, Ceres, and Venus derivative systems are retained, but they require explicit interface control so they do not compete with lunar Phase 1 safety, reserve, power, or evacuation gates.</w:t>
      </w:r>
    </w:p>
    <w:p>
      <w:pPr>
        <w:spacing w:after="120"/>
      </w:pPr>
      <w:r>
        <w:rPr>
          <w:rFonts w:ascii="Aptos" w:hAnsi="Aptos"/>
          <w:sz w:val="21"/>
        </w:rPr>
        <w:t>Purpose of Rev 2.9: This revision adds a formal program review layer, closes integration gaps created by the new derivative installations, and establishes governance rules for portfolio sequencing, interface control, planetary protection, biosecurity, and cost gate discipline.</w:t>
      </w:r>
    </w:p>
    <w:p>
      <w:pPr>
        <w:pStyle w:val="Heading2"/>
        <w:spacing w:before="200" w:after="120"/>
      </w:pPr>
      <w:r>
        <w:rPr>
          <w:rFonts w:ascii="Aptos" w:hAnsi="Aptos"/>
          <w:b/>
          <w:color w:val="365F91"/>
          <w:sz w:val="26"/>
        </w:rPr>
        <w:t>19.1 Review Findings and Required Updates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Area</w:t>
            </w:r>
          </w:p>
        </w:tc>
        <w:tc>
          <w:tcPr>
            <w:tcW w:type="dxa" w:w="2592"/>
            <w:vAlign w:val="center"/>
            <w:shd w:fill="1F4E79"/>
          </w:tcPr>
          <w:p>
            <w:r>
              <w:rPr>
                <w:rFonts w:ascii="Aptos" w:hAnsi="Aptos"/>
                <w:b/>
                <w:color w:val="FFFFFF"/>
                <w:sz w:val="17"/>
              </w:rPr>
              <w:t>Review Status</w:t>
            </w:r>
          </w:p>
        </w:tc>
        <w:tc>
          <w:tcPr>
            <w:tcW w:type="dxa" w:w="2592"/>
            <w:vAlign w:val="center"/>
            <w:shd w:fill="1F4E79"/>
          </w:tcPr>
          <w:p>
            <w:r>
              <w:rPr>
                <w:rFonts w:ascii="Aptos" w:hAnsi="Aptos"/>
                <w:b/>
                <w:color w:val="FFFFFF"/>
                <w:sz w:val="17"/>
              </w:rPr>
              <w:t>Finding</w:t>
            </w:r>
          </w:p>
        </w:tc>
        <w:tc>
          <w:tcPr>
            <w:tcW w:type="dxa" w:w="2592"/>
            <w:vAlign w:val="center"/>
            <w:shd w:fill="1F4E79"/>
          </w:tcPr>
          <w:p>
            <w:r>
              <w:rPr>
                <w:rFonts w:ascii="Aptos" w:hAnsi="Aptos"/>
                <w:b/>
                <w:color w:val="FFFFFF"/>
                <w:sz w:val="17"/>
              </w:rPr>
              <w:t>Required Update</w:t>
            </w:r>
          </w:p>
        </w:tc>
      </w:tr>
      <w:tr>
        <w:tc>
          <w:tcPr>
            <w:tcW w:type="dxa" w:w="2592"/>
            <w:vAlign w:val="top"/>
          </w:tcPr>
          <w:p>
            <w:pPr>
              <w:spacing w:after="20"/>
            </w:pPr>
            <w:r>
              <w:rPr>
                <w:rFonts w:ascii="Aptos" w:hAnsi="Aptos"/>
                <w:sz w:val="16"/>
              </w:rPr>
              <w:t>Lunar primary role</w:t>
            </w:r>
          </w:p>
        </w:tc>
        <w:tc>
          <w:tcPr>
            <w:tcW w:type="dxa" w:w="2592"/>
            <w:vAlign w:val="top"/>
          </w:tcPr>
          <w:p>
            <w:pPr>
              <w:spacing w:after="20"/>
            </w:pPr>
            <w:r>
              <w:rPr>
                <w:rFonts w:ascii="Aptos" w:hAnsi="Aptos"/>
                <w:sz w:val="16"/>
              </w:rPr>
              <w:t>Valid</w:t>
            </w:r>
          </w:p>
        </w:tc>
        <w:tc>
          <w:tcPr>
            <w:tcW w:type="dxa" w:w="2592"/>
            <w:vAlign w:val="top"/>
          </w:tcPr>
          <w:p>
            <w:pPr>
              <w:spacing w:after="20"/>
            </w:pPr>
            <w:r>
              <w:rPr>
                <w:rFonts w:ascii="Aptos" w:hAnsi="Aptos"/>
                <w:sz w:val="16"/>
              </w:rPr>
              <w:t>Moon remains the authority for production allocation, emergency reserve protection, traffic priority, and portfolio control.</w:t>
            </w:r>
          </w:p>
        </w:tc>
        <w:tc>
          <w:tcPr>
            <w:tcW w:type="dxa" w:w="2592"/>
            <w:vAlign w:val="top"/>
          </w:tcPr>
          <w:p>
            <w:pPr>
              <w:spacing w:after="20"/>
            </w:pPr>
            <w:r>
              <w:rPr>
                <w:rFonts w:ascii="Aptos" w:hAnsi="Aptos"/>
                <w:sz w:val="16"/>
              </w:rPr>
              <w:t>No change to governing architecture.</w:t>
            </w:r>
          </w:p>
        </w:tc>
      </w:tr>
      <w:tr>
        <w:tc>
          <w:tcPr>
            <w:tcW w:type="dxa" w:w="2592"/>
            <w:vAlign w:val="top"/>
          </w:tcPr>
          <w:p>
            <w:pPr>
              <w:spacing w:after="20"/>
            </w:pPr>
            <w:r>
              <w:rPr>
                <w:rFonts w:ascii="Aptos" w:hAnsi="Aptos"/>
                <w:sz w:val="16"/>
              </w:rPr>
              <w:t>Phase 1 occupancy</w:t>
            </w:r>
          </w:p>
        </w:tc>
        <w:tc>
          <w:tcPr>
            <w:tcW w:type="dxa" w:w="2592"/>
            <w:vAlign w:val="top"/>
          </w:tcPr>
          <w:p>
            <w:pPr>
              <w:spacing w:after="20"/>
            </w:pPr>
            <w:r>
              <w:rPr>
                <w:rFonts w:ascii="Aptos" w:hAnsi="Aptos"/>
                <w:sz w:val="16"/>
              </w:rPr>
              <w:t>Valid with controls</w:t>
            </w:r>
          </w:p>
        </w:tc>
        <w:tc>
          <w:tcPr>
            <w:tcW w:type="dxa" w:w="2592"/>
            <w:vAlign w:val="top"/>
          </w:tcPr>
          <w:p>
            <w:pPr>
              <w:spacing w:after="20"/>
            </w:pPr>
            <w:r>
              <w:rPr>
                <w:rFonts w:ascii="Aptos" w:hAnsi="Aptos"/>
                <w:sz w:val="16"/>
              </w:rPr>
              <w:t>1000 resident and 1200 surge criteria remain acceptable only if refuge, evacuation, and utility gates are green.</w:t>
            </w:r>
          </w:p>
        </w:tc>
        <w:tc>
          <w:tcPr>
            <w:tcW w:type="dxa" w:w="2592"/>
            <w:vAlign w:val="top"/>
          </w:tcPr>
          <w:p>
            <w:pPr>
              <w:spacing w:after="20"/>
            </w:pPr>
            <w:r>
              <w:rPr>
                <w:rFonts w:ascii="Aptos" w:hAnsi="Aptos"/>
                <w:sz w:val="16"/>
              </w:rPr>
              <w:t>Keep population gates hard.</w:t>
            </w:r>
          </w:p>
        </w:tc>
      </w:tr>
      <w:tr>
        <w:tc>
          <w:tcPr>
            <w:tcW w:type="dxa" w:w="2592"/>
            <w:vAlign w:val="top"/>
          </w:tcPr>
          <w:p>
            <w:pPr>
              <w:spacing w:after="20"/>
            </w:pPr>
            <w:r>
              <w:rPr>
                <w:rFonts w:ascii="Aptos" w:hAnsi="Aptos"/>
                <w:sz w:val="16"/>
              </w:rPr>
              <w:t>Mars derivative</w:t>
            </w:r>
          </w:p>
        </w:tc>
        <w:tc>
          <w:tcPr>
            <w:tcW w:type="dxa" w:w="2592"/>
            <w:vAlign w:val="top"/>
          </w:tcPr>
          <w:p>
            <w:pPr>
              <w:spacing w:after="20"/>
            </w:pPr>
            <w:r>
              <w:rPr>
                <w:rFonts w:ascii="Aptos" w:hAnsi="Aptos"/>
                <w:sz w:val="16"/>
              </w:rPr>
              <w:t>Valid with modification</w:t>
            </w:r>
          </w:p>
        </w:tc>
        <w:tc>
          <w:tcPr>
            <w:tcW w:type="dxa" w:w="2592"/>
            <w:vAlign w:val="top"/>
          </w:tcPr>
          <w:p>
            <w:pPr>
              <w:spacing w:after="20"/>
            </w:pPr>
            <w:r>
              <w:rPr>
                <w:rFonts w:ascii="Aptos" w:hAnsi="Aptos"/>
                <w:sz w:val="16"/>
              </w:rPr>
              <w:t>Lunar habitat and mineral facility design can be copied only as a parent template. Mars requires dust, atmosphere, entry, radiation, perchlorate, and planetary protection modifications.</w:t>
            </w:r>
          </w:p>
        </w:tc>
        <w:tc>
          <w:tcPr>
            <w:tcW w:type="dxa" w:w="2592"/>
            <w:vAlign w:val="top"/>
          </w:tcPr>
          <w:p>
            <w:pPr>
              <w:spacing w:after="20"/>
            </w:pPr>
            <w:r>
              <w:rPr>
                <w:rFonts w:ascii="Aptos" w:hAnsi="Aptos"/>
                <w:sz w:val="16"/>
              </w:rPr>
              <w:t>Add Mars adaptation review gate before procurement.</w:t>
            </w:r>
          </w:p>
        </w:tc>
      </w:tr>
      <w:tr>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Valid with isolation</w:t>
            </w:r>
          </w:p>
        </w:tc>
        <w:tc>
          <w:tcPr>
            <w:tcW w:type="dxa" w:w="2592"/>
            <w:vAlign w:val="top"/>
          </w:tcPr>
          <w:p>
            <w:pPr>
              <w:spacing w:after="20"/>
            </w:pPr>
            <w:r>
              <w:rPr>
                <w:rFonts w:ascii="Aptos" w:hAnsi="Aptos"/>
                <w:sz w:val="16"/>
              </w:rPr>
              <w:t>Vault adds strategic resilience but must not become a biological experiment zone or routine industrial storage zone.</w:t>
            </w:r>
          </w:p>
        </w:tc>
        <w:tc>
          <w:tcPr>
            <w:tcW w:type="dxa" w:w="2592"/>
            <w:vAlign w:val="top"/>
          </w:tcPr>
          <w:p>
            <w:pPr>
              <w:spacing w:after="20"/>
            </w:pPr>
            <w:r>
              <w:rPr>
                <w:rFonts w:ascii="Aptos" w:hAnsi="Aptos"/>
                <w:sz w:val="16"/>
              </w:rPr>
              <w:t>Add clean corridor, biosecurity, and sample chain of custody rules.</w:t>
            </w:r>
          </w:p>
        </w:tc>
      </w:tr>
      <w:tr>
        <w:tc>
          <w:tcPr>
            <w:tcW w:type="dxa" w:w="2592"/>
            <w:vAlign w:val="top"/>
          </w:tcPr>
          <w:p>
            <w:pPr>
              <w:spacing w:after="20"/>
            </w:pPr>
            <w:r>
              <w:rPr>
                <w:rFonts w:ascii="Aptos" w:hAnsi="Aptos"/>
                <w:sz w:val="16"/>
              </w:rPr>
              <w:t>Ceres CAMW</w:t>
            </w:r>
          </w:p>
        </w:tc>
        <w:tc>
          <w:tcPr>
            <w:tcW w:type="dxa" w:w="2592"/>
            <w:vAlign w:val="top"/>
          </w:tcPr>
          <w:p>
            <w:pPr>
              <w:spacing w:after="20"/>
            </w:pPr>
            <w:r>
              <w:rPr>
                <w:rFonts w:ascii="Aptos" w:hAnsi="Aptos"/>
                <w:sz w:val="16"/>
              </w:rPr>
              <w:t>Valid as robotic first</w:t>
            </w:r>
          </w:p>
        </w:tc>
        <w:tc>
          <w:tcPr>
            <w:tcW w:type="dxa" w:w="2592"/>
            <w:vAlign w:val="top"/>
          </w:tcPr>
          <w:p>
            <w:pPr>
              <w:spacing w:after="20"/>
            </w:pPr>
            <w:r>
              <w:rPr>
                <w:rFonts w:ascii="Aptos" w:hAnsi="Aptos"/>
                <w:sz w:val="16"/>
              </w:rPr>
              <w:t>Ceres worksite is appropriate as an autonomous modification and repair node. It should not be treated as a crewed settlement in Phase 1.</w:t>
            </w:r>
          </w:p>
        </w:tc>
        <w:tc>
          <w:tcPr>
            <w:tcW w:type="dxa" w:w="2592"/>
            <w:vAlign w:val="top"/>
          </w:tcPr>
          <w:p>
            <w:pPr>
              <w:spacing w:after="20"/>
            </w:pPr>
            <w:r>
              <w:rPr>
                <w:rFonts w:ascii="Aptos" w:hAnsi="Aptos"/>
                <w:sz w:val="16"/>
              </w:rPr>
              <w:t>Assign high autonomy, low human dependency, and delayed crew gate.</w:t>
            </w:r>
          </w:p>
        </w:tc>
      </w:tr>
      <w:tr>
        <w:tc>
          <w:tcPr>
            <w:tcW w:type="dxa" w:w="2592"/>
            <w:vAlign w:val="top"/>
          </w:tcPr>
          <w:p>
            <w:pPr>
              <w:spacing w:after="20"/>
            </w:pPr>
            <w:r>
              <w:rPr>
                <w:rFonts w:ascii="Aptos" w:hAnsi="Aptos"/>
                <w:sz w:val="16"/>
              </w:rPr>
              <w:t>Venus V-GPAM and V-OTIP</w:t>
            </w:r>
          </w:p>
        </w:tc>
        <w:tc>
          <w:tcPr>
            <w:tcW w:type="dxa" w:w="2592"/>
            <w:vAlign w:val="top"/>
          </w:tcPr>
          <w:p>
            <w:pPr>
              <w:spacing w:after="20"/>
            </w:pPr>
            <w:r>
              <w:rPr>
                <w:rFonts w:ascii="Aptos" w:hAnsi="Aptos"/>
                <w:sz w:val="16"/>
              </w:rPr>
              <w:t>Valid as remote infrastructure</w:t>
            </w:r>
          </w:p>
        </w:tc>
        <w:tc>
          <w:tcPr>
            <w:tcW w:type="dxa" w:w="2592"/>
            <w:vAlign w:val="top"/>
          </w:tcPr>
          <w:p>
            <w:pPr>
              <w:spacing w:after="20"/>
            </w:pPr>
            <w:r>
              <w:rPr>
                <w:rFonts w:ascii="Aptos" w:hAnsi="Aptos"/>
                <w:sz w:val="16"/>
              </w:rPr>
              <w:t>Upper atmospheric processing and orbital traffic insertion are consistent with Venus environmental constraints.</w:t>
            </w:r>
          </w:p>
        </w:tc>
        <w:tc>
          <w:tcPr>
            <w:tcW w:type="dxa" w:w="2592"/>
            <w:vAlign w:val="top"/>
          </w:tcPr>
          <w:p>
            <w:pPr>
              <w:spacing w:after="20"/>
            </w:pPr>
            <w:r>
              <w:rPr>
                <w:rFonts w:ascii="Aptos" w:hAnsi="Aptos"/>
                <w:sz w:val="16"/>
              </w:rPr>
              <w:t>Keep surface dependency at zero for initial Venus operations.</w:t>
            </w:r>
          </w:p>
        </w:tc>
      </w:tr>
      <w:tr>
        <w:tc>
          <w:tcPr>
            <w:tcW w:type="dxa" w:w="2592"/>
            <w:vAlign w:val="top"/>
          </w:tcPr>
          <w:p>
            <w:pPr>
              <w:spacing w:after="20"/>
            </w:pPr>
            <w:r>
              <w:rPr>
                <w:rFonts w:ascii="Aptos" w:hAnsi="Aptos"/>
                <w:sz w:val="16"/>
              </w:rPr>
              <w:t>Spaceport and launch rail</w:t>
            </w:r>
          </w:p>
        </w:tc>
        <w:tc>
          <w:tcPr>
            <w:tcW w:type="dxa" w:w="2592"/>
            <w:vAlign w:val="top"/>
          </w:tcPr>
          <w:p>
            <w:pPr>
              <w:spacing w:after="20"/>
            </w:pPr>
            <w:r>
              <w:rPr>
                <w:rFonts w:ascii="Aptos" w:hAnsi="Aptos"/>
                <w:sz w:val="16"/>
              </w:rPr>
              <w:t>Valid with phasing</w:t>
            </w:r>
          </w:p>
        </w:tc>
        <w:tc>
          <w:tcPr>
            <w:tcW w:type="dxa" w:w="2592"/>
            <w:vAlign w:val="top"/>
          </w:tcPr>
          <w:p>
            <w:pPr>
              <w:spacing w:after="20"/>
            </w:pPr>
            <w:r>
              <w:rPr>
                <w:rFonts w:ascii="Aptos" w:hAnsi="Aptos"/>
                <w:sz w:val="16"/>
              </w:rPr>
              <w:t>Surface spaceport is core infrastructure. Hyperloop EM launch rail is high value but should not control life safety certification.</w:t>
            </w:r>
          </w:p>
        </w:tc>
        <w:tc>
          <w:tcPr>
            <w:tcW w:type="dxa" w:w="2592"/>
            <w:vAlign w:val="top"/>
          </w:tcPr>
          <w:p>
            <w:pPr>
              <w:spacing w:after="20"/>
            </w:pPr>
            <w:r>
              <w:rPr>
                <w:rFonts w:ascii="Aptos" w:hAnsi="Aptos"/>
                <w:sz w:val="16"/>
              </w:rPr>
              <w:t>Treat rail as industrial expansion gate.</w:t>
            </w:r>
          </w:p>
        </w:tc>
      </w:tr>
      <w:tr>
        <w:tc>
          <w:tcPr>
            <w:tcW w:type="dxa" w:w="2592"/>
            <w:vAlign w:val="top"/>
          </w:tcPr>
          <w:p>
            <w:pPr>
              <w:spacing w:after="20"/>
            </w:pPr>
            <w:r>
              <w:rPr>
                <w:rFonts w:ascii="Aptos" w:hAnsi="Aptos"/>
                <w:sz w:val="16"/>
              </w:rPr>
              <w:t>Capital baseline</w:t>
            </w:r>
          </w:p>
        </w:tc>
        <w:tc>
          <w:tcPr>
            <w:tcW w:type="dxa" w:w="2592"/>
            <w:vAlign w:val="top"/>
          </w:tcPr>
          <w:p>
            <w:pPr>
              <w:spacing w:after="20"/>
            </w:pPr>
            <w:r>
              <w:rPr>
                <w:rFonts w:ascii="Aptos" w:hAnsi="Aptos"/>
                <w:sz w:val="16"/>
              </w:rPr>
              <w:t>Needs portfolio discipline</w:t>
            </w:r>
          </w:p>
        </w:tc>
        <w:tc>
          <w:tcPr>
            <w:tcW w:type="dxa" w:w="2592"/>
            <w:vAlign w:val="top"/>
          </w:tcPr>
          <w:p>
            <w:pPr>
              <w:spacing w:after="20"/>
            </w:pPr>
            <w:r>
              <w:rPr>
                <w:rFonts w:ascii="Aptos" w:hAnsi="Aptos"/>
                <w:sz w:val="16"/>
              </w:rPr>
              <w:t>Rev 2.7 and Rev 2.8 expansions increase optionality but can overrun Phase 1 if executed in parallel without gate control.</w:t>
            </w:r>
          </w:p>
        </w:tc>
        <w:tc>
          <w:tcPr>
            <w:tcW w:type="dxa" w:w="2592"/>
            <w:vAlign w:val="top"/>
          </w:tcPr>
          <w:p>
            <w:pPr>
              <w:spacing w:after="20"/>
            </w:pPr>
            <w:r>
              <w:rPr>
                <w:rFonts w:ascii="Aptos" w:hAnsi="Aptos"/>
                <w:sz w:val="16"/>
              </w:rPr>
              <w:t>Adopt portfolio funding gates and deferred work package release.</w:t>
            </w:r>
          </w:p>
        </w:tc>
      </w:tr>
    </w:tbl>
    <w:p/>
    <w:p>
      <w:pPr>
        <w:pStyle w:val="Heading2"/>
        <w:spacing w:before="200" w:after="120"/>
      </w:pPr>
      <w:r>
        <w:rPr>
          <w:rFonts w:ascii="Aptos" w:hAnsi="Aptos"/>
          <w:b/>
          <w:color w:val="365F91"/>
          <w:sz w:val="26"/>
        </w:rPr>
        <w:t>19.2 Updated Architecture Control Statement</w:t>
      </w:r>
    </w:p>
    <w:p>
      <w:pPr>
        <w:spacing w:after="120"/>
      </w:pPr>
      <w:r>
        <w:rPr>
          <w:rFonts w:ascii="Aptos" w:hAnsi="Aptos"/>
          <w:sz w:val="21"/>
        </w:rPr>
        <w:t>The master architecture is now controlled as a portfolio of linked installations. Lunar Phase 1 is the core. Mars, Ceres, and Venus are derivative or expansion assets. No derivative asset may draw down lunar protected reserves, emergency transportation margin, critical spares, or core crew safety funding without board gate approval.</w:t>
      </w:r>
    </w:p>
    <w:p>
      <w:pPr>
        <w:pStyle w:val="ListBullet"/>
      </w:pPr>
      <w:r>
        <w:rPr>
          <w:rFonts w:ascii="Aptos" w:hAnsi="Aptos"/>
          <w:sz w:val="20"/>
        </w:rPr>
        <w:t>Lunar site: primary command, survival, ISRU, logistics, biodiversity vault, surface spaceport, launch rail, solar, microwave receiving, seismic monitoring, and mineral processing hub.</w:t>
      </w:r>
    </w:p>
    <w:p>
      <w:pPr>
        <w:pStyle w:val="ListBullet"/>
      </w:pPr>
      <w:r>
        <w:rPr>
          <w:rFonts w:ascii="Aptos" w:hAnsi="Aptos"/>
          <w:sz w:val="20"/>
        </w:rPr>
        <w:t>Mars site: derivative settlement and mineral processing architecture adapted for Mars gravity, atmosphere, dust, planetary protection, CO2 oxygen production, and local water extraction.</w:t>
      </w:r>
    </w:p>
    <w:p>
      <w:pPr>
        <w:pStyle w:val="ListBullet"/>
      </w:pPr>
      <w:r>
        <w:rPr>
          <w:rFonts w:ascii="Aptos" w:hAnsi="Aptos"/>
          <w:sz w:val="20"/>
        </w:rPr>
        <w:t>Ceres site: autonomous modification worksite for repair, mineral sorting, volatile extraction, fabrication support, and belt logistics.</w:t>
      </w:r>
    </w:p>
    <w:p>
      <w:pPr>
        <w:pStyle w:val="ListBullet"/>
      </w:pPr>
      <w:r>
        <w:rPr>
          <w:rFonts w:ascii="Aptos" w:hAnsi="Aptos"/>
          <w:sz w:val="20"/>
        </w:rPr>
        <w:t>Venus system: upper atmospheric gas processing afloat module paired with orbital traffic insertion, relay, rendezvous, and emergency support platform.</w:t>
      </w:r>
    </w:p>
    <w:p>
      <w:pPr>
        <w:pStyle w:val="Heading2"/>
        <w:spacing w:before="200" w:after="120"/>
      </w:pPr>
      <w:r>
        <w:rPr>
          <w:rFonts w:ascii="Aptos" w:hAnsi="Aptos"/>
          <w:b/>
          <w:color w:val="365F91"/>
          <w:sz w:val="26"/>
        </w:rPr>
        <w:t>19.3 Cross-System Interface Control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Interface</w:t>
            </w:r>
          </w:p>
        </w:tc>
        <w:tc>
          <w:tcPr>
            <w:tcW w:type="dxa" w:w="2592"/>
            <w:vAlign w:val="center"/>
            <w:shd w:fill="1F4E79"/>
          </w:tcPr>
          <w:p>
            <w:r>
              <w:rPr>
                <w:rFonts w:ascii="Aptos" w:hAnsi="Aptos"/>
                <w:b/>
                <w:color w:val="FFFFFF"/>
                <w:sz w:val="17"/>
              </w:rPr>
              <w:t>Controlled Exchange</w:t>
            </w:r>
          </w:p>
        </w:tc>
        <w:tc>
          <w:tcPr>
            <w:tcW w:type="dxa" w:w="2592"/>
            <w:vAlign w:val="center"/>
            <w:shd w:fill="1F4E79"/>
          </w:tcPr>
          <w:p>
            <w:r>
              <w:rPr>
                <w:rFonts w:ascii="Aptos" w:hAnsi="Aptos"/>
                <w:b/>
                <w:color w:val="FFFFFF"/>
                <w:sz w:val="17"/>
              </w:rPr>
              <w:t>Data Required</w:t>
            </w:r>
          </w:p>
        </w:tc>
        <w:tc>
          <w:tcPr>
            <w:tcW w:type="dxa" w:w="2592"/>
            <w:vAlign w:val="center"/>
            <w:shd w:fill="1F4E79"/>
          </w:tcPr>
          <w:p>
            <w:r>
              <w:rPr>
                <w:rFonts w:ascii="Aptos" w:hAnsi="Aptos"/>
                <w:b/>
                <w:color w:val="FFFFFF"/>
                <w:sz w:val="17"/>
              </w:rPr>
              <w:t>Operating Rule</w:t>
            </w:r>
          </w:p>
        </w:tc>
      </w:tr>
      <w:tr>
        <w:tc>
          <w:tcPr>
            <w:tcW w:type="dxa" w:w="2592"/>
            <w:vAlign w:val="top"/>
          </w:tcPr>
          <w:p>
            <w:pPr>
              <w:spacing w:after="20"/>
            </w:pPr>
            <w:r>
              <w:rPr>
                <w:rFonts w:ascii="Aptos" w:hAnsi="Aptos"/>
                <w:sz w:val="16"/>
              </w:rPr>
              <w:t>Lunar hub to Mars installation</w:t>
            </w:r>
          </w:p>
        </w:tc>
        <w:tc>
          <w:tcPr>
            <w:tcW w:type="dxa" w:w="2592"/>
            <w:vAlign w:val="top"/>
          </w:tcPr>
          <w:p>
            <w:pPr>
              <w:spacing w:after="20"/>
            </w:pPr>
            <w:r>
              <w:rPr>
                <w:rFonts w:ascii="Aptos" w:hAnsi="Aptos"/>
                <w:sz w:val="16"/>
              </w:rPr>
              <w:t>Production priorities, settlement template, mineral processing template, emergency reserve doctrine, medical and crew standards.</w:t>
            </w:r>
          </w:p>
        </w:tc>
        <w:tc>
          <w:tcPr>
            <w:tcW w:type="dxa" w:w="2592"/>
            <w:vAlign w:val="top"/>
          </w:tcPr>
          <w:p>
            <w:pPr>
              <w:spacing w:after="20"/>
            </w:pPr>
            <w:r>
              <w:rPr>
                <w:rFonts w:ascii="Aptos" w:hAnsi="Aptos"/>
                <w:sz w:val="16"/>
              </w:rPr>
              <w:t>Control data, resource prices, WBS status, mission priority, safety gates.</w:t>
            </w:r>
          </w:p>
        </w:tc>
        <w:tc>
          <w:tcPr>
            <w:tcW w:type="dxa" w:w="2592"/>
            <w:vAlign w:val="top"/>
          </w:tcPr>
          <w:p>
            <w:pPr>
              <w:spacing w:after="20"/>
            </w:pPr>
            <w:r>
              <w:rPr>
                <w:rFonts w:ascii="Aptos" w:hAnsi="Aptos"/>
                <w:sz w:val="16"/>
              </w:rPr>
              <w:t>Mars local life safety autonomy overrides strategic commands during dust storm, entry, ascent, fire, pressure, or planetary protection emergency.</w:t>
            </w:r>
          </w:p>
        </w:tc>
      </w:tr>
      <w:tr>
        <w:tc>
          <w:tcPr>
            <w:tcW w:type="dxa" w:w="2592"/>
            <w:vAlign w:val="top"/>
          </w:tcPr>
          <w:p>
            <w:pPr>
              <w:spacing w:after="20"/>
            </w:pPr>
            <w:r>
              <w:rPr>
                <w:rFonts w:ascii="Aptos" w:hAnsi="Aptos"/>
                <w:sz w:val="16"/>
              </w:rPr>
              <w:t>Lunar hub to Ceres CAMW</w:t>
            </w:r>
          </w:p>
        </w:tc>
        <w:tc>
          <w:tcPr>
            <w:tcW w:type="dxa" w:w="2592"/>
            <w:vAlign w:val="top"/>
          </w:tcPr>
          <w:p>
            <w:pPr>
              <w:spacing w:after="20"/>
            </w:pPr>
            <w:r>
              <w:rPr>
                <w:rFonts w:ascii="Aptos" w:hAnsi="Aptos"/>
                <w:sz w:val="16"/>
              </w:rPr>
              <w:t>Work orders, repair schedules, resource sorting targets, robotic maintenance plans, export manifests.</w:t>
            </w:r>
          </w:p>
        </w:tc>
        <w:tc>
          <w:tcPr>
            <w:tcW w:type="dxa" w:w="2592"/>
            <w:vAlign w:val="top"/>
          </w:tcPr>
          <w:p>
            <w:pPr>
              <w:spacing w:after="20"/>
            </w:pPr>
            <w:r>
              <w:rPr>
                <w:rFonts w:ascii="Aptos" w:hAnsi="Aptos"/>
                <w:sz w:val="16"/>
              </w:rPr>
              <w:t>Autonomy constraints, inventory state, fault logs, trajectory windows, anchor and structural health data.</w:t>
            </w:r>
          </w:p>
        </w:tc>
        <w:tc>
          <w:tcPr>
            <w:tcW w:type="dxa" w:w="2592"/>
            <w:vAlign w:val="top"/>
          </w:tcPr>
          <w:p>
            <w:pPr>
              <w:spacing w:after="20"/>
            </w:pPr>
            <w:r>
              <w:rPr>
                <w:rFonts w:ascii="Aptos" w:hAnsi="Aptos"/>
                <w:sz w:val="16"/>
              </w:rPr>
              <w:t>Ceres worksite remains robotic first until autonomy, anchoring, and communication delay safety gates are certified.</w:t>
            </w:r>
          </w:p>
        </w:tc>
      </w:tr>
      <w:tr>
        <w:tc>
          <w:tcPr>
            <w:tcW w:type="dxa" w:w="2592"/>
            <w:vAlign w:val="top"/>
          </w:tcPr>
          <w:p>
            <w:pPr>
              <w:spacing w:after="20"/>
            </w:pPr>
            <w:r>
              <w:rPr>
                <w:rFonts w:ascii="Aptos" w:hAnsi="Aptos"/>
                <w:sz w:val="16"/>
              </w:rPr>
              <w:t>Lunar hub to Venus V-GPAM</w:t>
            </w:r>
          </w:p>
        </w:tc>
        <w:tc>
          <w:tcPr>
            <w:tcW w:type="dxa" w:w="2592"/>
            <w:vAlign w:val="top"/>
          </w:tcPr>
          <w:p>
            <w:pPr>
              <w:spacing w:after="20"/>
            </w:pPr>
            <w:r>
              <w:rPr>
                <w:rFonts w:ascii="Aptos" w:hAnsi="Aptos"/>
                <w:sz w:val="16"/>
              </w:rPr>
              <w:t>Gas processing targets, aerostat health, product inventory, atmospheric hazard data.</w:t>
            </w:r>
          </w:p>
        </w:tc>
        <w:tc>
          <w:tcPr>
            <w:tcW w:type="dxa" w:w="2592"/>
            <w:vAlign w:val="top"/>
          </w:tcPr>
          <w:p>
            <w:pPr>
              <w:spacing w:after="20"/>
            </w:pPr>
            <w:r>
              <w:rPr>
                <w:rFonts w:ascii="Aptos" w:hAnsi="Aptos"/>
                <w:sz w:val="16"/>
              </w:rPr>
              <w:t>Atmospheric state, buoyancy, corrosion state, intake chemistry, power state, traffic requests.</w:t>
            </w:r>
          </w:p>
        </w:tc>
        <w:tc>
          <w:tcPr>
            <w:tcW w:type="dxa" w:w="2592"/>
            <w:vAlign w:val="top"/>
          </w:tcPr>
          <w:p>
            <w:pPr>
              <w:spacing w:after="20"/>
            </w:pPr>
            <w:r>
              <w:rPr>
                <w:rFonts w:ascii="Aptos" w:hAnsi="Aptos"/>
                <w:sz w:val="16"/>
              </w:rPr>
              <w:t>V-GPAM local safety controller overrides production commands for buoyancy, corrosion, lightning, thermal, pressure, and separation hazards.</w:t>
            </w:r>
          </w:p>
        </w:tc>
      </w:tr>
      <w:tr>
        <w:tc>
          <w:tcPr>
            <w:tcW w:type="dxa" w:w="2592"/>
            <w:vAlign w:val="top"/>
          </w:tcPr>
          <w:p>
            <w:pPr>
              <w:spacing w:after="20"/>
            </w:pPr>
            <w:r>
              <w:rPr>
                <w:rFonts w:ascii="Aptos" w:hAnsi="Aptos"/>
                <w:sz w:val="16"/>
              </w:rPr>
              <w:t>Lunar hub to Venus V-OTIP</w:t>
            </w:r>
          </w:p>
        </w:tc>
        <w:tc>
          <w:tcPr>
            <w:tcW w:type="dxa" w:w="2592"/>
            <w:vAlign w:val="top"/>
          </w:tcPr>
          <w:p>
            <w:pPr>
              <w:spacing w:after="20"/>
            </w:pPr>
            <w:r>
              <w:rPr>
                <w:rFonts w:ascii="Aptos" w:hAnsi="Aptos"/>
                <w:sz w:val="16"/>
              </w:rPr>
              <w:t>Traffic insertion, relay, rendezvous, depot compatibility, product transfer support.</w:t>
            </w:r>
          </w:p>
        </w:tc>
        <w:tc>
          <w:tcPr>
            <w:tcW w:type="dxa" w:w="2592"/>
            <w:vAlign w:val="top"/>
          </w:tcPr>
          <w:p>
            <w:pPr>
              <w:spacing w:after="20"/>
            </w:pPr>
            <w:r>
              <w:rPr>
                <w:rFonts w:ascii="Aptos" w:hAnsi="Aptos"/>
                <w:sz w:val="16"/>
              </w:rPr>
              <w:t>Orbital tracks, arrival windows, docking assignments, collision avoidance, emergency routing.</w:t>
            </w:r>
          </w:p>
        </w:tc>
        <w:tc>
          <w:tcPr>
            <w:tcW w:type="dxa" w:w="2592"/>
            <w:vAlign w:val="top"/>
          </w:tcPr>
          <w:p>
            <w:pPr>
              <w:spacing w:after="20"/>
            </w:pPr>
            <w:r>
              <w:rPr>
                <w:rFonts w:ascii="Aptos" w:hAnsi="Aptos"/>
                <w:sz w:val="16"/>
              </w:rPr>
              <w:t>V-OTIP has local collision avoidance authority and may deny traffic insertion when safe spacing is not available.</w:t>
            </w:r>
          </w:p>
        </w:tc>
      </w:tr>
      <w:tr>
        <w:tc>
          <w:tcPr>
            <w:tcW w:type="dxa" w:w="2592"/>
            <w:vAlign w:val="top"/>
          </w:tcPr>
          <w:p>
            <w:pPr>
              <w:spacing w:after="20"/>
            </w:pPr>
            <w:r>
              <w:rPr>
                <w:rFonts w:ascii="Aptos" w:hAnsi="Aptos"/>
                <w:sz w:val="16"/>
              </w:rPr>
              <w:t>Lunar Biodiversity Vault to science and medical sectors</w:t>
            </w:r>
          </w:p>
        </w:tc>
        <w:tc>
          <w:tcPr>
            <w:tcW w:type="dxa" w:w="2592"/>
            <w:vAlign w:val="top"/>
          </w:tcPr>
          <w:p>
            <w:pPr>
              <w:spacing w:after="20"/>
            </w:pPr>
            <w:r>
              <w:rPr>
                <w:rFonts w:ascii="Aptos" w:hAnsi="Aptos"/>
                <w:sz w:val="16"/>
              </w:rPr>
              <w:t>Controlled samples, cryostorage health, clean corridor transfers, archive data.</w:t>
            </w:r>
          </w:p>
        </w:tc>
        <w:tc>
          <w:tcPr>
            <w:tcW w:type="dxa" w:w="2592"/>
            <w:vAlign w:val="top"/>
          </w:tcPr>
          <w:p>
            <w:pPr>
              <w:spacing w:after="20"/>
            </w:pPr>
            <w:r>
              <w:rPr>
                <w:rFonts w:ascii="Aptos" w:hAnsi="Aptos"/>
                <w:sz w:val="16"/>
              </w:rPr>
              <w:t>Chain of custody, temperature state, sample class, contamination status.</w:t>
            </w:r>
          </w:p>
        </w:tc>
        <w:tc>
          <w:tcPr>
            <w:tcW w:type="dxa" w:w="2592"/>
            <w:vAlign w:val="top"/>
          </w:tcPr>
          <w:p>
            <w:pPr>
              <w:spacing w:after="20"/>
            </w:pPr>
            <w:r>
              <w:rPr>
                <w:rFonts w:ascii="Aptos" w:hAnsi="Aptos"/>
                <w:sz w:val="16"/>
              </w:rPr>
              <w:t>Vault remains isolated from food production, habitat bioload, mineral dust, and surface industrial traffic.</w:t>
            </w:r>
          </w:p>
        </w:tc>
      </w:tr>
      <w:tr>
        <w:tc>
          <w:tcPr>
            <w:tcW w:type="dxa" w:w="2592"/>
            <w:vAlign w:val="top"/>
          </w:tcPr>
          <w:p>
            <w:pPr>
              <w:spacing w:after="20"/>
            </w:pPr>
            <w:r>
              <w:rPr>
                <w:rFonts w:ascii="Aptos" w:hAnsi="Aptos"/>
                <w:sz w:val="16"/>
              </w:rPr>
              <w:t>Surface spaceport to evacuation system</w:t>
            </w:r>
          </w:p>
        </w:tc>
        <w:tc>
          <w:tcPr>
            <w:tcW w:type="dxa" w:w="2592"/>
            <w:vAlign w:val="top"/>
          </w:tcPr>
          <w:p>
            <w:pPr>
              <w:spacing w:after="20"/>
            </w:pPr>
            <w:r>
              <w:rPr>
                <w:rFonts w:ascii="Aptos" w:hAnsi="Aptos"/>
                <w:sz w:val="16"/>
              </w:rPr>
              <w:t>Crew transfer, cargo flow, emergency departure, medical transfer, manifest control.</w:t>
            </w:r>
          </w:p>
        </w:tc>
        <w:tc>
          <w:tcPr>
            <w:tcW w:type="dxa" w:w="2592"/>
            <w:vAlign w:val="top"/>
          </w:tcPr>
          <w:p>
            <w:pPr>
              <w:spacing w:after="20"/>
            </w:pPr>
            <w:r>
              <w:rPr>
                <w:rFonts w:ascii="Aptos" w:hAnsi="Aptos"/>
                <w:sz w:val="16"/>
              </w:rPr>
              <w:t>Pad status, vehicle status, seat capacity, dust state, fueling state.</w:t>
            </w:r>
          </w:p>
        </w:tc>
        <w:tc>
          <w:tcPr>
            <w:tcW w:type="dxa" w:w="2592"/>
            <w:vAlign w:val="top"/>
          </w:tcPr>
          <w:p>
            <w:pPr>
              <w:spacing w:after="20"/>
            </w:pPr>
            <w:r>
              <w:rPr>
                <w:rFonts w:ascii="Aptos" w:hAnsi="Aptos"/>
                <w:sz w:val="16"/>
              </w:rPr>
              <w:t>Emergency evacuation priority supersedes commercial traffic and export cadence.</w:t>
            </w:r>
          </w:p>
        </w:tc>
      </w:tr>
      <w:tr>
        <w:tc>
          <w:tcPr>
            <w:tcW w:type="dxa" w:w="2592"/>
            <w:vAlign w:val="top"/>
          </w:tcPr>
          <w:p>
            <w:pPr>
              <w:spacing w:after="20"/>
            </w:pPr>
            <w:r>
              <w:rPr>
                <w:rFonts w:ascii="Aptos" w:hAnsi="Aptos"/>
                <w:sz w:val="16"/>
              </w:rPr>
              <w:t>Hyperloop EM rail to mineral facility and orbital logistics</w:t>
            </w:r>
          </w:p>
        </w:tc>
        <w:tc>
          <w:tcPr>
            <w:tcW w:type="dxa" w:w="2592"/>
            <w:vAlign w:val="top"/>
          </w:tcPr>
          <w:p>
            <w:pPr>
              <w:spacing w:after="20"/>
            </w:pPr>
            <w:r>
              <w:rPr>
                <w:rFonts w:ascii="Aptos" w:hAnsi="Aptos"/>
                <w:sz w:val="16"/>
              </w:rPr>
              <w:t>Cargo launch, rail loading, launch corridor safety, pulse power demand.</w:t>
            </w:r>
          </w:p>
        </w:tc>
        <w:tc>
          <w:tcPr>
            <w:tcW w:type="dxa" w:w="2592"/>
            <w:vAlign w:val="top"/>
          </w:tcPr>
          <w:p>
            <w:pPr>
              <w:spacing w:after="20"/>
            </w:pPr>
            <w:r>
              <w:rPr>
                <w:rFonts w:ascii="Aptos" w:hAnsi="Aptos"/>
                <w:sz w:val="16"/>
              </w:rPr>
              <w:t>Payload mass, launch timing, rail health, power draw, target insertion data.</w:t>
            </w:r>
          </w:p>
        </w:tc>
        <w:tc>
          <w:tcPr>
            <w:tcW w:type="dxa" w:w="2592"/>
            <w:vAlign w:val="top"/>
          </w:tcPr>
          <w:p>
            <w:pPr>
              <w:spacing w:after="20"/>
            </w:pPr>
            <w:r>
              <w:rPr>
                <w:rFonts w:ascii="Aptos" w:hAnsi="Aptos"/>
                <w:sz w:val="16"/>
              </w:rPr>
              <w:t>Launch rail cannot operate during amber or red refuge, evacuation, or seismic stability state.</w:t>
            </w:r>
          </w:p>
        </w:tc>
      </w:tr>
    </w:tbl>
    <w:p/>
    <w:p>
      <w:pPr>
        <w:pStyle w:val="Heading2"/>
        <w:spacing w:before="200" w:after="120"/>
      </w:pPr>
      <w:r>
        <w:rPr>
          <w:rFonts w:ascii="Aptos" w:hAnsi="Aptos"/>
          <w:b/>
          <w:color w:val="365F91"/>
          <w:sz w:val="26"/>
        </w:rPr>
        <w:t>19.4 Portfolio WBS Integration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WBS</w:t>
            </w:r>
          </w:p>
        </w:tc>
        <w:tc>
          <w:tcPr>
            <w:tcW w:type="dxa" w:w="2592"/>
            <w:vAlign w:val="center"/>
            <w:shd w:fill="1F4E79"/>
          </w:tcPr>
          <w:p>
            <w:r>
              <w:rPr>
                <w:rFonts w:ascii="Aptos" w:hAnsi="Aptos"/>
                <w:b/>
                <w:color w:val="FFFFFF"/>
                <w:sz w:val="17"/>
              </w:rPr>
              <w:t>Package</w:t>
            </w:r>
          </w:p>
        </w:tc>
        <w:tc>
          <w:tcPr>
            <w:tcW w:type="dxa" w:w="2592"/>
            <w:vAlign w:val="center"/>
            <w:shd w:fill="1F4E79"/>
          </w:tcPr>
          <w:p>
            <w:r>
              <w:rPr>
                <w:rFonts w:ascii="Aptos" w:hAnsi="Aptos"/>
                <w:b/>
                <w:color w:val="FFFFFF"/>
                <w:sz w:val="17"/>
              </w:rPr>
              <w:t>Scope</w:t>
            </w:r>
          </w:p>
        </w:tc>
        <w:tc>
          <w:tcPr>
            <w:tcW w:type="dxa" w:w="2592"/>
            <w:vAlign w:val="center"/>
            <w:shd w:fill="1F4E79"/>
          </w:tcPr>
          <w:p>
            <w:r>
              <w:rPr>
                <w:rFonts w:ascii="Aptos" w:hAnsi="Aptos"/>
                <w:b/>
                <w:color w:val="FFFFFF"/>
                <w:sz w:val="17"/>
              </w:rPr>
              <w:t>Release Rule</w:t>
            </w:r>
          </w:p>
        </w:tc>
      </w:tr>
      <w:tr>
        <w:tc>
          <w:tcPr>
            <w:tcW w:type="dxa" w:w="2592"/>
            <w:vAlign w:val="top"/>
          </w:tcPr>
          <w:p>
            <w:pPr>
              <w:spacing w:after="20"/>
            </w:pPr>
            <w:r>
              <w:rPr>
                <w:rFonts w:ascii="Aptos" w:hAnsi="Aptos"/>
                <w:sz w:val="16"/>
              </w:rPr>
              <w:t>WP 26</w:t>
            </w:r>
          </w:p>
        </w:tc>
        <w:tc>
          <w:tcPr>
            <w:tcW w:type="dxa" w:w="2592"/>
            <w:vAlign w:val="top"/>
          </w:tcPr>
          <w:p>
            <w:pPr>
              <w:spacing w:after="20"/>
            </w:pPr>
            <w:r>
              <w:rPr>
                <w:rFonts w:ascii="Aptos" w:hAnsi="Aptos"/>
                <w:sz w:val="16"/>
              </w:rPr>
              <w:t>Mars Settlement and Mineral Processing Derivative</w:t>
            </w:r>
          </w:p>
        </w:tc>
        <w:tc>
          <w:tcPr>
            <w:tcW w:type="dxa" w:w="2592"/>
            <w:vAlign w:val="top"/>
          </w:tcPr>
          <w:p>
            <w:pPr>
              <w:spacing w:after="20"/>
            </w:pPr>
            <w:r>
              <w:rPr>
                <w:rFonts w:ascii="Aptos" w:hAnsi="Aptos"/>
                <w:sz w:val="16"/>
              </w:rPr>
              <w:t>Mars adaptation of lunar settlement, refuge, power, ISRU, and mineral processing design.</w:t>
            </w:r>
          </w:p>
        </w:tc>
        <w:tc>
          <w:tcPr>
            <w:tcW w:type="dxa" w:w="2592"/>
            <w:vAlign w:val="top"/>
          </w:tcPr>
          <w:p>
            <w:pPr>
              <w:spacing w:after="20"/>
            </w:pPr>
            <w:r>
              <w:rPr>
                <w:rFonts w:ascii="Aptos" w:hAnsi="Aptos"/>
                <w:sz w:val="16"/>
              </w:rPr>
              <w:t>Released only after lunar water, oxygen, and refuge systems reach green status.</w:t>
            </w:r>
          </w:p>
        </w:tc>
      </w:tr>
      <w:tr>
        <w:tc>
          <w:tcPr>
            <w:tcW w:type="dxa" w:w="2592"/>
            <w:vAlign w:val="top"/>
          </w:tcPr>
          <w:p>
            <w:pPr>
              <w:spacing w:after="20"/>
            </w:pPr>
            <w:r>
              <w:rPr>
                <w:rFonts w:ascii="Aptos" w:hAnsi="Aptos"/>
                <w:sz w:val="16"/>
              </w:rPr>
              <w:t>WP 27</w:t>
            </w:r>
          </w:p>
        </w:tc>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District J underground archive, clean transfer corridors, cryostorage, biosecurity, sample chain of custody, data archive.</w:t>
            </w:r>
          </w:p>
        </w:tc>
        <w:tc>
          <w:tcPr>
            <w:tcW w:type="dxa" w:w="2592"/>
            <w:vAlign w:val="top"/>
          </w:tcPr>
          <w:p>
            <w:pPr>
              <w:spacing w:after="20"/>
            </w:pPr>
            <w:r>
              <w:rPr>
                <w:rFonts w:ascii="Aptos" w:hAnsi="Aptos"/>
                <w:sz w:val="16"/>
              </w:rPr>
              <w:t>Can proceed in parallel with habitat if isolated utilities and clean corridor controls are funded.</w:t>
            </w:r>
          </w:p>
        </w:tc>
      </w:tr>
      <w:tr>
        <w:tc>
          <w:tcPr>
            <w:tcW w:type="dxa" w:w="2592"/>
            <w:vAlign w:val="top"/>
          </w:tcPr>
          <w:p>
            <w:pPr>
              <w:spacing w:after="20"/>
            </w:pPr>
            <w:r>
              <w:rPr>
                <w:rFonts w:ascii="Aptos" w:hAnsi="Aptos"/>
                <w:sz w:val="16"/>
              </w:rPr>
              <w:t>WP 28</w:t>
            </w:r>
          </w:p>
        </w:tc>
        <w:tc>
          <w:tcPr>
            <w:tcW w:type="dxa" w:w="2592"/>
            <w:vAlign w:val="top"/>
          </w:tcPr>
          <w:p>
            <w:pPr>
              <w:spacing w:after="20"/>
            </w:pPr>
            <w:r>
              <w:rPr>
                <w:rFonts w:ascii="Aptos" w:hAnsi="Aptos"/>
                <w:sz w:val="16"/>
              </w:rPr>
              <w:t>Ceres Autonomous Modification Worksite</w:t>
            </w:r>
          </w:p>
        </w:tc>
        <w:tc>
          <w:tcPr>
            <w:tcW w:type="dxa" w:w="2592"/>
            <w:vAlign w:val="top"/>
          </w:tcPr>
          <w:p>
            <w:pPr>
              <w:spacing w:after="20"/>
            </w:pPr>
            <w:r>
              <w:rPr>
                <w:rFonts w:ascii="Aptos" w:hAnsi="Aptos"/>
                <w:sz w:val="16"/>
              </w:rPr>
              <w:t>Robotic excavation, anchoring, repair, fabrication, sorting, volatile capture, and local autonomy stack.</w:t>
            </w:r>
          </w:p>
        </w:tc>
        <w:tc>
          <w:tcPr>
            <w:tcW w:type="dxa" w:w="2592"/>
            <w:vAlign w:val="top"/>
          </w:tcPr>
          <w:p>
            <w:pPr>
              <w:spacing w:after="20"/>
            </w:pPr>
            <w:r>
              <w:rPr>
                <w:rFonts w:ascii="Aptos" w:hAnsi="Aptos"/>
                <w:sz w:val="16"/>
              </w:rPr>
              <w:t>Requires autonomy readiness review and communications delay safety case.</w:t>
            </w:r>
          </w:p>
        </w:tc>
      </w:tr>
      <w:tr>
        <w:tc>
          <w:tcPr>
            <w:tcW w:type="dxa" w:w="2592"/>
            <w:vAlign w:val="top"/>
          </w:tcPr>
          <w:p>
            <w:pPr>
              <w:spacing w:after="20"/>
            </w:pPr>
            <w:r>
              <w:rPr>
                <w:rFonts w:ascii="Aptos" w:hAnsi="Aptos"/>
                <w:sz w:val="16"/>
              </w:rPr>
              <w:t>WP 29</w:t>
            </w:r>
          </w:p>
        </w:tc>
        <w:tc>
          <w:tcPr>
            <w:tcW w:type="dxa" w:w="2592"/>
            <w:vAlign w:val="top"/>
          </w:tcPr>
          <w:p>
            <w:pPr>
              <w:spacing w:after="20"/>
            </w:pPr>
            <w:r>
              <w:rPr>
                <w:rFonts w:ascii="Aptos" w:hAnsi="Aptos"/>
                <w:sz w:val="16"/>
              </w:rPr>
              <w:t>Venus Upper Atmospheric Gas Processing Afloat Module</w:t>
            </w:r>
          </w:p>
        </w:tc>
        <w:tc>
          <w:tcPr>
            <w:tcW w:type="dxa" w:w="2592"/>
            <w:vAlign w:val="top"/>
          </w:tcPr>
          <w:p>
            <w:pPr>
              <w:spacing w:after="20"/>
            </w:pPr>
            <w:r>
              <w:rPr>
                <w:rFonts w:ascii="Aptos" w:hAnsi="Aptos"/>
                <w:sz w:val="16"/>
              </w:rPr>
              <w:t>Aerostat module, atmospheric intake, separation systems, corrosion management, autonomy, and power support.</w:t>
            </w:r>
          </w:p>
        </w:tc>
        <w:tc>
          <w:tcPr>
            <w:tcW w:type="dxa" w:w="2592"/>
            <w:vAlign w:val="top"/>
          </w:tcPr>
          <w:p>
            <w:pPr>
              <w:spacing w:after="20"/>
            </w:pPr>
            <w:r>
              <w:rPr>
                <w:rFonts w:ascii="Aptos" w:hAnsi="Aptos"/>
                <w:sz w:val="16"/>
              </w:rPr>
              <w:t>Begins uncrewed. No surface dependency.</w:t>
            </w:r>
          </w:p>
        </w:tc>
      </w:tr>
      <w:tr>
        <w:tc>
          <w:tcPr>
            <w:tcW w:type="dxa" w:w="2592"/>
            <w:vAlign w:val="top"/>
          </w:tcPr>
          <w:p>
            <w:pPr>
              <w:spacing w:after="20"/>
            </w:pPr>
            <w:r>
              <w:rPr>
                <w:rFonts w:ascii="Aptos" w:hAnsi="Aptos"/>
                <w:sz w:val="16"/>
              </w:rPr>
              <w:t>WP 30</w:t>
            </w:r>
          </w:p>
        </w:tc>
        <w:tc>
          <w:tcPr>
            <w:tcW w:type="dxa" w:w="2592"/>
            <w:vAlign w:val="top"/>
          </w:tcPr>
          <w:p>
            <w:pPr>
              <w:spacing w:after="20"/>
            </w:pPr>
            <w:r>
              <w:rPr>
                <w:rFonts w:ascii="Aptos" w:hAnsi="Aptos"/>
                <w:sz w:val="16"/>
              </w:rPr>
              <w:t>Venus Orbital Traffic Insertion Platform</w:t>
            </w:r>
          </w:p>
        </w:tc>
        <w:tc>
          <w:tcPr>
            <w:tcW w:type="dxa" w:w="2592"/>
            <w:vAlign w:val="top"/>
          </w:tcPr>
          <w:p>
            <w:pPr>
              <w:spacing w:after="20"/>
            </w:pPr>
            <w:r>
              <w:rPr>
                <w:rFonts w:ascii="Aptos" w:hAnsi="Aptos"/>
                <w:sz w:val="16"/>
              </w:rPr>
              <w:t>Relay, rendezvous, docking, traffic insertion, emergency loiter, product transfer, and orbital traffic control.</w:t>
            </w:r>
          </w:p>
        </w:tc>
        <w:tc>
          <w:tcPr>
            <w:tcW w:type="dxa" w:w="2592"/>
            <w:vAlign w:val="top"/>
          </w:tcPr>
          <w:p>
            <w:pPr>
              <w:spacing w:after="20"/>
            </w:pPr>
            <w:r>
              <w:rPr>
                <w:rFonts w:ascii="Aptos" w:hAnsi="Aptos"/>
                <w:sz w:val="16"/>
              </w:rPr>
              <w:t>Must be operational before sustained Venus afloat product export.</w:t>
            </w:r>
          </w:p>
        </w:tc>
      </w:tr>
      <w:tr>
        <w:tc>
          <w:tcPr>
            <w:tcW w:type="dxa" w:w="2592"/>
            <w:vAlign w:val="top"/>
          </w:tcPr>
          <w:p>
            <w:pPr>
              <w:spacing w:after="20"/>
            </w:pPr>
            <w:r>
              <w:rPr>
                <w:rFonts w:ascii="Aptos" w:hAnsi="Aptos"/>
                <w:sz w:val="16"/>
              </w:rPr>
              <w:t>WP 31</w:t>
            </w:r>
          </w:p>
        </w:tc>
        <w:tc>
          <w:tcPr>
            <w:tcW w:type="dxa" w:w="2592"/>
            <w:vAlign w:val="top"/>
          </w:tcPr>
          <w:p>
            <w:pPr>
              <w:spacing w:after="20"/>
            </w:pPr>
            <w:r>
              <w:rPr>
                <w:rFonts w:ascii="Aptos" w:hAnsi="Aptos"/>
                <w:sz w:val="16"/>
              </w:rPr>
              <w:t>Portfolio Interface and Control Systems</w:t>
            </w:r>
          </w:p>
        </w:tc>
        <w:tc>
          <w:tcPr>
            <w:tcW w:type="dxa" w:w="2592"/>
            <w:vAlign w:val="top"/>
          </w:tcPr>
          <w:p>
            <w:pPr>
              <w:spacing w:after="20"/>
            </w:pPr>
            <w:r>
              <w:rPr>
                <w:rFonts w:ascii="Aptos" w:hAnsi="Aptos"/>
                <w:sz w:val="16"/>
              </w:rPr>
              <w:t>Common data model, traffic priority, production pricing, fault reporting, command authority, cybersecurity, and digital twin integration.</w:t>
            </w:r>
          </w:p>
        </w:tc>
        <w:tc>
          <w:tcPr>
            <w:tcW w:type="dxa" w:w="2592"/>
            <w:vAlign w:val="top"/>
          </w:tcPr>
          <w:p>
            <w:pPr>
              <w:spacing w:after="20"/>
            </w:pPr>
            <w:r>
              <w:rPr>
                <w:rFonts w:ascii="Aptos" w:hAnsi="Aptos"/>
                <w:sz w:val="16"/>
              </w:rPr>
              <w:t>Required before Mars, Ceres, and Venus systems operate as linked network nodes.</w:t>
            </w:r>
          </w:p>
        </w:tc>
      </w:tr>
    </w:tbl>
    <w:p/>
    <w:p>
      <w:pPr>
        <w:pStyle w:val="Heading2"/>
        <w:spacing w:before="200" w:after="120"/>
      </w:pPr>
      <w:r>
        <w:rPr>
          <w:rFonts w:ascii="Aptos" w:hAnsi="Aptos"/>
          <w:b/>
          <w:color w:val="365F91"/>
          <w:sz w:val="26"/>
        </w:rPr>
        <w:t>19.5 Updated Milestone Logic</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Milestone</w:t>
            </w:r>
          </w:p>
        </w:tc>
        <w:tc>
          <w:tcPr>
            <w:tcW w:type="dxa" w:w="2592"/>
            <w:vAlign w:val="center"/>
            <w:shd w:fill="1F4E79"/>
          </w:tcPr>
          <w:p>
            <w:r>
              <w:rPr>
                <w:rFonts w:ascii="Aptos" w:hAnsi="Aptos"/>
                <w:b/>
                <w:color w:val="FFFFFF"/>
                <w:sz w:val="17"/>
              </w:rPr>
              <w:t>Name</w:t>
            </w:r>
          </w:p>
        </w:tc>
        <w:tc>
          <w:tcPr>
            <w:tcW w:type="dxa" w:w="2592"/>
            <w:vAlign w:val="center"/>
            <w:shd w:fill="1F4E79"/>
          </w:tcPr>
          <w:p>
            <w:r>
              <w:rPr>
                <w:rFonts w:ascii="Aptos" w:hAnsi="Aptos"/>
                <w:b/>
                <w:color w:val="FFFFFF"/>
                <w:sz w:val="17"/>
              </w:rPr>
              <w:t>Exit Criteria</w:t>
            </w:r>
          </w:p>
        </w:tc>
        <w:tc>
          <w:tcPr>
            <w:tcW w:type="dxa" w:w="2592"/>
            <w:vAlign w:val="center"/>
            <w:shd w:fill="1F4E79"/>
          </w:tcPr>
          <w:p>
            <w:r>
              <w:rPr>
                <w:rFonts w:ascii="Aptos" w:hAnsi="Aptos"/>
                <w:b/>
                <w:color w:val="FFFFFF"/>
                <w:sz w:val="17"/>
              </w:rPr>
              <w:t>Timing Rule</w:t>
            </w:r>
          </w:p>
        </w:tc>
      </w:tr>
      <w:tr>
        <w:tc>
          <w:tcPr>
            <w:tcW w:type="dxa" w:w="2592"/>
            <w:vAlign w:val="top"/>
          </w:tcPr>
          <w:p>
            <w:pPr>
              <w:spacing w:after="20"/>
            </w:pPr>
            <w:r>
              <w:rPr>
                <w:rFonts w:ascii="Aptos" w:hAnsi="Aptos"/>
                <w:sz w:val="16"/>
              </w:rPr>
              <w:t>M2.9-1</w:t>
            </w:r>
          </w:p>
        </w:tc>
        <w:tc>
          <w:tcPr>
            <w:tcW w:type="dxa" w:w="2592"/>
            <w:vAlign w:val="top"/>
          </w:tcPr>
          <w:p>
            <w:pPr>
              <w:spacing w:after="20"/>
            </w:pPr>
            <w:r>
              <w:rPr>
                <w:rFonts w:ascii="Aptos" w:hAnsi="Aptos"/>
                <w:sz w:val="16"/>
              </w:rPr>
              <w:t>Rev 2.9 portfolio baseline approval</w:t>
            </w:r>
          </w:p>
        </w:tc>
        <w:tc>
          <w:tcPr>
            <w:tcW w:type="dxa" w:w="2592"/>
            <w:vAlign w:val="top"/>
          </w:tcPr>
          <w:p>
            <w:pPr>
              <w:spacing w:after="20"/>
            </w:pPr>
            <w:r>
              <w:rPr>
                <w:rFonts w:ascii="Aptos" w:hAnsi="Aptos"/>
                <w:sz w:val="16"/>
              </w:rPr>
              <w:t>Board approves linked lunar, Mars, Ceres, and Venus program control baseline.</w:t>
            </w:r>
          </w:p>
        </w:tc>
        <w:tc>
          <w:tcPr>
            <w:tcW w:type="dxa" w:w="2592"/>
            <w:vAlign w:val="top"/>
          </w:tcPr>
          <w:p>
            <w:pPr>
              <w:spacing w:after="20"/>
            </w:pPr>
            <w:r>
              <w:rPr>
                <w:rFonts w:ascii="Aptos" w:hAnsi="Aptos"/>
                <w:sz w:val="16"/>
              </w:rPr>
              <w:t>Before any derivative procurement above concept study level.</w:t>
            </w:r>
          </w:p>
        </w:tc>
      </w:tr>
      <w:tr>
        <w:tc>
          <w:tcPr>
            <w:tcW w:type="dxa" w:w="2592"/>
            <w:vAlign w:val="top"/>
          </w:tcPr>
          <w:p>
            <w:pPr>
              <w:spacing w:after="20"/>
            </w:pPr>
            <w:r>
              <w:rPr>
                <w:rFonts w:ascii="Aptos" w:hAnsi="Aptos"/>
                <w:sz w:val="16"/>
              </w:rPr>
              <w:t>M2.9-2</w:t>
            </w:r>
          </w:p>
        </w:tc>
        <w:tc>
          <w:tcPr>
            <w:tcW w:type="dxa" w:w="2592"/>
            <w:vAlign w:val="top"/>
          </w:tcPr>
          <w:p>
            <w:pPr>
              <w:spacing w:after="20"/>
            </w:pPr>
            <w:r>
              <w:rPr>
                <w:rFonts w:ascii="Aptos" w:hAnsi="Aptos"/>
                <w:sz w:val="16"/>
              </w:rPr>
              <w:t>Interface control document release</w:t>
            </w:r>
          </w:p>
        </w:tc>
        <w:tc>
          <w:tcPr>
            <w:tcW w:type="dxa" w:w="2592"/>
            <w:vAlign w:val="top"/>
          </w:tcPr>
          <w:p>
            <w:pPr>
              <w:spacing w:after="20"/>
            </w:pPr>
            <w:r>
              <w:rPr>
                <w:rFonts w:ascii="Aptos" w:hAnsi="Aptos"/>
                <w:sz w:val="16"/>
              </w:rPr>
              <w:t>ICDs issued for lunar to Mars, lunar to Ceres, lunar to Venus, Biodiversity Vault, spaceport, rail, and mineral processing interfaces.</w:t>
            </w:r>
          </w:p>
        </w:tc>
        <w:tc>
          <w:tcPr>
            <w:tcW w:type="dxa" w:w="2592"/>
            <w:vAlign w:val="top"/>
          </w:tcPr>
          <w:p>
            <w:pPr>
              <w:spacing w:after="20"/>
            </w:pPr>
            <w:r>
              <w:rPr>
                <w:rFonts w:ascii="Aptos" w:hAnsi="Aptos"/>
                <w:sz w:val="16"/>
              </w:rPr>
              <w:t>Before preliminary design review for each derivative asset.</w:t>
            </w:r>
          </w:p>
        </w:tc>
      </w:tr>
      <w:tr>
        <w:tc>
          <w:tcPr>
            <w:tcW w:type="dxa" w:w="2592"/>
            <w:vAlign w:val="top"/>
          </w:tcPr>
          <w:p>
            <w:pPr>
              <w:spacing w:after="20"/>
            </w:pPr>
            <w:r>
              <w:rPr>
                <w:rFonts w:ascii="Aptos" w:hAnsi="Aptos"/>
                <w:sz w:val="16"/>
              </w:rPr>
              <w:t>M2.9-3</w:t>
            </w:r>
          </w:p>
        </w:tc>
        <w:tc>
          <w:tcPr>
            <w:tcW w:type="dxa" w:w="2592"/>
            <w:vAlign w:val="top"/>
          </w:tcPr>
          <w:p>
            <w:pPr>
              <w:spacing w:after="20"/>
            </w:pPr>
            <w:r>
              <w:rPr>
                <w:rFonts w:ascii="Aptos" w:hAnsi="Aptos"/>
                <w:sz w:val="16"/>
              </w:rPr>
              <w:t>Planetary protection and biosecurity control plan</w:t>
            </w:r>
          </w:p>
        </w:tc>
        <w:tc>
          <w:tcPr>
            <w:tcW w:type="dxa" w:w="2592"/>
            <w:vAlign w:val="top"/>
          </w:tcPr>
          <w:p>
            <w:pPr>
              <w:spacing w:after="20"/>
            </w:pPr>
            <w:r>
              <w:rPr>
                <w:rFonts w:ascii="Aptos" w:hAnsi="Aptos"/>
                <w:sz w:val="16"/>
              </w:rPr>
              <w:t>Mars, Ceres, Venus, and Lunar Biodiversity Vault contamination controls defined.</w:t>
            </w:r>
          </w:p>
        </w:tc>
        <w:tc>
          <w:tcPr>
            <w:tcW w:type="dxa" w:w="2592"/>
            <w:vAlign w:val="top"/>
          </w:tcPr>
          <w:p>
            <w:pPr>
              <w:spacing w:after="20"/>
            </w:pPr>
            <w:r>
              <w:rPr>
                <w:rFonts w:ascii="Aptos" w:hAnsi="Aptos"/>
                <w:sz w:val="16"/>
              </w:rPr>
              <w:t>Before hardware cleanliness plan release.</w:t>
            </w:r>
          </w:p>
        </w:tc>
      </w:tr>
      <w:tr>
        <w:tc>
          <w:tcPr>
            <w:tcW w:type="dxa" w:w="2592"/>
            <w:vAlign w:val="top"/>
          </w:tcPr>
          <w:p>
            <w:pPr>
              <w:spacing w:after="20"/>
            </w:pPr>
            <w:r>
              <w:rPr>
                <w:rFonts w:ascii="Aptos" w:hAnsi="Aptos"/>
                <w:sz w:val="16"/>
              </w:rPr>
              <w:t>M2.9-4</w:t>
            </w:r>
          </w:p>
        </w:tc>
        <w:tc>
          <w:tcPr>
            <w:tcW w:type="dxa" w:w="2592"/>
            <w:vAlign w:val="top"/>
          </w:tcPr>
          <w:p>
            <w:pPr>
              <w:spacing w:after="20"/>
            </w:pPr>
            <w:r>
              <w:rPr>
                <w:rFonts w:ascii="Aptos" w:hAnsi="Aptos"/>
                <w:sz w:val="16"/>
              </w:rPr>
              <w:t>Portfolio cost gate model update</w:t>
            </w:r>
          </w:p>
        </w:tc>
        <w:tc>
          <w:tcPr>
            <w:tcW w:type="dxa" w:w="2592"/>
            <w:vAlign w:val="top"/>
          </w:tcPr>
          <w:p>
            <w:pPr>
              <w:spacing w:after="20"/>
            </w:pPr>
            <w:r>
              <w:rPr>
                <w:rFonts w:ascii="Aptos" w:hAnsi="Aptos"/>
                <w:sz w:val="16"/>
              </w:rPr>
              <w:t>Rev 2.7 and Rev 2.8 optional packages separated from core life safety critical path.</w:t>
            </w:r>
          </w:p>
        </w:tc>
        <w:tc>
          <w:tcPr>
            <w:tcW w:type="dxa" w:w="2592"/>
            <w:vAlign w:val="top"/>
          </w:tcPr>
          <w:p>
            <w:pPr>
              <w:spacing w:after="20"/>
            </w:pPr>
            <w:r>
              <w:rPr>
                <w:rFonts w:ascii="Aptos" w:hAnsi="Aptos"/>
                <w:sz w:val="16"/>
              </w:rPr>
              <w:t>Before next capital authorization.</w:t>
            </w:r>
          </w:p>
        </w:tc>
      </w:tr>
      <w:tr>
        <w:tc>
          <w:tcPr>
            <w:tcW w:type="dxa" w:w="2592"/>
            <w:vAlign w:val="top"/>
          </w:tcPr>
          <w:p>
            <w:pPr>
              <w:spacing w:after="20"/>
            </w:pPr>
            <w:r>
              <w:rPr>
                <w:rFonts w:ascii="Aptos" w:hAnsi="Aptos"/>
                <w:sz w:val="16"/>
              </w:rPr>
              <w:t>M2.9-5</w:t>
            </w:r>
          </w:p>
        </w:tc>
        <w:tc>
          <w:tcPr>
            <w:tcW w:type="dxa" w:w="2592"/>
            <w:vAlign w:val="top"/>
          </w:tcPr>
          <w:p>
            <w:pPr>
              <w:spacing w:after="20"/>
            </w:pPr>
            <w:r>
              <w:rPr>
                <w:rFonts w:ascii="Aptos" w:hAnsi="Aptos"/>
                <w:sz w:val="16"/>
              </w:rPr>
              <w:t>Autonomy safety case release</w:t>
            </w:r>
          </w:p>
        </w:tc>
        <w:tc>
          <w:tcPr>
            <w:tcW w:type="dxa" w:w="2592"/>
            <w:vAlign w:val="top"/>
          </w:tcPr>
          <w:p>
            <w:pPr>
              <w:spacing w:after="20"/>
            </w:pPr>
            <w:r>
              <w:rPr>
                <w:rFonts w:ascii="Aptos" w:hAnsi="Aptos"/>
                <w:sz w:val="16"/>
              </w:rPr>
              <w:t>Ceres and Venus local autonomy safety arguments issued.</w:t>
            </w:r>
          </w:p>
        </w:tc>
        <w:tc>
          <w:tcPr>
            <w:tcW w:type="dxa" w:w="2592"/>
            <w:vAlign w:val="top"/>
          </w:tcPr>
          <w:p>
            <w:pPr>
              <w:spacing w:after="20"/>
            </w:pPr>
            <w:r>
              <w:rPr>
                <w:rFonts w:ascii="Aptos" w:hAnsi="Aptos"/>
                <w:sz w:val="16"/>
              </w:rPr>
              <w:t>Before robotic deployment design freeze.</w:t>
            </w:r>
          </w:p>
        </w:tc>
      </w:tr>
      <w:tr>
        <w:tc>
          <w:tcPr>
            <w:tcW w:type="dxa" w:w="2592"/>
            <w:vAlign w:val="top"/>
          </w:tcPr>
          <w:p>
            <w:pPr>
              <w:spacing w:after="20"/>
            </w:pPr>
            <w:r>
              <w:rPr>
                <w:rFonts w:ascii="Aptos" w:hAnsi="Aptos"/>
                <w:sz w:val="16"/>
              </w:rPr>
              <w:t>M2.9-6</w:t>
            </w:r>
          </w:p>
        </w:tc>
        <w:tc>
          <w:tcPr>
            <w:tcW w:type="dxa" w:w="2592"/>
            <w:vAlign w:val="top"/>
          </w:tcPr>
          <w:p>
            <w:pPr>
              <w:spacing w:after="20"/>
            </w:pPr>
            <w:r>
              <w:rPr>
                <w:rFonts w:ascii="Aptos" w:hAnsi="Aptos"/>
                <w:sz w:val="16"/>
              </w:rPr>
              <w:t>Hyperloop safety and seismic coupling review</w:t>
            </w:r>
          </w:p>
        </w:tc>
        <w:tc>
          <w:tcPr>
            <w:tcW w:type="dxa" w:w="2592"/>
            <w:vAlign w:val="top"/>
          </w:tcPr>
          <w:p>
            <w:pPr>
              <w:spacing w:after="20"/>
            </w:pPr>
            <w:r>
              <w:rPr>
                <w:rFonts w:ascii="Aptos" w:hAnsi="Aptos"/>
                <w:sz w:val="16"/>
              </w:rPr>
              <w:t>EM rail launch corridor reviewed against seismic, traffic, habitat, vault, and power hazard constraints.</w:t>
            </w:r>
          </w:p>
        </w:tc>
        <w:tc>
          <w:tcPr>
            <w:tcW w:type="dxa" w:w="2592"/>
            <w:vAlign w:val="top"/>
          </w:tcPr>
          <w:p>
            <w:pPr>
              <w:spacing w:after="20"/>
            </w:pPr>
            <w:r>
              <w:rPr>
                <w:rFonts w:ascii="Aptos" w:hAnsi="Aptos"/>
                <w:sz w:val="16"/>
              </w:rPr>
              <w:t>Before rail demonstration build.</w:t>
            </w:r>
          </w:p>
        </w:tc>
      </w:tr>
    </w:tbl>
    <w:p/>
    <w:p>
      <w:pPr>
        <w:pStyle w:val="Heading2"/>
        <w:spacing w:before="200" w:after="120"/>
      </w:pPr>
      <w:r>
        <w:rPr>
          <w:rFonts w:ascii="Aptos" w:hAnsi="Aptos"/>
          <w:b/>
          <w:color w:val="365F91"/>
          <w:sz w:val="26"/>
        </w:rPr>
        <w:t>19.6 Planetary Protection, Biosecurity, and Contamination Control Update</w:t>
      </w:r>
    </w:p>
    <w:p>
      <w:pPr>
        <w:spacing w:after="120"/>
      </w:pPr>
      <w:r>
        <w:rPr>
          <w:rFonts w:ascii="Aptos" w:hAnsi="Aptos"/>
          <w:sz w:val="21"/>
        </w:rPr>
        <w:t>Rev 2.9 adds a program-wide contamination control layer. It separates human safety contamination, biological archive protection, planetary protection, mineral processing dust, and atmospheric processing corrosion controls. These must not be merged into a single generic cleanliness program.</w:t>
      </w:r>
    </w:p>
    <w:p>
      <w:pPr>
        <w:pStyle w:val="ListBullet"/>
      </w:pPr>
      <w:r>
        <w:rPr>
          <w:rFonts w:ascii="Aptos" w:hAnsi="Aptos"/>
          <w:sz w:val="20"/>
        </w:rPr>
        <w:t>Mars installation must use clean zones, dirty zones, sample isolation, perchlorate controls, biological monitoring, and documented planetary protection compliance before excavation or subsurface access.</w:t>
      </w:r>
    </w:p>
    <w:p>
      <w:pPr>
        <w:pStyle w:val="ListBullet"/>
      </w:pPr>
      <w:r>
        <w:rPr>
          <w:rFonts w:ascii="Aptos" w:hAnsi="Aptos"/>
          <w:sz w:val="20"/>
        </w:rPr>
        <w:t>Lunar Biodiversity Vault must use clean transfer corridors, sealed sample classes, independent air handling, redundant cryostorage, tamper logging, and no open ecological release activity.</w:t>
      </w:r>
    </w:p>
    <w:p>
      <w:pPr>
        <w:pStyle w:val="ListBullet"/>
      </w:pPr>
      <w:r>
        <w:rPr>
          <w:rFonts w:ascii="Aptos" w:hAnsi="Aptos"/>
          <w:sz w:val="20"/>
        </w:rPr>
        <w:t>Ceres CAMW must classify volatile handling, organic-bearing material, brine residues, and sample return materials before processing or transfer.</w:t>
      </w:r>
    </w:p>
    <w:p>
      <w:pPr>
        <w:pStyle w:val="ListBullet"/>
      </w:pPr>
      <w:r>
        <w:rPr>
          <w:rFonts w:ascii="Aptos" w:hAnsi="Aptos"/>
          <w:sz w:val="20"/>
        </w:rPr>
        <w:t>Venus V-GPAM must maintain corrosion isolation, sulfur compound controls, intake sample logging, and atmospheric discharge compliance rules.</w:t>
      </w:r>
    </w:p>
    <w:p>
      <w:pPr>
        <w:pStyle w:val="ListBullet"/>
      </w:pPr>
      <w:r>
        <w:rPr>
          <w:rFonts w:ascii="Aptos" w:hAnsi="Aptos"/>
          <w:sz w:val="20"/>
        </w:rPr>
        <w:t>Mineral processing facilities on the Moon and Mars must remain physically separate from habitat, food, water recovery, medical, refuge, and vault systems.</w:t>
      </w:r>
    </w:p>
    <w:p>
      <w:pPr>
        <w:pStyle w:val="Heading2"/>
        <w:spacing w:before="200" w:after="120"/>
      </w:pPr>
      <w:r>
        <w:rPr>
          <w:rFonts w:ascii="Aptos" w:hAnsi="Aptos"/>
          <w:b/>
          <w:color w:val="365F91"/>
          <w:sz w:val="26"/>
        </w:rPr>
        <w:t>19.7 Updated Risk Register Additions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074"/>
            <w:vAlign w:val="center"/>
            <w:shd w:fill="1F4E79"/>
          </w:tcPr>
          <w:p>
            <w:r>
              <w:rPr>
                <w:rFonts w:ascii="Aptos" w:hAnsi="Aptos"/>
                <w:b/>
                <w:color w:val="FFFFFF"/>
                <w:sz w:val="17"/>
              </w:rPr>
              <w:t>Risk ID</w:t>
            </w:r>
          </w:p>
        </w:tc>
        <w:tc>
          <w:tcPr>
            <w:tcW w:type="dxa" w:w="2074"/>
            <w:vAlign w:val="center"/>
            <w:shd w:fill="1F4E79"/>
          </w:tcPr>
          <w:p>
            <w:r>
              <w:rPr>
                <w:rFonts w:ascii="Aptos" w:hAnsi="Aptos"/>
                <w:b/>
                <w:color w:val="FFFFFF"/>
                <w:sz w:val="17"/>
              </w:rPr>
              <w:t>Risk</w:t>
            </w:r>
          </w:p>
        </w:tc>
        <w:tc>
          <w:tcPr>
            <w:tcW w:type="dxa" w:w="2074"/>
            <w:vAlign w:val="center"/>
            <w:shd w:fill="1F4E79"/>
          </w:tcPr>
          <w:p>
            <w:r>
              <w:rPr>
                <w:rFonts w:ascii="Aptos" w:hAnsi="Aptos"/>
                <w:b/>
                <w:color w:val="FFFFFF"/>
                <w:sz w:val="17"/>
              </w:rPr>
              <w:t>Severity</w:t>
            </w:r>
          </w:p>
        </w:tc>
        <w:tc>
          <w:tcPr>
            <w:tcW w:type="dxa" w:w="2074"/>
            <w:vAlign w:val="center"/>
            <w:shd w:fill="1F4E79"/>
          </w:tcPr>
          <w:p>
            <w:r>
              <w:rPr>
                <w:rFonts w:ascii="Aptos" w:hAnsi="Aptos"/>
                <w:b/>
                <w:color w:val="FFFFFF"/>
                <w:sz w:val="17"/>
              </w:rPr>
              <w:t>Failure Mode</w:t>
            </w:r>
          </w:p>
        </w:tc>
        <w:tc>
          <w:tcPr>
            <w:tcW w:type="dxa" w:w="2074"/>
            <w:vAlign w:val="center"/>
            <w:shd w:fill="1F4E79"/>
          </w:tcPr>
          <w:p>
            <w:r>
              <w:rPr>
                <w:rFonts w:ascii="Aptos" w:hAnsi="Aptos"/>
                <w:b/>
                <w:color w:val="FFFFFF"/>
                <w:sz w:val="17"/>
              </w:rPr>
              <w:t>Mitigation</w:t>
            </w:r>
          </w:p>
        </w:tc>
      </w:tr>
      <w:tr>
        <w:tc>
          <w:tcPr>
            <w:tcW w:type="dxa" w:w="2074"/>
            <w:vAlign w:val="top"/>
          </w:tcPr>
          <w:p>
            <w:pPr>
              <w:spacing w:after="20"/>
            </w:pPr>
            <w:r>
              <w:rPr>
                <w:rFonts w:ascii="Aptos" w:hAnsi="Aptos"/>
                <w:sz w:val="16"/>
              </w:rPr>
              <w:t>R-2.9-1</w:t>
            </w:r>
          </w:p>
        </w:tc>
        <w:tc>
          <w:tcPr>
            <w:tcW w:type="dxa" w:w="2074"/>
            <w:vAlign w:val="top"/>
          </w:tcPr>
          <w:p>
            <w:pPr>
              <w:spacing w:after="20"/>
            </w:pPr>
            <w:r>
              <w:rPr>
                <w:rFonts w:ascii="Aptos" w:hAnsi="Aptos"/>
                <w:sz w:val="16"/>
              </w:rPr>
              <w:t>Portfolio overextension</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Derivative systems compete with lunar Phase 1 life safety funding.</w:t>
            </w:r>
          </w:p>
        </w:tc>
        <w:tc>
          <w:tcPr>
            <w:tcW w:type="dxa" w:w="2074"/>
            <w:vAlign w:val="top"/>
          </w:tcPr>
          <w:p>
            <w:pPr>
              <w:spacing w:after="20"/>
            </w:pPr>
            <w:r>
              <w:rPr>
                <w:rFonts w:ascii="Aptos" w:hAnsi="Aptos"/>
                <w:sz w:val="16"/>
              </w:rPr>
              <w:t>Hard funding gates and no reserve drawdown rule.</w:t>
            </w:r>
          </w:p>
        </w:tc>
      </w:tr>
      <w:tr>
        <w:tc>
          <w:tcPr>
            <w:tcW w:type="dxa" w:w="2074"/>
            <w:vAlign w:val="top"/>
          </w:tcPr>
          <w:p>
            <w:pPr>
              <w:spacing w:after="20"/>
            </w:pPr>
            <w:r>
              <w:rPr>
                <w:rFonts w:ascii="Aptos" w:hAnsi="Aptos"/>
                <w:sz w:val="16"/>
              </w:rPr>
              <w:t>R-2.9-2</w:t>
            </w:r>
          </w:p>
        </w:tc>
        <w:tc>
          <w:tcPr>
            <w:tcW w:type="dxa" w:w="2074"/>
            <w:vAlign w:val="top"/>
          </w:tcPr>
          <w:p>
            <w:pPr>
              <w:spacing w:after="20"/>
            </w:pPr>
            <w:r>
              <w:rPr>
                <w:rFonts w:ascii="Aptos" w:hAnsi="Aptos"/>
                <w:sz w:val="16"/>
              </w:rPr>
              <w:t>Interface ambiguity</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Mars, Ceres, Venus, spaceport, rail, and mineral facilities operate on incompatible control assumptions.</w:t>
            </w:r>
          </w:p>
        </w:tc>
        <w:tc>
          <w:tcPr>
            <w:tcW w:type="dxa" w:w="2074"/>
            <w:vAlign w:val="top"/>
          </w:tcPr>
          <w:p>
            <w:pPr>
              <w:spacing w:after="20"/>
            </w:pPr>
            <w:r>
              <w:rPr>
                <w:rFonts w:ascii="Aptos" w:hAnsi="Aptos"/>
                <w:sz w:val="16"/>
              </w:rPr>
              <w:t>Issue ICDs before preliminary design review.</w:t>
            </w:r>
          </w:p>
        </w:tc>
      </w:tr>
      <w:tr>
        <w:tc>
          <w:tcPr>
            <w:tcW w:type="dxa" w:w="2074"/>
            <w:vAlign w:val="top"/>
          </w:tcPr>
          <w:p>
            <w:pPr>
              <w:spacing w:after="20"/>
            </w:pPr>
            <w:r>
              <w:rPr>
                <w:rFonts w:ascii="Aptos" w:hAnsi="Aptos"/>
                <w:sz w:val="16"/>
              </w:rPr>
              <w:t>R-2.9-3</w:t>
            </w:r>
          </w:p>
        </w:tc>
        <w:tc>
          <w:tcPr>
            <w:tcW w:type="dxa" w:w="2074"/>
            <w:vAlign w:val="top"/>
          </w:tcPr>
          <w:p>
            <w:pPr>
              <w:spacing w:after="20"/>
            </w:pPr>
            <w:r>
              <w:rPr>
                <w:rFonts w:ascii="Aptos" w:hAnsi="Aptos"/>
                <w:sz w:val="16"/>
              </w:rPr>
              <w:t>Biological contamination</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Biodiversity Vault, Mars operations, or life support systems cross-contaminate.</w:t>
            </w:r>
          </w:p>
        </w:tc>
        <w:tc>
          <w:tcPr>
            <w:tcW w:type="dxa" w:w="2074"/>
            <w:vAlign w:val="top"/>
          </w:tcPr>
          <w:p>
            <w:pPr>
              <w:spacing w:after="20"/>
            </w:pPr>
            <w:r>
              <w:rPr>
                <w:rFonts w:ascii="Aptos" w:hAnsi="Aptos"/>
                <w:sz w:val="16"/>
              </w:rPr>
              <w:t>Independent biosecurity authority and clean corridor controls.</w:t>
            </w:r>
          </w:p>
        </w:tc>
      </w:tr>
      <w:tr>
        <w:tc>
          <w:tcPr>
            <w:tcW w:type="dxa" w:w="2074"/>
            <w:vAlign w:val="top"/>
          </w:tcPr>
          <w:p>
            <w:pPr>
              <w:spacing w:after="20"/>
            </w:pPr>
            <w:r>
              <w:rPr>
                <w:rFonts w:ascii="Aptos" w:hAnsi="Aptos"/>
                <w:sz w:val="16"/>
              </w:rPr>
              <w:t>R-2.9-4</w:t>
            </w:r>
          </w:p>
        </w:tc>
        <w:tc>
          <w:tcPr>
            <w:tcW w:type="dxa" w:w="2074"/>
            <w:vAlign w:val="top"/>
          </w:tcPr>
          <w:p>
            <w:pPr>
              <w:spacing w:after="20"/>
            </w:pPr>
            <w:r>
              <w:rPr>
                <w:rFonts w:ascii="Aptos" w:hAnsi="Aptos"/>
                <w:sz w:val="16"/>
              </w:rPr>
              <w:t>Autonomy fault propagation</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Remote robotic nodes act on stale commands or fail to isolate local hazards.</w:t>
            </w:r>
          </w:p>
        </w:tc>
        <w:tc>
          <w:tcPr>
            <w:tcW w:type="dxa" w:w="2074"/>
            <w:vAlign w:val="top"/>
          </w:tcPr>
          <w:p>
            <w:pPr>
              <w:spacing w:after="20"/>
            </w:pPr>
            <w:r>
              <w:rPr>
                <w:rFonts w:ascii="Aptos" w:hAnsi="Aptos"/>
                <w:sz w:val="16"/>
              </w:rPr>
              <w:t>Local safety kernel, command timeouts, and fault containment logic.</w:t>
            </w:r>
          </w:p>
        </w:tc>
      </w:tr>
      <w:tr>
        <w:tc>
          <w:tcPr>
            <w:tcW w:type="dxa" w:w="2074"/>
            <w:vAlign w:val="top"/>
          </w:tcPr>
          <w:p>
            <w:pPr>
              <w:spacing w:after="20"/>
            </w:pPr>
            <w:r>
              <w:rPr>
                <w:rFonts w:ascii="Aptos" w:hAnsi="Aptos"/>
                <w:sz w:val="16"/>
              </w:rPr>
              <w:t>R-2.9-5</w:t>
            </w:r>
          </w:p>
        </w:tc>
        <w:tc>
          <w:tcPr>
            <w:tcW w:type="dxa" w:w="2074"/>
            <w:vAlign w:val="top"/>
          </w:tcPr>
          <w:p>
            <w:pPr>
              <w:spacing w:after="20"/>
            </w:pPr>
            <w:r>
              <w:rPr>
                <w:rFonts w:ascii="Aptos" w:hAnsi="Aptos"/>
                <w:sz w:val="16"/>
              </w:rPr>
              <w:t>Launch rail hazard coupling</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Rail pulse power, seismic vibration, or launch corridor conflict affects habitat, vault, or traffic routes.</w:t>
            </w:r>
          </w:p>
        </w:tc>
        <w:tc>
          <w:tcPr>
            <w:tcW w:type="dxa" w:w="2074"/>
            <w:vAlign w:val="top"/>
          </w:tcPr>
          <w:p>
            <w:pPr>
              <w:spacing w:after="20"/>
            </w:pPr>
            <w:r>
              <w:rPr>
                <w:rFonts w:ascii="Aptos" w:hAnsi="Aptos"/>
                <w:sz w:val="16"/>
              </w:rPr>
              <w:t>Rail remains deferred until seismic and power coupling tests pass.</w:t>
            </w:r>
          </w:p>
        </w:tc>
      </w:tr>
      <w:tr>
        <w:tc>
          <w:tcPr>
            <w:tcW w:type="dxa" w:w="2074"/>
            <w:vAlign w:val="top"/>
          </w:tcPr>
          <w:p>
            <w:pPr>
              <w:spacing w:after="20"/>
            </w:pPr>
            <w:r>
              <w:rPr>
                <w:rFonts w:ascii="Aptos" w:hAnsi="Aptos"/>
                <w:sz w:val="16"/>
              </w:rPr>
              <w:t>R-2.9-6</w:t>
            </w:r>
          </w:p>
        </w:tc>
        <w:tc>
          <w:tcPr>
            <w:tcW w:type="dxa" w:w="2074"/>
            <w:vAlign w:val="top"/>
          </w:tcPr>
          <w:p>
            <w:pPr>
              <w:spacing w:after="20"/>
            </w:pPr>
            <w:r>
              <w:rPr>
                <w:rFonts w:ascii="Aptos" w:hAnsi="Aptos"/>
                <w:sz w:val="16"/>
              </w:rPr>
              <w:t>Venus traffic congestion</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Inbound traffic, orbit insertion, and atmosphere module servicing create collision or abort risk.</w:t>
            </w:r>
          </w:p>
        </w:tc>
        <w:tc>
          <w:tcPr>
            <w:tcW w:type="dxa" w:w="2074"/>
            <w:vAlign w:val="top"/>
          </w:tcPr>
          <w:p>
            <w:pPr>
              <w:spacing w:after="20"/>
            </w:pPr>
            <w:r>
              <w:rPr>
                <w:rFonts w:ascii="Aptos" w:hAnsi="Aptos"/>
                <w:sz w:val="16"/>
              </w:rPr>
              <w:t>V-OTIP traffic authority and separation rules before recurring operations.</w:t>
            </w:r>
          </w:p>
        </w:tc>
      </w:tr>
    </w:tbl>
    <w:p/>
    <w:p>
      <w:pPr>
        <w:pStyle w:val="Heading2"/>
        <w:spacing w:before="200" w:after="120"/>
      </w:pPr>
      <w:r>
        <w:rPr>
          <w:rFonts w:ascii="Aptos" w:hAnsi="Aptos"/>
          <w:b/>
          <w:color w:val="365F91"/>
          <w:sz w:val="26"/>
        </w:rPr>
        <w:t>19.8 Updated Cost and Schedule Control Rules</w:t>
      </w:r>
    </w:p>
    <w:p>
      <w:pPr>
        <w:spacing w:after="120"/>
      </w:pPr>
      <w:r>
        <w:rPr>
          <w:rFonts w:ascii="Aptos" w:hAnsi="Aptos"/>
          <w:sz w:val="21"/>
        </w:rPr>
        <w:t>The Rev 2.9 review does not change the Rev 2.7 lunar Phase 1 capital baseline by default. It classifies later additions into core, parallel, and deferred packages so board funding can preserve safety and schedule discipline.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Control Class</w:t>
            </w:r>
          </w:p>
        </w:tc>
        <w:tc>
          <w:tcPr>
            <w:tcW w:type="dxa" w:w="2592"/>
            <w:vAlign w:val="center"/>
            <w:shd w:fill="1F4E79"/>
          </w:tcPr>
          <w:p>
            <w:r>
              <w:rPr>
                <w:rFonts w:ascii="Aptos" w:hAnsi="Aptos"/>
                <w:b/>
                <w:color w:val="FFFFFF"/>
                <w:sz w:val="17"/>
              </w:rPr>
              <w:t>Included Systems</w:t>
            </w:r>
          </w:p>
        </w:tc>
        <w:tc>
          <w:tcPr>
            <w:tcW w:type="dxa" w:w="2592"/>
            <w:vAlign w:val="center"/>
            <w:shd w:fill="1F4E79"/>
          </w:tcPr>
          <w:p>
            <w:r>
              <w:rPr>
                <w:rFonts w:ascii="Aptos" w:hAnsi="Aptos"/>
                <w:b/>
                <w:color w:val="FFFFFF"/>
                <w:sz w:val="17"/>
              </w:rPr>
              <w:t>Funding Rule</w:t>
            </w:r>
          </w:p>
        </w:tc>
        <w:tc>
          <w:tcPr>
            <w:tcW w:type="dxa" w:w="2592"/>
            <w:vAlign w:val="center"/>
            <w:shd w:fill="1F4E79"/>
          </w:tcPr>
          <w:p>
            <w:r>
              <w:rPr>
                <w:rFonts w:ascii="Aptos" w:hAnsi="Aptos"/>
                <w:b/>
                <w:color w:val="FFFFFF"/>
                <w:sz w:val="17"/>
              </w:rPr>
              <w:t>Approval Gate</w:t>
            </w:r>
          </w:p>
        </w:tc>
      </w:tr>
      <w:tr>
        <w:tc>
          <w:tcPr>
            <w:tcW w:type="dxa" w:w="2592"/>
            <w:vAlign w:val="top"/>
          </w:tcPr>
          <w:p>
            <w:pPr>
              <w:spacing w:after="20"/>
            </w:pPr>
            <w:r>
              <w:rPr>
                <w:rFonts w:ascii="Aptos" w:hAnsi="Aptos"/>
                <w:sz w:val="16"/>
              </w:rPr>
              <w:t>Core life safety</w:t>
            </w:r>
          </w:p>
        </w:tc>
        <w:tc>
          <w:tcPr>
            <w:tcW w:type="dxa" w:w="2592"/>
            <w:vAlign w:val="top"/>
          </w:tcPr>
          <w:p>
            <w:pPr>
              <w:spacing w:after="20"/>
            </w:pPr>
            <w:r>
              <w:rPr>
                <w:rFonts w:ascii="Aptos" w:hAnsi="Aptos"/>
                <w:sz w:val="16"/>
              </w:rPr>
              <w:t>Habitat, refuge, evacuation, water, oxygen, power, medical, command.</w:t>
            </w:r>
          </w:p>
        </w:tc>
        <w:tc>
          <w:tcPr>
            <w:tcW w:type="dxa" w:w="2592"/>
            <w:vAlign w:val="top"/>
          </w:tcPr>
          <w:p>
            <w:pPr>
              <w:spacing w:after="20"/>
            </w:pPr>
            <w:r>
              <w:rPr>
                <w:rFonts w:ascii="Aptos" w:hAnsi="Aptos"/>
                <w:sz w:val="16"/>
              </w:rPr>
              <w:t>Cannot be deferred if occupancy increases.</w:t>
            </w:r>
          </w:p>
        </w:tc>
        <w:tc>
          <w:tcPr>
            <w:tcW w:type="dxa" w:w="2592"/>
            <w:vAlign w:val="top"/>
          </w:tcPr>
          <w:p>
            <w:pPr>
              <w:spacing w:after="20"/>
            </w:pPr>
            <w:r>
              <w:rPr>
                <w:rFonts w:ascii="Aptos" w:hAnsi="Aptos"/>
                <w:sz w:val="16"/>
              </w:rPr>
              <w:t>Board life safety gate.</w:t>
            </w:r>
          </w:p>
        </w:tc>
      </w:tr>
      <w:tr>
        <w:tc>
          <w:tcPr>
            <w:tcW w:type="dxa" w:w="2592"/>
            <w:vAlign w:val="top"/>
          </w:tcPr>
          <w:p>
            <w:pPr>
              <w:spacing w:after="20"/>
            </w:pPr>
            <w:r>
              <w:rPr>
                <w:rFonts w:ascii="Aptos" w:hAnsi="Aptos"/>
                <w:sz w:val="16"/>
              </w:rPr>
              <w:t>Core industrial support</w:t>
            </w:r>
          </w:p>
        </w:tc>
        <w:tc>
          <w:tcPr>
            <w:tcW w:type="dxa" w:w="2592"/>
            <w:vAlign w:val="top"/>
          </w:tcPr>
          <w:p>
            <w:pPr>
              <w:spacing w:after="20"/>
            </w:pPr>
            <w:r>
              <w:rPr>
                <w:rFonts w:ascii="Aptos" w:hAnsi="Aptos"/>
                <w:sz w:val="16"/>
              </w:rPr>
              <w:t>Surface mineral processing starter lines, surface spaceport baseline, seismic monitoring, solar farm starter block.</w:t>
            </w:r>
          </w:p>
        </w:tc>
        <w:tc>
          <w:tcPr>
            <w:tcW w:type="dxa" w:w="2592"/>
            <w:vAlign w:val="top"/>
          </w:tcPr>
          <w:p>
            <w:pPr>
              <w:spacing w:after="20"/>
            </w:pPr>
            <w:r>
              <w:rPr>
                <w:rFonts w:ascii="Aptos" w:hAnsi="Aptos"/>
                <w:sz w:val="16"/>
              </w:rPr>
              <w:t>Can proceed in parallel if it does not consume life safety contingency.</w:t>
            </w:r>
          </w:p>
        </w:tc>
        <w:tc>
          <w:tcPr>
            <w:tcW w:type="dxa" w:w="2592"/>
            <w:vAlign w:val="top"/>
          </w:tcPr>
          <w:p>
            <w:pPr>
              <w:spacing w:after="20"/>
            </w:pPr>
            <w:r>
              <w:rPr>
                <w:rFonts w:ascii="Aptos" w:hAnsi="Aptos"/>
                <w:sz w:val="16"/>
              </w:rPr>
              <w:t>Program management gate.</w:t>
            </w:r>
          </w:p>
        </w:tc>
      </w:tr>
      <w:tr>
        <w:tc>
          <w:tcPr>
            <w:tcW w:type="dxa" w:w="2592"/>
            <w:vAlign w:val="top"/>
          </w:tcPr>
          <w:p>
            <w:pPr>
              <w:spacing w:after="20"/>
            </w:pPr>
            <w:r>
              <w:rPr>
                <w:rFonts w:ascii="Aptos" w:hAnsi="Aptos"/>
                <w:sz w:val="16"/>
              </w:rPr>
              <w:t>Strategic archive</w:t>
            </w:r>
          </w:p>
        </w:tc>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Can proceed when isolated utility and biosecurity design are complete.</w:t>
            </w:r>
          </w:p>
        </w:tc>
        <w:tc>
          <w:tcPr>
            <w:tcW w:type="dxa" w:w="2592"/>
            <w:vAlign w:val="top"/>
          </w:tcPr>
          <w:p>
            <w:pPr>
              <w:spacing w:after="20"/>
            </w:pPr>
            <w:r>
              <w:rPr>
                <w:rFonts w:ascii="Aptos" w:hAnsi="Aptos"/>
                <w:sz w:val="16"/>
              </w:rPr>
              <w:t>Biosecurity and archive gate.</w:t>
            </w:r>
          </w:p>
        </w:tc>
      </w:tr>
      <w:tr>
        <w:tc>
          <w:tcPr>
            <w:tcW w:type="dxa" w:w="2592"/>
            <w:vAlign w:val="top"/>
          </w:tcPr>
          <w:p>
            <w:pPr>
              <w:spacing w:after="20"/>
            </w:pPr>
            <w:r>
              <w:rPr>
                <w:rFonts w:ascii="Aptos" w:hAnsi="Aptos"/>
                <w:sz w:val="16"/>
              </w:rPr>
              <w:t>Expansion industrial</w:t>
            </w:r>
          </w:p>
        </w:tc>
        <w:tc>
          <w:tcPr>
            <w:tcW w:type="dxa" w:w="2592"/>
            <w:vAlign w:val="top"/>
          </w:tcPr>
          <w:p>
            <w:pPr>
              <w:spacing w:after="20"/>
            </w:pPr>
            <w:r>
              <w:rPr>
                <w:rFonts w:ascii="Aptos" w:hAnsi="Aptos"/>
                <w:sz w:val="16"/>
              </w:rPr>
              <w:t>Hyperloop EM launch rail, microwave power receiver scale-up, mineral processing expansion.</w:t>
            </w:r>
          </w:p>
        </w:tc>
        <w:tc>
          <w:tcPr>
            <w:tcW w:type="dxa" w:w="2592"/>
            <w:vAlign w:val="top"/>
          </w:tcPr>
          <w:p>
            <w:pPr>
              <w:spacing w:after="20"/>
            </w:pPr>
            <w:r>
              <w:rPr>
                <w:rFonts w:ascii="Aptos" w:hAnsi="Aptos"/>
                <w:sz w:val="16"/>
              </w:rPr>
              <w:t>Deferred from occupancy critical path.</w:t>
            </w:r>
          </w:p>
        </w:tc>
        <w:tc>
          <w:tcPr>
            <w:tcW w:type="dxa" w:w="2592"/>
            <w:vAlign w:val="top"/>
          </w:tcPr>
          <w:p>
            <w:pPr>
              <w:spacing w:after="20"/>
            </w:pPr>
            <w:r>
              <w:rPr>
                <w:rFonts w:ascii="Aptos" w:hAnsi="Aptos"/>
                <w:sz w:val="16"/>
              </w:rPr>
              <w:t>Industrial expansion gate.</w:t>
            </w:r>
          </w:p>
        </w:tc>
      </w:tr>
      <w:tr>
        <w:tc>
          <w:tcPr>
            <w:tcW w:type="dxa" w:w="2592"/>
            <w:vAlign w:val="top"/>
          </w:tcPr>
          <w:p>
            <w:pPr>
              <w:spacing w:after="20"/>
            </w:pPr>
            <w:r>
              <w:rPr>
                <w:rFonts w:ascii="Aptos" w:hAnsi="Aptos"/>
                <w:sz w:val="16"/>
              </w:rPr>
              <w:t>Derivative off world</w:t>
            </w:r>
          </w:p>
        </w:tc>
        <w:tc>
          <w:tcPr>
            <w:tcW w:type="dxa" w:w="2592"/>
            <w:vAlign w:val="top"/>
          </w:tcPr>
          <w:p>
            <w:pPr>
              <w:spacing w:after="20"/>
            </w:pPr>
            <w:r>
              <w:rPr>
                <w:rFonts w:ascii="Aptos" w:hAnsi="Aptos"/>
                <w:sz w:val="16"/>
              </w:rPr>
              <w:t>Mars installation, Ceres CAMW, Venus V-GPAM, Venus V-OTIP.</w:t>
            </w:r>
          </w:p>
        </w:tc>
        <w:tc>
          <w:tcPr>
            <w:tcW w:type="dxa" w:w="2592"/>
            <w:vAlign w:val="top"/>
          </w:tcPr>
          <w:p>
            <w:pPr>
              <w:spacing w:after="20"/>
            </w:pPr>
            <w:r>
              <w:rPr>
                <w:rFonts w:ascii="Aptos" w:hAnsi="Aptos"/>
                <w:sz w:val="16"/>
              </w:rPr>
              <w:t>Concept and preliminary design can proceed. Major procurement requires lunar core gates green.</w:t>
            </w:r>
          </w:p>
        </w:tc>
        <w:tc>
          <w:tcPr>
            <w:tcW w:type="dxa" w:w="2592"/>
            <w:vAlign w:val="top"/>
          </w:tcPr>
          <w:p>
            <w:pPr>
              <w:spacing w:after="20"/>
            </w:pPr>
            <w:r>
              <w:rPr>
                <w:rFonts w:ascii="Aptos" w:hAnsi="Aptos"/>
                <w:sz w:val="16"/>
              </w:rPr>
              <w:t>Portfolio gate.</w:t>
            </w:r>
          </w:p>
        </w:tc>
      </w:tr>
    </w:tbl>
    <w:p/>
    <w:p>
      <w:pPr>
        <w:pStyle w:val="Heading2"/>
        <w:spacing w:before="200" w:after="120"/>
      </w:pPr>
      <w:r>
        <w:rPr>
          <w:rFonts w:ascii="Aptos" w:hAnsi="Aptos"/>
          <w:b/>
          <w:color w:val="365F91"/>
          <w:sz w:val="26"/>
        </w:rPr>
        <w:t>19.9 Immediate Action Register</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Action ID</w:t>
            </w:r>
          </w:p>
        </w:tc>
        <w:tc>
          <w:tcPr>
            <w:tcW w:type="dxa" w:w="2592"/>
            <w:vAlign w:val="center"/>
            <w:shd w:fill="1F4E79"/>
          </w:tcPr>
          <w:p>
            <w:r>
              <w:rPr>
                <w:rFonts w:ascii="Aptos" w:hAnsi="Aptos"/>
                <w:b/>
                <w:color w:val="FFFFFF"/>
                <w:sz w:val="17"/>
              </w:rPr>
              <w:t>Action</w:t>
            </w:r>
          </w:p>
        </w:tc>
        <w:tc>
          <w:tcPr>
            <w:tcW w:type="dxa" w:w="2592"/>
            <w:vAlign w:val="center"/>
            <w:shd w:fill="1F4E79"/>
          </w:tcPr>
          <w:p>
            <w:r>
              <w:rPr>
                <w:rFonts w:ascii="Aptos" w:hAnsi="Aptos"/>
                <w:b/>
                <w:color w:val="FFFFFF"/>
                <w:sz w:val="17"/>
              </w:rPr>
              <w:t>Owner</w:t>
            </w:r>
          </w:p>
        </w:tc>
        <w:tc>
          <w:tcPr>
            <w:tcW w:type="dxa" w:w="2592"/>
            <w:vAlign w:val="center"/>
            <w:shd w:fill="1F4E79"/>
          </w:tcPr>
          <w:p>
            <w:r>
              <w:rPr>
                <w:rFonts w:ascii="Aptos" w:hAnsi="Aptos"/>
                <w:b/>
                <w:color w:val="FFFFFF"/>
                <w:sz w:val="17"/>
              </w:rPr>
              <w:t>Due Point</w:t>
            </w:r>
          </w:p>
        </w:tc>
      </w:tr>
      <w:tr>
        <w:tc>
          <w:tcPr>
            <w:tcW w:type="dxa" w:w="2592"/>
            <w:vAlign w:val="top"/>
          </w:tcPr>
          <w:p>
            <w:pPr>
              <w:spacing w:after="20"/>
            </w:pPr>
            <w:r>
              <w:rPr>
                <w:rFonts w:ascii="Aptos" w:hAnsi="Aptos"/>
                <w:sz w:val="16"/>
              </w:rPr>
              <w:t>A-2.9-1</w:t>
            </w:r>
          </w:p>
        </w:tc>
        <w:tc>
          <w:tcPr>
            <w:tcW w:type="dxa" w:w="2592"/>
            <w:vAlign w:val="top"/>
          </w:tcPr>
          <w:p>
            <w:pPr>
              <w:spacing w:after="20"/>
            </w:pPr>
            <w:r>
              <w:rPr>
                <w:rFonts w:ascii="Aptos" w:hAnsi="Aptos"/>
                <w:sz w:val="16"/>
              </w:rPr>
              <w:t>Create formal interface control documents for all new systems.</w:t>
            </w:r>
          </w:p>
        </w:tc>
        <w:tc>
          <w:tcPr>
            <w:tcW w:type="dxa" w:w="2592"/>
            <w:vAlign w:val="top"/>
          </w:tcPr>
          <w:p>
            <w:pPr>
              <w:spacing w:after="20"/>
            </w:pPr>
            <w:r>
              <w:rPr>
                <w:rFonts w:ascii="Aptos" w:hAnsi="Aptos"/>
                <w:sz w:val="16"/>
              </w:rPr>
              <w:t>Systems Engineering</w:t>
            </w:r>
          </w:p>
        </w:tc>
        <w:tc>
          <w:tcPr>
            <w:tcW w:type="dxa" w:w="2592"/>
            <w:vAlign w:val="top"/>
          </w:tcPr>
          <w:p>
            <w:pPr>
              <w:spacing w:after="20"/>
            </w:pPr>
            <w:r>
              <w:rPr>
                <w:rFonts w:ascii="Aptos" w:hAnsi="Aptos"/>
                <w:sz w:val="16"/>
              </w:rPr>
              <w:t>30 to 60 days after approval.</w:t>
            </w:r>
          </w:p>
        </w:tc>
      </w:tr>
      <w:tr>
        <w:tc>
          <w:tcPr>
            <w:tcW w:type="dxa" w:w="2592"/>
            <w:vAlign w:val="top"/>
          </w:tcPr>
          <w:p>
            <w:pPr>
              <w:spacing w:after="20"/>
            </w:pPr>
            <w:r>
              <w:rPr>
                <w:rFonts w:ascii="Aptos" w:hAnsi="Aptos"/>
                <w:sz w:val="16"/>
              </w:rPr>
              <w:t>A-2.9-2</w:t>
            </w:r>
          </w:p>
        </w:tc>
        <w:tc>
          <w:tcPr>
            <w:tcW w:type="dxa" w:w="2592"/>
            <w:vAlign w:val="top"/>
          </w:tcPr>
          <w:p>
            <w:pPr>
              <w:spacing w:after="20"/>
            </w:pPr>
            <w:r>
              <w:rPr>
                <w:rFonts w:ascii="Aptos" w:hAnsi="Aptos"/>
                <w:sz w:val="16"/>
              </w:rPr>
              <w:t>Separate life safety critical path from industrial expansion schedule.</w:t>
            </w:r>
          </w:p>
        </w:tc>
        <w:tc>
          <w:tcPr>
            <w:tcW w:type="dxa" w:w="2592"/>
            <w:vAlign w:val="top"/>
          </w:tcPr>
          <w:p>
            <w:pPr>
              <w:spacing w:after="20"/>
            </w:pPr>
            <w:r>
              <w:rPr>
                <w:rFonts w:ascii="Aptos" w:hAnsi="Aptos"/>
                <w:sz w:val="16"/>
              </w:rPr>
              <w:t>Program Controls</w:t>
            </w:r>
          </w:p>
        </w:tc>
        <w:tc>
          <w:tcPr>
            <w:tcW w:type="dxa" w:w="2592"/>
            <w:vAlign w:val="top"/>
          </w:tcPr>
          <w:p>
            <w:pPr>
              <w:spacing w:after="20"/>
            </w:pPr>
            <w:r>
              <w:rPr>
                <w:rFonts w:ascii="Aptos" w:hAnsi="Aptos"/>
                <w:sz w:val="16"/>
              </w:rPr>
              <w:t>Next schedule baseline update.</w:t>
            </w:r>
          </w:p>
        </w:tc>
      </w:tr>
      <w:tr>
        <w:tc>
          <w:tcPr>
            <w:tcW w:type="dxa" w:w="2592"/>
            <w:vAlign w:val="top"/>
          </w:tcPr>
          <w:p>
            <w:pPr>
              <w:spacing w:after="20"/>
            </w:pPr>
            <w:r>
              <w:rPr>
                <w:rFonts w:ascii="Aptos" w:hAnsi="Aptos"/>
                <w:sz w:val="16"/>
              </w:rPr>
              <w:t>A-2.9-3</w:t>
            </w:r>
          </w:p>
        </w:tc>
        <w:tc>
          <w:tcPr>
            <w:tcW w:type="dxa" w:w="2592"/>
            <w:vAlign w:val="top"/>
          </w:tcPr>
          <w:p>
            <w:pPr>
              <w:spacing w:after="20"/>
            </w:pPr>
            <w:r>
              <w:rPr>
                <w:rFonts w:ascii="Aptos" w:hAnsi="Aptos"/>
                <w:sz w:val="16"/>
              </w:rPr>
              <w:t>Create Biodiversity Vault biosecurity and chain of custody plan.</w:t>
            </w:r>
          </w:p>
        </w:tc>
        <w:tc>
          <w:tcPr>
            <w:tcW w:type="dxa" w:w="2592"/>
            <w:vAlign w:val="top"/>
          </w:tcPr>
          <w:p>
            <w:pPr>
              <w:spacing w:after="20"/>
            </w:pPr>
            <w:r>
              <w:rPr>
                <w:rFonts w:ascii="Aptos" w:hAnsi="Aptos"/>
                <w:sz w:val="16"/>
              </w:rPr>
              <w:t>Science, Medical, Safety</w:t>
            </w:r>
          </w:p>
        </w:tc>
        <w:tc>
          <w:tcPr>
            <w:tcW w:type="dxa" w:w="2592"/>
            <w:vAlign w:val="top"/>
          </w:tcPr>
          <w:p>
            <w:pPr>
              <w:spacing w:after="20"/>
            </w:pPr>
            <w:r>
              <w:rPr>
                <w:rFonts w:ascii="Aptos" w:hAnsi="Aptos"/>
                <w:sz w:val="16"/>
              </w:rPr>
              <w:t>Before vault schematic design.</w:t>
            </w:r>
          </w:p>
        </w:tc>
      </w:tr>
      <w:tr>
        <w:tc>
          <w:tcPr>
            <w:tcW w:type="dxa" w:w="2592"/>
            <w:vAlign w:val="top"/>
          </w:tcPr>
          <w:p>
            <w:pPr>
              <w:spacing w:after="20"/>
            </w:pPr>
            <w:r>
              <w:rPr>
                <w:rFonts w:ascii="Aptos" w:hAnsi="Aptos"/>
                <w:sz w:val="16"/>
              </w:rPr>
              <w:t>A-2.9-4</w:t>
            </w:r>
          </w:p>
        </w:tc>
        <w:tc>
          <w:tcPr>
            <w:tcW w:type="dxa" w:w="2592"/>
            <w:vAlign w:val="top"/>
          </w:tcPr>
          <w:p>
            <w:pPr>
              <w:spacing w:after="20"/>
            </w:pPr>
            <w:r>
              <w:rPr>
                <w:rFonts w:ascii="Aptos" w:hAnsi="Aptos"/>
                <w:sz w:val="16"/>
              </w:rPr>
              <w:t>Create Mars derivative modification matrix from lunar design parent.</w:t>
            </w:r>
          </w:p>
        </w:tc>
        <w:tc>
          <w:tcPr>
            <w:tcW w:type="dxa" w:w="2592"/>
            <w:vAlign w:val="top"/>
          </w:tcPr>
          <w:p>
            <w:pPr>
              <w:spacing w:after="20"/>
            </w:pPr>
            <w:r>
              <w:rPr>
                <w:rFonts w:ascii="Aptos" w:hAnsi="Aptos"/>
                <w:sz w:val="16"/>
              </w:rPr>
              <w:t>Mars Systems Team</w:t>
            </w:r>
          </w:p>
        </w:tc>
        <w:tc>
          <w:tcPr>
            <w:tcW w:type="dxa" w:w="2592"/>
            <w:vAlign w:val="top"/>
          </w:tcPr>
          <w:p>
            <w:pPr>
              <w:spacing w:after="20"/>
            </w:pPr>
            <w:r>
              <w:rPr>
                <w:rFonts w:ascii="Aptos" w:hAnsi="Aptos"/>
                <w:sz w:val="16"/>
              </w:rPr>
              <w:t>Before Mars PDR package.</w:t>
            </w:r>
          </w:p>
        </w:tc>
      </w:tr>
      <w:tr>
        <w:tc>
          <w:tcPr>
            <w:tcW w:type="dxa" w:w="2592"/>
            <w:vAlign w:val="top"/>
          </w:tcPr>
          <w:p>
            <w:pPr>
              <w:spacing w:after="20"/>
            </w:pPr>
            <w:r>
              <w:rPr>
                <w:rFonts w:ascii="Aptos" w:hAnsi="Aptos"/>
                <w:sz w:val="16"/>
              </w:rPr>
              <w:t>A-2.9-5</w:t>
            </w:r>
          </w:p>
        </w:tc>
        <w:tc>
          <w:tcPr>
            <w:tcW w:type="dxa" w:w="2592"/>
            <w:vAlign w:val="top"/>
          </w:tcPr>
          <w:p>
            <w:pPr>
              <w:spacing w:after="20"/>
            </w:pPr>
            <w:r>
              <w:rPr>
                <w:rFonts w:ascii="Aptos" w:hAnsi="Aptos"/>
                <w:sz w:val="16"/>
              </w:rPr>
              <w:t>Create Ceres and Venus autonomy safety cases.</w:t>
            </w:r>
          </w:p>
        </w:tc>
        <w:tc>
          <w:tcPr>
            <w:tcW w:type="dxa" w:w="2592"/>
            <w:vAlign w:val="top"/>
          </w:tcPr>
          <w:p>
            <w:pPr>
              <w:spacing w:after="20"/>
            </w:pPr>
            <w:r>
              <w:rPr>
                <w:rFonts w:ascii="Aptos" w:hAnsi="Aptos"/>
                <w:sz w:val="16"/>
              </w:rPr>
              <w:t>Autonomy and Mission Assurance</w:t>
            </w:r>
          </w:p>
        </w:tc>
        <w:tc>
          <w:tcPr>
            <w:tcW w:type="dxa" w:w="2592"/>
            <w:vAlign w:val="top"/>
          </w:tcPr>
          <w:p>
            <w:pPr>
              <w:spacing w:after="20"/>
            </w:pPr>
            <w:r>
              <w:rPr>
                <w:rFonts w:ascii="Aptos" w:hAnsi="Aptos"/>
                <w:sz w:val="16"/>
              </w:rPr>
              <w:t>Before robotic deployment design freeze.</w:t>
            </w:r>
          </w:p>
        </w:tc>
      </w:tr>
      <w:tr>
        <w:tc>
          <w:tcPr>
            <w:tcW w:type="dxa" w:w="2592"/>
            <w:vAlign w:val="top"/>
          </w:tcPr>
          <w:p>
            <w:pPr>
              <w:spacing w:after="20"/>
            </w:pPr>
            <w:r>
              <w:rPr>
                <w:rFonts w:ascii="Aptos" w:hAnsi="Aptos"/>
                <w:sz w:val="16"/>
              </w:rPr>
              <w:t>A-2.9-6</w:t>
            </w:r>
          </w:p>
        </w:tc>
        <w:tc>
          <w:tcPr>
            <w:tcW w:type="dxa" w:w="2592"/>
            <w:vAlign w:val="top"/>
          </w:tcPr>
          <w:p>
            <w:pPr>
              <w:spacing w:after="20"/>
            </w:pPr>
            <w:r>
              <w:rPr>
                <w:rFonts w:ascii="Aptos" w:hAnsi="Aptos"/>
                <w:sz w:val="16"/>
              </w:rPr>
              <w:t>Update board financial model to include optional and deferred packages separately.</w:t>
            </w:r>
          </w:p>
        </w:tc>
        <w:tc>
          <w:tcPr>
            <w:tcW w:type="dxa" w:w="2592"/>
            <w:vAlign w:val="top"/>
          </w:tcPr>
          <w:p>
            <w:pPr>
              <w:spacing w:after="20"/>
            </w:pPr>
            <w:r>
              <w:rPr>
                <w:rFonts w:ascii="Aptos" w:hAnsi="Aptos"/>
                <w:sz w:val="16"/>
              </w:rPr>
              <w:t>Finance and Program Controls</w:t>
            </w:r>
          </w:p>
        </w:tc>
        <w:tc>
          <w:tcPr>
            <w:tcW w:type="dxa" w:w="2592"/>
            <w:vAlign w:val="top"/>
          </w:tcPr>
          <w:p>
            <w:pPr>
              <w:spacing w:after="20"/>
            </w:pPr>
            <w:r>
              <w:rPr>
                <w:rFonts w:ascii="Aptos" w:hAnsi="Aptos"/>
                <w:sz w:val="16"/>
              </w:rPr>
              <w:t>Before next funding gate.</w:t>
            </w:r>
          </w:p>
        </w:tc>
      </w:tr>
    </w:tbl>
    <w:p/>
    <w:p>
      <w:pPr>
        <w:pStyle w:val="Heading2"/>
        <w:spacing w:before="200" w:after="120"/>
      </w:pPr>
      <w:r>
        <w:rPr>
          <w:rFonts w:ascii="Aptos" w:hAnsi="Aptos"/>
          <w:b/>
          <w:color w:val="365F91"/>
          <w:sz w:val="26"/>
        </w:rPr>
        <w:t>19.10 Rev 2.9 Reference Additions</w:t>
      </w:r>
    </w:p>
    <w:p>
      <w:pPr>
        <w:pStyle w:val="ListBullet"/>
      </w:pPr>
      <w:r>
        <w:rPr>
          <w:rFonts w:ascii="Aptos" w:hAnsi="Aptos"/>
          <w:sz w:val="20"/>
        </w:rPr>
        <w:t>NASA. Moon to Mars Architecture Definition Documents. Official architecture page describing annual updates to the Moon to Mars Architecture.</w:t>
      </w:r>
    </w:p>
    <w:p>
      <w:pPr>
        <w:pStyle w:val="ListBullet"/>
      </w:pPr>
      <w:r>
        <w:rPr>
          <w:rFonts w:ascii="Aptos" w:hAnsi="Aptos"/>
          <w:sz w:val="20"/>
        </w:rPr>
        <w:t>NASA. 2025 Moon to Mars Architecture update. Public update notes inclusion of lunar robotic mobility and nuclear fission power elements.</w:t>
      </w:r>
    </w:p>
    <w:p>
      <w:pPr>
        <w:pStyle w:val="ListBullet"/>
      </w:pPr>
      <w:r>
        <w:rPr>
          <w:rFonts w:ascii="Aptos" w:hAnsi="Aptos"/>
          <w:sz w:val="20"/>
        </w:rPr>
        <w:t>NASA. Moon Base Architecture Users Guide, April 2026. Public lunar base architecture planning reference.</w:t>
      </w:r>
    </w:p>
    <w:p>
      <w:pPr>
        <w:pStyle w:val="ListBullet"/>
      </w:pPr>
      <w:r>
        <w:rPr>
          <w:rFonts w:ascii="Aptos" w:hAnsi="Aptos"/>
          <w:sz w:val="20"/>
        </w:rPr>
        <w:t>NASA and Department of Energy. Lunar surface reactor development announcement, January 2026. Supports sustained lunar missions with continuous power.</w:t>
      </w:r>
    </w:p>
    <w:p>
      <w:pPr>
        <w:pStyle w:val="ListBullet"/>
      </w:pPr>
      <w:r>
        <w:rPr>
          <w:rFonts w:ascii="Aptos" w:hAnsi="Aptos"/>
          <w:sz w:val="20"/>
        </w:rPr>
        <w:t>NASA. Lunar Environment Monitoring Station. LEMS is a candidate Artemis payload for long-term monitoring of the lunar seismic environment.</w:t>
      </w:r>
    </w:p>
    <w:p>
      <w:pPr>
        <w:pStyle w:val="ListBullet"/>
      </w:pPr>
      <w:r>
        <w:rPr>
          <w:rFonts w:ascii="Aptos" w:hAnsi="Aptos"/>
          <w:sz w:val="20"/>
        </w:rPr>
        <w:t>NASA. MOXIE Mars oxygen generating experiment completed mission. Mars ISRU oxygen production from atmospheric CO2 demonstrated aboard Perseverance.</w:t>
      </w:r>
    </w:p>
    <w:p>
      <w:pPr>
        <w:pStyle w:val="ListBullet"/>
      </w:pPr>
      <w:r>
        <w:rPr>
          <w:rFonts w:ascii="Aptos" w:hAnsi="Aptos"/>
          <w:sz w:val="20"/>
        </w:rPr>
        <w:t>NASA Dawn mission and JPL Ceres results. Water ice, hydrated sodium carbonates, clays, and organics support Ceres volatile and chemistry interest.</w:t>
      </w:r>
    </w:p>
    <w:p>
      <w:pPr>
        <w:pStyle w:val="ListBullet"/>
      </w:pPr>
      <w:r>
        <w:rPr>
          <w:rFonts w:ascii="Aptos" w:hAnsi="Aptos"/>
          <w:sz w:val="20"/>
        </w:rPr>
        <w:t>NASA HAVOC concept and NTRS paper. Venus upper atmospheric airship architecture supports the selection of an afloat module rather than surface mining as first Venus infrastructure.</w:t>
      </w:r>
    </w:p>
    <w:p>
      <w:pPr>
        <w:pStyle w:val="ListBullet"/>
      </w:pPr>
      <w:r>
        <w:rPr>
          <w:rFonts w:ascii="Aptos" w:hAnsi="Aptos"/>
          <w:sz w:val="20"/>
        </w:rPr>
        <w:t>NASA Planetary Protection program. Hardware cleanliness and contamination verification practices support Mars, Ceres, Venus, and Biodiversity Vault contamination control requirements.</w:t>
      </w:r>
    </w:p>
    <w:p>
      <w:pPr>
        <w:pStyle w:val="Heading2"/>
        <w:spacing w:before="200" w:after="120"/>
      </w:pPr>
      <w:r>
        <w:rPr>
          <w:rFonts w:ascii="Aptos" w:hAnsi="Aptos"/>
          <w:b/>
          <w:color w:val="365F91"/>
          <w:sz w:val="26"/>
        </w:rPr>
        <w:t>19.11 Rev 2.9 Governing Requirements</w:t>
      </w:r>
    </w:p>
    <w:p>
      <w:pPr>
        <w:pStyle w:val="ListBullet"/>
      </w:pPr>
      <w:r>
        <w:rPr>
          <w:rFonts w:ascii="Aptos" w:hAnsi="Aptos"/>
          <w:sz w:val="20"/>
        </w:rPr>
        <w:t>The Moon shall remain the primary authority for ISRU production allocation, reserve protection, traffic priority, and portfolio governance.</w:t>
      </w:r>
    </w:p>
    <w:p>
      <w:pPr>
        <w:pStyle w:val="ListBullet"/>
      </w:pPr>
      <w:r>
        <w:rPr>
          <w:rFonts w:ascii="Aptos" w:hAnsi="Aptos"/>
          <w:sz w:val="20"/>
        </w:rPr>
        <w:t>No Mars, Ceres, Venus, spaceport, launch rail, microwave, solar, seismic, biodiversity, or mineral processing expansion may reduce lunar Phase 1 refuge, evacuation, water, oxygen, medical, command, or emergency power compliance.</w:t>
      </w:r>
    </w:p>
    <w:p>
      <w:pPr>
        <w:pStyle w:val="ListBullet"/>
      </w:pPr>
      <w:r>
        <w:rPr>
          <w:rFonts w:ascii="Aptos" w:hAnsi="Aptos"/>
          <w:sz w:val="20"/>
        </w:rPr>
        <w:t>All derivative systems shall have interface control documents before preliminary design review.</w:t>
      </w:r>
    </w:p>
    <w:p>
      <w:pPr>
        <w:pStyle w:val="ListBullet"/>
      </w:pPr>
      <w:r>
        <w:rPr>
          <w:rFonts w:ascii="Aptos" w:hAnsi="Aptos"/>
          <w:sz w:val="20"/>
        </w:rPr>
        <w:t>Mars shall use lunar settlement and mineral processing design as a parent architecture only, with Mars specific modifications documented before procurement.</w:t>
      </w:r>
    </w:p>
    <w:p>
      <w:pPr>
        <w:pStyle w:val="ListBullet"/>
      </w:pPr>
      <w:r>
        <w:rPr>
          <w:rFonts w:ascii="Aptos" w:hAnsi="Aptos"/>
          <w:sz w:val="20"/>
        </w:rPr>
        <w:t>The Lunar Biodiversity Vault shall remain isolated from habitat bioload, food production, mineral dust, launch corridors, and routine industrial storage.</w:t>
      </w:r>
    </w:p>
    <w:p>
      <w:pPr>
        <w:pStyle w:val="ListBullet"/>
      </w:pPr>
      <w:r>
        <w:rPr>
          <w:rFonts w:ascii="Aptos" w:hAnsi="Aptos"/>
          <w:sz w:val="20"/>
        </w:rPr>
        <w:t>Ceres CAMW and Venus V-GPAM shall use local safety autonomy because communication delay and environmental hazards prevent real time control from the Moon.</w:t>
      </w:r>
    </w:p>
    <w:p>
      <w:pPr>
        <w:pStyle w:val="ListBullet"/>
      </w:pPr>
      <w:r>
        <w:rPr>
          <w:rFonts w:ascii="Aptos" w:hAnsi="Aptos"/>
          <w:sz w:val="20"/>
        </w:rPr>
        <w:t>Hyperloop EM launch rail certification shall remain outside the 1000 person lunar occupancy critical path until a separate safety case is accepted.</w:t>
      </w:r>
    </w:p>
    <w:p>
      <w:pPr>
        <w:pStyle w:val="ListBullet"/>
      </w:pPr>
      <w:r>
        <w:rPr>
          <w:rFonts w:ascii="Aptos" w:hAnsi="Aptos"/>
          <w:sz w:val="20"/>
        </w:rPr>
        <w:t>Portfolio funding gates shall separate core life safety, core industrial support, strategic archive, expansion industrial, and derivative off world packages.</w:t>
      </w:r>
    </w:p>
    <w:p>
      <w:r>
        <w:br/>
      </w:r>
    </w:p>
    <w:p>
      <w:pPr>
        <w:pStyle w:val="Heading1"/>
      </w:pPr>
      <w:r>
        <w:t>20. Rev 3.0 Complete Project Chat Consolidation and Requirements Traceability Update</w:t>
      </w:r>
    </w:p>
    <w:p>
      <w:pPr>
        <w:spacing w:after="60" w:before="0" w:line="252" w:lineRule="auto"/>
      </w:pPr>
      <w:r>
        <w:rPr>
          <w:sz w:val="19"/>
        </w:rPr>
        <w:t>Review outcome: The accessible project conversation and latest master document were reviewed as one integrated source set. The active architecture remains lunar centric, with the Moon as the primary ISRU control asset, and with Mars, Venus, Ceres, the asteroid belt, and future Mercury assets governed as derivative or expansion systems.</w:t>
      </w:r>
    </w:p>
    <w:p>
      <w:pPr>
        <w:spacing w:after="60" w:before="0" w:line="252" w:lineRule="auto"/>
      </w:pPr>
      <w:r>
        <w:rPr>
          <w:sz w:val="19"/>
        </w:rPr>
        <w:t>No new external technical reference source is introduced by Rev 3.0. Existing NASA, JPL, DOE, USGS, and market reference bases from prior sections remain controlling for factual support. Rev 3.0 is a configuration, traceability, and consolidation update.</w:t>
      </w:r>
    </w:p>
    <w:p>
      <w:pPr>
        <w:pStyle w:val="Heading2"/>
      </w:pPr>
      <w:r>
        <w:t>20.1 Review Scope and Source Set</w:t>
      </w:r>
    </w:p>
    <w:p>
      <w:pPr>
        <w:spacing w:after="60" w:before="0" w:line="252" w:lineRule="auto"/>
      </w:pPr>
      <w:r>
        <w:rPr>
          <w:sz w:val="19"/>
        </w:rPr>
        <w:t>The Rev 3.0 review covers the project conversation history available in this workspace, prior generated master documents through Rev 2.9, the financial model artifact, and all change requests recorded in the current project thread. The purpose is to ensure that no project-level requirement remains outside the master ISRU baseline.</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Source Set</w:t>
            </w:r>
          </w:p>
        </w:tc>
        <w:tc>
          <w:tcPr>
            <w:tcW w:type="dxa" w:w="3456"/>
            <w:vAlign w:val="top"/>
            <w:shd w:fill="D9EAF7"/>
          </w:tcPr>
          <w:p>
            <w:r/>
            <w:r>
              <w:rPr>
                <w:b/>
                <w:sz w:val="14"/>
              </w:rPr>
              <w:t>Use in Rev 3.0</w:t>
            </w:r>
          </w:p>
        </w:tc>
        <w:tc>
          <w:tcPr>
            <w:tcW w:type="dxa" w:w="3456"/>
            <w:vAlign w:val="top"/>
            <w:shd w:fill="D9EAF7"/>
          </w:tcPr>
          <w:p>
            <w:r/>
            <w:r>
              <w:rPr>
                <w:b/>
                <w:sz w:val="14"/>
              </w:rPr>
              <w:t>Control Status</w:t>
            </w:r>
          </w:p>
        </w:tc>
      </w:tr>
      <w:tr>
        <w:tc>
          <w:tcPr>
            <w:tcW w:type="dxa" w:w="3456"/>
            <w:vAlign w:val="top"/>
          </w:tcPr>
          <w:p>
            <w:r/>
            <w:r>
              <w:rPr>
                <w:b w:val="0"/>
                <w:sz w:val="14"/>
              </w:rPr>
              <w:t>Accessible project chat history</w:t>
            </w:r>
          </w:p>
        </w:tc>
        <w:tc>
          <w:tcPr>
            <w:tcW w:type="dxa" w:w="3456"/>
            <w:vAlign w:val="top"/>
          </w:tcPr>
          <w:p>
            <w:r/>
            <w:r>
              <w:rPr>
                <w:b w:val="0"/>
                <w:sz w:val="14"/>
              </w:rPr>
              <w:t>Primary source for requirement changes, design additions, sequencing decisions, and board control logic.</w:t>
            </w:r>
          </w:p>
        </w:tc>
        <w:tc>
          <w:tcPr>
            <w:tcW w:type="dxa" w:w="3456"/>
            <w:vAlign w:val="top"/>
          </w:tcPr>
          <w:p>
            <w:r/>
            <w:r>
              <w:rPr>
                <w:b w:val="0"/>
                <w:sz w:val="14"/>
              </w:rPr>
              <w:t>Consolidated into Section 20 and cross-referenced to existing sections.</w:t>
            </w:r>
          </w:p>
        </w:tc>
      </w:tr>
      <w:tr>
        <w:tc>
          <w:tcPr>
            <w:tcW w:type="dxa" w:w="3456"/>
            <w:vAlign w:val="top"/>
          </w:tcPr>
          <w:p>
            <w:r/>
            <w:r>
              <w:rPr>
                <w:b w:val="0"/>
                <w:sz w:val="14"/>
              </w:rPr>
              <w:t>Master Document Rev 2.9</w:t>
            </w:r>
          </w:p>
        </w:tc>
        <w:tc>
          <w:tcPr>
            <w:tcW w:type="dxa" w:w="3456"/>
            <w:vAlign w:val="top"/>
          </w:tcPr>
          <w:p>
            <w:r/>
            <w:r>
              <w:rPr>
                <w:b w:val="0"/>
                <w:sz w:val="14"/>
              </w:rPr>
              <w:t>Base document for all architecture, WBS, schedule, cost, revenue, risk, governance, and reference content.</w:t>
            </w:r>
          </w:p>
        </w:tc>
        <w:tc>
          <w:tcPr>
            <w:tcW w:type="dxa" w:w="3456"/>
            <w:vAlign w:val="top"/>
          </w:tcPr>
          <w:p>
            <w:r/>
            <w:r>
              <w:rPr>
                <w:b w:val="0"/>
                <w:sz w:val="14"/>
              </w:rPr>
              <w:t>Retained and updated to Rev 3.0.</w:t>
            </w:r>
          </w:p>
        </w:tc>
      </w:tr>
      <w:tr>
        <w:tc>
          <w:tcPr>
            <w:tcW w:type="dxa" w:w="3456"/>
            <w:vAlign w:val="top"/>
          </w:tcPr>
          <w:p>
            <w:r/>
            <w:r>
              <w:rPr>
                <w:b w:val="0"/>
                <w:sz w:val="14"/>
              </w:rPr>
              <w:t>Board financial model workbook</w:t>
            </w:r>
          </w:p>
        </w:tc>
        <w:tc>
          <w:tcPr>
            <w:tcW w:type="dxa" w:w="3456"/>
            <w:vAlign w:val="top"/>
          </w:tcPr>
          <w:p>
            <w:r/>
            <w:r>
              <w:rPr>
                <w:b w:val="0"/>
                <w:sz w:val="14"/>
              </w:rPr>
              <w:t>Supports financing, valuation, dilution, cash flow, and Monte Carlo model continuity.</w:t>
            </w:r>
          </w:p>
        </w:tc>
        <w:tc>
          <w:tcPr>
            <w:tcW w:type="dxa" w:w="3456"/>
            <w:vAlign w:val="top"/>
          </w:tcPr>
          <w:p>
            <w:r/>
            <w:r>
              <w:rPr>
                <w:b w:val="0"/>
                <w:sz w:val="14"/>
              </w:rPr>
              <w:t>Referenced as companion artifact.</w:t>
            </w:r>
          </w:p>
        </w:tc>
      </w:tr>
      <w:tr>
        <w:tc>
          <w:tcPr>
            <w:tcW w:type="dxa" w:w="3456"/>
            <w:vAlign w:val="top"/>
          </w:tcPr>
          <w:p>
            <w:r/>
            <w:r>
              <w:rPr>
                <w:b w:val="0"/>
                <w:sz w:val="14"/>
              </w:rPr>
              <w:t>Prior NASA, JPL, DOE, USGS, and commodity references</w:t>
            </w:r>
          </w:p>
        </w:tc>
        <w:tc>
          <w:tcPr>
            <w:tcW w:type="dxa" w:w="3456"/>
            <w:vAlign w:val="top"/>
          </w:tcPr>
          <w:p>
            <w:r/>
            <w:r>
              <w:rPr>
                <w:b w:val="0"/>
                <w:sz w:val="14"/>
              </w:rPr>
              <w:t>Supports lunar, Mars, Venus, Ceres, asteroid, power, ISRU, and market assumptions.</w:t>
            </w:r>
          </w:p>
        </w:tc>
        <w:tc>
          <w:tcPr>
            <w:tcW w:type="dxa" w:w="3456"/>
            <w:vAlign w:val="top"/>
          </w:tcPr>
          <w:p>
            <w:r/>
            <w:r>
              <w:rPr>
                <w:b w:val="0"/>
                <w:sz w:val="14"/>
              </w:rPr>
              <w:t>No new source update added in Rev 3.0.</w:t>
            </w:r>
          </w:p>
        </w:tc>
      </w:tr>
      <w:tr>
        <w:tc>
          <w:tcPr>
            <w:tcW w:type="dxa" w:w="3456"/>
            <w:vAlign w:val="top"/>
          </w:tcPr>
          <w:p>
            <w:r/>
            <w:r>
              <w:rPr>
                <w:b w:val="0"/>
                <w:sz w:val="14"/>
              </w:rPr>
              <w:t>External project memory retrieval</w:t>
            </w:r>
          </w:p>
        </w:tc>
        <w:tc>
          <w:tcPr>
            <w:tcW w:type="dxa" w:w="3456"/>
            <w:vAlign w:val="top"/>
          </w:tcPr>
          <w:p>
            <w:r/>
            <w:r>
              <w:rPr>
                <w:b w:val="0"/>
                <w:sz w:val="14"/>
              </w:rPr>
              <w:t>Checked for additional project entries outside the current available conversation.</w:t>
            </w:r>
          </w:p>
        </w:tc>
        <w:tc>
          <w:tcPr>
            <w:tcW w:type="dxa" w:w="3456"/>
            <w:vAlign w:val="top"/>
          </w:tcPr>
          <w:p>
            <w:r/>
            <w:r>
              <w:rPr>
                <w:b w:val="0"/>
                <w:sz w:val="14"/>
              </w:rPr>
              <w:t>No additional entries returned. Current workspace record remains controlling.</w:t>
            </w:r>
          </w:p>
        </w:tc>
      </w:tr>
    </w:tbl>
    <w:p>
      <w:pPr>
        <w:spacing w:after="20"/>
      </w:pPr>
    </w:p>
    <w:p>
      <w:pPr>
        <w:pStyle w:val="Heading2"/>
      </w:pPr>
      <w:r>
        <w:t>20.2 Consolidated Project Change Register</w:t>
      </w:r>
    </w:p>
    <w:p>
      <w:pPr>
        <w:spacing w:after="60" w:before="0" w:line="252" w:lineRule="auto"/>
      </w:pPr>
      <w:r>
        <w:rPr>
          <w:sz w:val="19"/>
        </w:rPr>
        <w:t>The following register reconciles the major project changes from the conversation record with the current master baseline. Each item is treated as active unless explicitly marked deferred.</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Change Area</w:t>
            </w:r>
          </w:p>
        </w:tc>
        <w:tc>
          <w:tcPr>
            <w:tcW w:type="dxa" w:w="2592"/>
            <w:vAlign w:val="top"/>
            <w:shd w:fill="D9EAF7"/>
          </w:tcPr>
          <w:p>
            <w:r/>
            <w:r>
              <w:rPr>
                <w:b/>
                <w:sz w:val="13"/>
              </w:rPr>
              <w:t>Integrated Requirement</w:t>
            </w:r>
          </w:p>
        </w:tc>
        <w:tc>
          <w:tcPr>
            <w:tcW w:type="dxa" w:w="2592"/>
            <w:vAlign w:val="top"/>
            <w:shd w:fill="D9EAF7"/>
          </w:tcPr>
          <w:p>
            <w:r/>
            <w:r>
              <w:rPr>
                <w:b/>
                <w:sz w:val="13"/>
              </w:rPr>
              <w:t>Primary Location</w:t>
            </w:r>
          </w:p>
        </w:tc>
        <w:tc>
          <w:tcPr>
            <w:tcW w:type="dxa" w:w="2592"/>
            <w:vAlign w:val="top"/>
            <w:shd w:fill="D9EAF7"/>
          </w:tcPr>
          <w:p>
            <w:r/>
            <w:r>
              <w:rPr>
                <w:b/>
                <w:sz w:val="13"/>
              </w:rPr>
              <w:t>Status</w:t>
            </w:r>
          </w:p>
        </w:tc>
      </w:tr>
      <w:tr>
        <w:tc>
          <w:tcPr>
            <w:tcW w:type="dxa" w:w="2592"/>
            <w:vAlign w:val="top"/>
          </w:tcPr>
          <w:p>
            <w:r/>
            <w:r>
              <w:rPr>
                <w:b w:val="0"/>
                <w:sz w:val="13"/>
              </w:rPr>
              <w:t>Moon primary control asset</w:t>
            </w:r>
          </w:p>
        </w:tc>
        <w:tc>
          <w:tcPr>
            <w:tcW w:type="dxa" w:w="2592"/>
            <w:vAlign w:val="top"/>
          </w:tcPr>
          <w:p>
            <w:r/>
            <w:r>
              <w:rPr>
                <w:b w:val="0"/>
                <w:sz w:val="13"/>
              </w:rPr>
              <w:t>Moon became the primary ISRU command, logistics, safety, and traffic control node.</w:t>
            </w:r>
          </w:p>
        </w:tc>
        <w:tc>
          <w:tcPr>
            <w:tcW w:type="dxa" w:w="2592"/>
            <w:vAlign w:val="top"/>
          </w:tcPr>
          <w:p>
            <w:r/>
            <w:r>
              <w:rPr>
                <w:b w:val="0"/>
                <w:sz w:val="13"/>
              </w:rPr>
              <w:t>Sections 2, 3, 5, 7, 19, 20</w:t>
            </w:r>
          </w:p>
        </w:tc>
        <w:tc>
          <w:tcPr>
            <w:tcW w:type="dxa" w:w="2592"/>
            <w:vAlign w:val="top"/>
          </w:tcPr>
          <w:p>
            <w:r/>
            <w:r>
              <w:rPr>
                <w:b w:val="0"/>
                <w:sz w:val="13"/>
              </w:rPr>
              <w:t>Active, controlling.</w:t>
            </w:r>
          </w:p>
        </w:tc>
      </w:tr>
      <w:tr>
        <w:tc>
          <w:tcPr>
            <w:tcW w:type="dxa" w:w="2592"/>
            <w:vAlign w:val="top"/>
          </w:tcPr>
          <w:p>
            <w:r/>
            <w:r>
              <w:rPr>
                <w:b w:val="0"/>
                <w:sz w:val="13"/>
              </w:rPr>
              <w:t>Phase 4 redefined</w:t>
            </w:r>
          </w:p>
        </w:tc>
        <w:tc>
          <w:tcPr>
            <w:tcW w:type="dxa" w:w="2592"/>
            <w:vAlign w:val="top"/>
          </w:tcPr>
          <w:p>
            <w:r/>
            <w:r>
              <w:rPr>
                <w:b w:val="0"/>
                <w:sz w:val="13"/>
              </w:rPr>
              <w:t>Phase 4 changed to Inner System Scaling, including Mars and Venus, with Mercury as a future asset pending thermal protection advances.</w:t>
            </w:r>
          </w:p>
        </w:tc>
        <w:tc>
          <w:tcPr>
            <w:tcW w:type="dxa" w:w="2592"/>
            <w:vAlign w:val="top"/>
          </w:tcPr>
          <w:p>
            <w:r/>
            <w:r>
              <w:rPr>
                <w:b w:val="0"/>
                <w:sz w:val="13"/>
              </w:rPr>
              <w:t>Sections 3, 18, 19</w:t>
            </w:r>
          </w:p>
        </w:tc>
        <w:tc>
          <w:tcPr>
            <w:tcW w:type="dxa" w:w="2592"/>
            <w:vAlign w:val="top"/>
          </w:tcPr>
          <w:p>
            <w:r/>
            <w:r>
              <w:rPr>
                <w:b w:val="0"/>
                <w:sz w:val="13"/>
              </w:rPr>
              <w:t>Active, Mercury deferred.</w:t>
            </w:r>
          </w:p>
        </w:tc>
      </w:tr>
      <w:tr>
        <w:tc>
          <w:tcPr>
            <w:tcW w:type="dxa" w:w="2592"/>
            <w:vAlign w:val="top"/>
          </w:tcPr>
          <w:p>
            <w:r/>
            <w:r>
              <w:rPr>
                <w:b w:val="0"/>
                <w:sz w:val="13"/>
              </w:rPr>
              <w:t>Phase 1 lunar south pole base</w:t>
            </w:r>
          </w:p>
        </w:tc>
        <w:tc>
          <w:tcPr>
            <w:tcW w:type="dxa" w:w="2592"/>
            <w:vAlign w:val="top"/>
          </w:tcPr>
          <w:p>
            <w:r/>
            <w:r>
              <w:rPr>
                <w:b w:val="0"/>
                <w:sz w:val="13"/>
              </w:rPr>
              <w:t>1000 resident personnel, 1200 surge, underground habitat, surface processing plant, power island, landing and export districts.</w:t>
            </w:r>
          </w:p>
        </w:tc>
        <w:tc>
          <w:tcPr>
            <w:tcW w:type="dxa" w:w="2592"/>
            <w:vAlign w:val="top"/>
          </w:tcPr>
          <w:p>
            <w:r/>
            <w:r>
              <w:rPr>
                <w:b w:val="0"/>
                <w:sz w:val="13"/>
              </w:rPr>
              <w:t>Sections 4 to 12</w:t>
            </w:r>
          </w:p>
        </w:tc>
        <w:tc>
          <w:tcPr>
            <w:tcW w:type="dxa" w:w="2592"/>
            <w:vAlign w:val="top"/>
          </w:tcPr>
          <w:p>
            <w:r/>
            <w:r>
              <w:rPr>
                <w:b w:val="0"/>
                <w:sz w:val="13"/>
              </w:rPr>
              <w:t>Active.</w:t>
            </w:r>
          </w:p>
        </w:tc>
      </w:tr>
      <w:tr>
        <w:tc>
          <w:tcPr>
            <w:tcW w:type="dxa" w:w="2592"/>
            <w:vAlign w:val="top"/>
          </w:tcPr>
          <w:p>
            <w:r/>
            <w:r>
              <w:rPr>
                <w:b w:val="0"/>
                <w:sz w:val="13"/>
              </w:rPr>
              <w:t>Refuge duration upgrade</w:t>
            </w:r>
          </w:p>
        </w:tc>
        <w:tc>
          <w:tcPr>
            <w:tcW w:type="dxa" w:w="2592"/>
            <w:vAlign w:val="top"/>
          </w:tcPr>
          <w:p>
            <w:r/>
            <w:r>
              <w:rPr>
                <w:b w:val="0"/>
                <w:sz w:val="13"/>
              </w:rPr>
              <w:t>Emergency refuge capacity expanded from 72 hours to one lunar night, 14 Earth days minimum, with 16 days preferred margin.</w:t>
            </w:r>
          </w:p>
        </w:tc>
        <w:tc>
          <w:tcPr>
            <w:tcW w:type="dxa" w:w="2592"/>
            <w:vAlign w:val="top"/>
          </w:tcPr>
          <w:p>
            <w:r/>
            <w:r>
              <w:rPr>
                <w:b w:val="0"/>
                <w:sz w:val="13"/>
              </w:rPr>
              <w:t>Sections 8, 9, 10, 19</w:t>
            </w:r>
          </w:p>
        </w:tc>
        <w:tc>
          <w:tcPr>
            <w:tcW w:type="dxa" w:w="2592"/>
            <w:vAlign w:val="top"/>
          </w:tcPr>
          <w:p>
            <w:r/>
            <w:r>
              <w:rPr>
                <w:b w:val="0"/>
                <w:sz w:val="13"/>
              </w:rPr>
              <w:t>Active, life safety critical.</w:t>
            </w:r>
          </w:p>
        </w:tc>
      </w:tr>
      <w:tr>
        <w:tc>
          <w:tcPr>
            <w:tcW w:type="dxa" w:w="2592"/>
            <w:vAlign w:val="top"/>
          </w:tcPr>
          <w:p>
            <w:r/>
            <w:r>
              <w:rPr>
                <w:b w:val="0"/>
                <w:sz w:val="13"/>
              </w:rPr>
              <w:t>Mass evacuation</w:t>
            </w:r>
          </w:p>
        </w:tc>
        <w:tc>
          <w:tcPr>
            <w:tcW w:type="dxa" w:w="2592"/>
            <w:vAlign w:val="top"/>
          </w:tcPr>
          <w:p>
            <w:r/>
            <w:r>
              <w:rPr>
                <w:b w:val="0"/>
                <w:sz w:val="13"/>
              </w:rPr>
              <w:t>Full resident and surge population must be evacuated within 72 hours of evacuation order.</w:t>
            </w:r>
          </w:p>
        </w:tc>
        <w:tc>
          <w:tcPr>
            <w:tcW w:type="dxa" w:w="2592"/>
            <w:vAlign w:val="top"/>
          </w:tcPr>
          <w:p>
            <w:r/>
            <w:r>
              <w:rPr>
                <w:b w:val="0"/>
                <w:sz w:val="13"/>
              </w:rPr>
              <w:t>Sections 8, 9, 11, 19</w:t>
            </w:r>
          </w:p>
        </w:tc>
        <w:tc>
          <w:tcPr>
            <w:tcW w:type="dxa" w:w="2592"/>
            <w:vAlign w:val="top"/>
          </w:tcPr>
          <w:p>
            <w:r/>
            <w:r>
              <w:rPr>
                <w:b w:val="0"/>
                <w:sz w:val="13"/>
              </w:rPr>
              <w:t>Active, life safety critical.</w:t>
            </w:r>
          </w:p>
        </w:tc>
      </w:tr>
      <w:tr>
        <w:tc>
          <w:tcPr>
            <w:tcW w:type="dxa" w:w="2592"/>
            <w:vAlign w:val="top"/>
          </w:tcPr>
          <w:p>
            <w:r/>
            <w:r>
              <w:rPr>
                <w:b w:val="0"/>
                <w:sz w:val="13"/>
              </w:rPr>
              <w:t>Refuge architecture</w:t>
            </w:r>
          </w:p>
        </w:tc>
        <w:tc>
          <w:tcPr>
            <w:tcW w:type="dxa" w:w="2592"/>
            <w:vAlign w:val="top"/>
          </w:tcPr>
          <w:p>
            <w:r/>
            <w:r>
              <w:rPr>
                <w:b w:val="0"/>
                <w:sz w:val="13"/>
              </w:rPr>
              <w:t>Four refuge clusters, two protected evacuation spines, four ascent shaft interfaces, and two embarkation zones.</w:t>
            </w:r>
          </w:p>
        </w:tc>
        <w:tc>
          <w:tcPr>
            <w:tcW w:type="dxa" w:w="2592"/>
            <w:vAlign w:val="top"/>
          </w:tcPr>
          <w:p>
            <w:r/>
            <w:r>
              <w:rPr>
                <w:b w:val="0"/>
                <w:sz w:val="13"/>
              </w:rPr>
              <w:t>Sections 8, 11, 19</w:t>
            </w:r>
          </w:p>
        </w:tc>
        <w:tc>
          <w:tcPr>
            <w:tcW w:type="dxa" w:w="2592"/>
            <w:vAlign w:val="top"/>
          </w:tcPr>
          <w:p>
            <w:r/>
            <w:r>
              <w:rPr>
                <w:b w:val="0"/>
                <w:sz w:val="13"/>
              </w:rPr>
              <w:t>Active.</w:t>
            </w:r>
          </w:p>
        </w:tc>
      </w:tr>
      <w:tr>
        <w:tc>
          <w:tcPr>
            <w:tcW w:type="dxa" w:w="2592"/>
            <w:vAlign w:val="top"/>
          </w:tcPr>
          <w:p>
            <w:r/>
            <w:r>
              <w:rPr>
                <w:b w:val="0"/>
                <w:sz w:val="13"/>
              </w:rPr>
              <w:t>Utility baseline</w:t>
            </w:r>
          </w:p>
        </w:tc>
        <w:tc>
          <w:tcPr>
            <w:tcW w:type="dxa" w:w="2592"/>
            <w:vAlign w:val="top"/>
          </w:tcPr>
          <w:p>
            <w:r/>
            <w:r>
              <w:rPr>
                <w:b w:val="0"/>
                <w:sz w:val="13"/>
              </w:rPr>
              <w:t>Dual HVDC rings, islandable emergency buses, independent water, gas, atmosphere, thermal, cryogenic, and data networks.</w:t>
            </w:r>
          </w:p>
        </w:tc>
        <w:tc>
          <w:tcPr>
            <w:tcW w:type="dxa" w:w="2592"/>
            <w:vAlign w:val="top"/>
          </w:tcPr>
          <w:p>
            <w:r/>
            <w:r>
              <w:rPr>
                <w:b w:val="0"/>
                <w:sz w:val="13"/>
              </w:rPr>
              <w:t>Sections 7, 8, 20</w:t>
            </w:r>
          </w:p>
        </w:tc>
        <w:tc>
          <w:tcPr>
            <w:tcW w:type="dxa" w:w="2592"/>
            <w:vAlign w:val="top"/>
          </w:tcPr>
          <w:p>
            <w:r/>
            <w:r>
              <w:rPr>
                <w:b w:val="0"/>
                <w:sz w:val="13"/>
              </w:rPr>
              <w:t>Active.</w:t>
            </w:r>
          </w:p>
        </w:tc>
      </w:tr>
      <w:tr>
        <w:tc>
          <w:tcPr>
            <w:tcW w:type="dxa" w:w="2592"/>
            <w:vAlign w:val="top"/>
          </w:tcPr>
          <w:p>
            <w:r/>
            <w:r>
              <w:rPr>
                <w:b w:val="0"/>
                <w:sz w:val="13"/>
              </w:rPr>
              <w:t>Operations baseline</w:t>
            </w:r>
          </w:p>
        </w:tc>
        <w:tc>
          <w:tcPr>
            <w:tcW w:type="dxa" w:w="2592"/>
            <w:vAlign w:val="top"/>
          </w:tcPr>
          <w:p>
            <w:r/>
            <w:r>
              <w:rPr>
                <w:b w:val="0"/>
                <w:sz w:val="13"/>
              </w:rPr>
              <w:t>Three-shift operations, readiness states, commissioning gates, maintenance philosophy, certification matrix.</w:t>
            </w:r>
          </w:p>
        </w:tc>
        <w:tc>
          <w:tcPr>
            <w:tcW w:type="dxa" w:w="2592"/>
            <w:vAlign w:val="top"/>
          </w:tcPr>
          <w:p>
            <w:r/>
            <w:r>
              <w:rPr>
                <w:b w:val="0"/>
                <w:sz w:val="13"/>
              </w:rPr>
              <w:t>Section 9</w:t>
            </w:r>
          </w:p>
        </w:tc>
        <w:tc>
          <w:tcPr>
            <w:tcW w:type="dxa" w:w="2592"/>
            <w:vAlign w:val="top"/>
          </w:tcPr>
          <w:p>
            <w:r/>
            <w:r>
              <w:rPr>
                <w:b w:val="0"/>
                <w:sz w:val="13"/>
              </w:rPr>
              <w:t>Active.</w:t>
            </w:r>
          </w:p>
        </w:tc>
      </w:tr>
      <w:tr>
        <w:tc>
          <w:tcPr>
            <w:tcW w:type="dxa" w:w="2592"/>
            <w:vAlign w:val="top"/>
          </w:tcPr>
          <w:p>
            <w:r/>
            <w:r>
              <w:rPr>
                <w:b w:val="0"/>
                <w:sz w:val="13"/>
              </w:rPr>
              <w:t>Production and logistics baseline</w:t>
            </w:r>
          </w:p>
        </w:tc>
        <w:tc>
          <w:tcPr>
            <w:tcW w:type="dxa" w:w="2592"/>
            <w:vAlign w:val="top"/>
          </w:tcPr>
          <w:p>
            <w:r/>
            <w:r>
              <w:rPr>
                <w:b w:val="0"/>
                <w:sz w:val="13"/>
              </w:rPr>
              <w:t>Water, oxygen, hydrogen, cryogenic storage, landing cadence, export cadence, outage recovery, reserve trigger bands.</w:t>
            </w:r>
          </w:p>
        </w:tc>
        <w:tc>
          <w:tcPr>
            <w:tcW w:type="dxa" w:w="2592"/>
            <w:vAlign w:val="top"/>
          </w:tcPr>
          <w:p>
            <w:r/>
            <w:r>
              <w:rPr>
                <w:b w:val="0"/>
                <w:sz w:val="13"/>
              </w:rPr>
              <w:t>Section 10</w:t>
            </w:r>
          </w:p>
        </w:tc>
        <w:tc>
          <w:tcPr>
            <w:tcW w:type="dxa" w:w="2592"/>
            <w:vAlign w:val="top"/>
          </w:tcPr>
          <w:p>
            <w:r/>
            <w:r>
              <w:rPr>
                <w:b w:val="0"/>
                <w:sz w:val="13"/>
              </w:rPr>
              <w:t>Active.</w:t>
            </w:r>
          </w:p>
        </w:tc>
      </w:tr>
      <w:tr>
        <w:tc>
          <w:tcPr>
            <w:tcW w:type="dxa" w:w="2592"/>
            <w:vAlign w:val="top"/>
          </w:tcPr>
          <w:p>
            <w:r/>
            <w:r>
              <w:rPr>
                <w:b w:val="0"/>
                <w:sz w:val="13"/>
              </w:rPr>
              <w:t>Construction and schedule baseline</w:t>
            </w:r>
          </w:p>
        </w:tc>
        <w:tc>
          <w:tcPr>
            <w:tcW w:type="dxa" w:w="2592"/>
            <w:vAlign w:val="top"/>
          </w:tcPr>
          <w:p>
            <w:r/>
            <w:r>
              <w:rPr>
                <w:b w:val="0"/>
                <w:sz w:val="13"/>
              </w:rPr>
              <w:t>Robotics-first build sequence, hard occupancy gates, 9 to 10 year nominal path, 12 to 18 month reserve.</w:t>
            </w:r>
          </w:p>
        </w:tc>
        <w:tc>
          <w:tcPr>
            <w:tcW w:type="dxa" w:w="2592"/>
            <w:vAlign w:val="top"/>
          </w:tcPr>
          <w:p>
            <w:r/>
            <w:r>
              <w:rPr>
                <w:b w:val="0"/>
                <w:sz w:val="13"/>
              </w:rPr>
              <w:t>Section 11</w:t>
            </w:r>
          </w:p>
        </w:tc>
        <w:tc>
          <w:tcPr>
            <w:tcW w:type="dxa" w:w="2592"/>
            <w:vAlign w:val="top"/>
          </w:tcPr>
          <w:p>
            <w:r/>
            <w:r>
              <w:rPr>
                <w:b w:val="0"/>
                <w:sz w:val="13"/>
              </w:rPr>
              <w:t>Active.</w:t>
            </w:r>
          </w:p>
        </w:tc>
      </w:tr>
      <w:tr>
        <w:tc>
          <w:tcPr>
            <w:tcW w:type="dxa" w:w="2592"/>
            <w:vAlign w:val="top"/>
          </w:tcPr>
          <w:p>
            <w:r/>
            <w:r>
              <w:rPr>
                <w:b w:val="0"/>
                <w:sz w:val="13"/>
              </w:rPr>
              <w:t>Cost and revenue baseline</w:t>
            </w:r>
          </w:p>
        </w:tc>
        <w:tc>
          <w:tcPr>
            <w:tcW w:type="dxa" w:w="2592"/>
            <w:vAlign w:val="top"/>
          </w:tcPr>
          <w:p>
            <w:r/>
            <w:r>
              <w:rPr>
                <w:b w:val="0"/>
                <w:sz w:val="13"/>
              </w:rPr>
              <w:t>129.3B USD core mid-case, Rev 2.7 expanded lunar baseline near 175B to 180B USD, mature expanded OpEx near 15B USD per year.</w:t>
            </w:r>
          </w:p>
        </w:tc>
        <w:tc>
          <w:tcPr>
            <w:tcW w:type="dxa" w:w="2592"/>
            <w:vAlign w:val="top"/>
          </w:tcPr>
          <w:p>
            <w:r/>
            <w:r>
              <w:rPr>
                <w:b w:val="0"/>
                <w:sz w:val="13"/>
              </w:rPr>
              <w:t>Sections 12, 16, 17</w:t>
            </w:r>
          </w:p>
        </w:tc>
        <w:tc>
          <w:tcPr>
            <w:tcW w:type="dxa" w:w="2592"/>
            <w:vAlign w:val="top"/>
          </w:tcPr>
          <w:p>
            <w:r/>
            <w:r>
              <w:rPr>
                <w:b w:val="0"/>
                <w:sz w:val="13"/>
              </w:rPr>
              <w:t>Active planning baseline.</w:t>
            </w:r>
          </w:p>
        </w:tc>
      </w:tr>
      <w:tr>
        <w:tc>
          <w:tcPr>
            <w:tcW w:type="dxa" w:w="2592"/>
            <w:vAlign w:val="top"/>
          </w:tcPr>
          <w:p>
            <w:r/>
            <w:r>
              <w:rPr>
                <w:b w:val="0"/>
                <w:sz w:val="13"/>
              </w:rPr>
              <w:t>Off world mineral economics</w:t>
            </w:r>
          </w:p>
        </w:tc>
        <w:tc>
          <w:tcPr>
            <w:tcW w:type="dxa" w:w="2592"/>
            <w:vAlign w:val="top"/>
          </w:tcPr>
          <w:p>
            <w:r/>
            <w:r>
              <w:rPr>
                <w:b w:val="0"/>
                <w:sz w:val="13"/>
              </w:rPr>
              <w:t>Mineral inventory, current market proxy pricing, cost analysis, resource priority tiers, and milestone timeline.</w:t>
            </w:r>
          </w:p>
        </w:tc>
        <w:tc>
          <w:tcPr>
            <w:tcW w:type="dxa" w:w="2592"/>
            <w:vAlign w:val="top"/>
          </w:tcPr>
          <w:p>
            <w:r/>
            <w:r>
              <w:rPr>
                <w:b w:val="0"/>
                <w:sz w:val="13"/>
              </w:rPr>
              <w:t>Section 15</w:t>
            </w:r>
          </w:p>
        </w:tc>
        <w:tc>
          <w:tcPr>
            <w:tcW w:type="dxa" w:w="2592"/>
            <w:vAlign w:val="top"/>
          </w:tcPr>
          <w:p>
            <w:r/>
            <w:r>
              <w:rPr>
                <w:b w:val="0"/>
                <w:sz w:val="13"/>
              </w:rPr>
              <w:t>Active.</w:t>
            </w:r>
          </w:p>
        </w:tc>
      </w:tr>
      <w:tr>
        <w:tc>
          <w:tcPr>
            <w:tcW w:type="dxa" w:w="2592"/>
            <w:vAlign w:val="top"/>
          </w:tcPr>
          <w:p>
            <w:r/>
            <w:r>
              <w:rPr>
                <w:b w:val="0"/>
                <w:sz w:val="13"/>
              </w:rPr>
              <w:t>Financing and capitalization</w:t>
            </w:r>
          </w:p>
        </w:tc>
        <w:tc>
          <w:tcPr>
            <w:tcW w:type="dxa" w:w="2592"/>
            <w:vAlign w:val="top"/>
          </w:tcPr>
          <w:p>
            <w:r/>
            <w:r>
              <w:rPr>
                <w:b w:val="0"/>
                <w:sz w:val="13"/>
              </w:rPr>
              <w:t>Capital stack, equity dilution scenarios, debt capacity by gate, anchor customer terms, and funding covenants.</w:t>
            </w:r>
          </w:p>
        </w:tc>
        <w:tc>
          <w:tcPr>
            <w:tcW w:type="dxa" w:w="2592"/>
            <w:vAlign w:val="top"/>
          </w:tcPr>
          <w:p>
            <w:r/>
            <w:r>
              <w:rPr>
                <w:b w:val="0"/>
                <w:sz w:val="13"/>
              </w:rPr>
              <w:t>Section 16</w:t>
            </w:r>
          </w:p>
        </w:tc>
        <w:tc>
          <w:tcPr>
            <w:tcW w:type="dxa" w:w="2592"/>
            <w:vAlign w:val="top"/>
          </w:tcPr>
          <w:p>
            <w:r/>
            <w:r>
              <w:rPr>
                <w:b w:val="0"/>
                <w:sz w:val="13"/>
              </w:rPr>
              <w:t>Active.</w:t>
            </w:r>
          </w:p>
        </w:tc>
      </w:tr>
      <w:tr>
        <w:tc>
          <w:tcPr>
            <w:tcW w:type="dxa" w:w="2592"/>
            <w:vAlign w:val="top"/>
          </w:tcPr>
          <w:p>
            <w:r/>
            <w:r>
              <w:rPr>
                <w:b w:val="0"/>
                <w:sz w:val="13"/>
              </w:rPr>
              <w:t>Surface spaceport</w:t>
            </w:r>
          </w:p>
        </w:tc>
        <w:tc>
          <w:tcPr>
            <w:tcW w:type="dxa" w:w="2592"/>
            <w:vAlign w:val="top"/>
          </w:tcPr>
          <w:p>
            <w:r/>
            <w:r>
              <w:rPr>
                <w:b w:val="0"/>
                <w:sz w:val="13"/>
              </w:rPr>
              <w:t>Dedicated spaceport, cargo and crew terminal, launch operations, vehicle turnaround, and traffic control.</w:t>
            </w:r>
          </w:p>
        </w:tc>
        <w:tc>
          <w:tcPr>
            <w:tcW w:type="dxa" w:w="2592"/>
            <w:vAlign w:val="top"/>
          </w:tcPr>
          <w:p>
            <w:r/>
            <w:r>
              <w:rPr>
                <w:b w:val="0"/>
                <w:sz w:val="13"/>
              </w:rPr>
              <w:t>Section 17</w:t>
            </w:r>
          </w:p>
        </w:tc>
        <w:tc>
          <w:tcPr>
            <w:tcW w:type="dxa" w:w="2592"/>
            <w:vAlign w:val="top"/>
          </w:tcPr>
          <w:p>
            <w:r/>
            <w:r>
              <w:rPr>
                <w:b w:val="0"/>
                <w:sz w:val="13"/>
              </w:rPr>
              <w:t>Active.</w:t>
            </w:r>
          </w:p>
        </w:tc>
      </w:tr>
      <w:tr>
        <w:tc>
          <w:tcPr>
            <w:tcW w:type="dxa" w:w="2592"/>
            <w:vAlign w:val="top"/>
          </w:tcPr>
          <w:p>
            <w:r/>
            <w:r>
              <w:rPr>
                <w:b w:val="0"/>
                <w:sz w:val="13"/>
              </w:rPr>
              <w:t>Hyperloop EM launch rail</w:t>
            </w:r>
          </w:p>
        </w:tc>
        <w:tc>
          <w:tcPr>
            <w:tcW w:type="dxa" w:w="2592"/>
            <w:vAlign w:val="top"/>
          </w:tcPr>
          <w:p>
            <w:r/>
            <w:r>
              <w:rPr>
                <w:b w:val="0"/>
                <w:sz w:val="13"/>
              </w:rPr>
              <w:t>Cargo-first electromagnetic launch rail and pulse-power infrastructure, deferred from 1000-person occupancy critical path.</w:t>
            </w:r>
          </w:p>
        </w:tc>
        <w:tc>
          <w:tcPr>
            <w:tcW w:type="dxa" w:w="2592"/>
            <w:vAlign w:val="top"/>
          </w:tcPr>
          <w:p>
            <w:r/>
            <w:r>
              <w:rPr>
                <w:b w:val="0"/>
                <w:sz w:val="13"/>
              </w:rPr>
              <w:t>Section 17</w:t>
            </w:r>
          </w:p>
        </w:tc>
        <w:tc>
          <w:tcPr>
            <w:tcW w:type="dxa" w:w="2592"/>
            <w:vAlign w:val="top"/>
          </w:tcPr>
          <w:p>
            <w:r/>
            <w:r>
              <w:rPr>
                <w:b w:val="0"/>
                <w:sz w:val="13"/>
              </w:rPr>
              <w:t>Active, expansion gate.</w:t>
            </w:r>
          </w:p>
        </w:tc>
      </w:tr>
      <w:tr>
        <w:tc>
          <w:tcPr>
            <w:tcW w:type="dxa" w:w="2592"/>
            <w:vAlign w:val="top"/>
          </w:tcPr>
          <w:p>
            <w:r/>
            <w:r>
              <w:rPr>
                <w:b w:val="0"/>
                <w:sz w:val="13"/>
              </w:rPr>
              <w:t>Surface microwave receiver</w:t>
            </w:r>
          </w:p>
        </w:tc>
        <w:tc>
          <w:tcPr>
            <w:tcW w:type="dxa" w:w="2592"/>
            <w:vAlign w:val="top"/>
          </w:tcPr>
          <w:p>
            <w:r/>
            <w:r>
              <w:rPr>
                <w:b w:val="0"/>
                <w:sz w:val="13"/>
              </w:rPr>
              <w:t>Rectenna and power conditioning system for supplemental and emergency beamed power reception.</w:t>
            </w:r>
          </w:p>
        </w:tc>
        <w:tc>
          <w:tcPr>
            <w:tcW w:type="dxa" w:w="2592"/>
            <w:vAlign w:val="top"/>
          </w:tcPr>
          <w:p>
            <w:r/>
            <w:r>
              <w:rPr>
                <w:b w:val="0"/>
                <w:sz w:val="13"/>
              </w:rPr>
              <w:t>Section 17</w:t>
            </w:r>
          </w:p>
        </w:tc>
        <w:tc>
          <w:tcPr>
            <w:tcW w:type="dxa" w:w="2592"/>
            <w:vAlign w:val="top"/>
          </w:tcPr>
          <w:p>
            <w:r/>
            <w:r>
              <w:rPr>
                <w:b w:val="0"/>
                <w:sz w:val="13"/>
              </w:rPr>
              <w:t>Active, phased.</w:t>
            </w:r>
          </w:p>
        </w:tc>
      </w:tr>
      <w:tr>
        <w:tc>
          <w:tcPr>
            <w:tcW w:type="dxa" w:w="2592"/>
            <w:vAlign w:val="top"/>
          </w:tcPr>
          <w:p>
            <w:r/>
            <w:r>
              <w:rPr>
                <w:b w:val="0"/>
                <w:sz w:val="13"/>
              </w:rPr>
              <w:t>Surface solar farm</w:t>
            </w:r>
          </w:p>
        </w:tc>
        <w:tc>
          <w:tcPr>
            <w:tcW w:type="dxa" w:w="2592"/>
            <w:vAlign w:val="top"/>
          </w:tcPr>
          <w:p>
            <w:r/>
            <w:r>
              <w:rPr>
                <w:b w:val="0"/>
                <w:sz w:val="13"/>
              </w:rPr>
              <w:t>South polar renewable power generation and storage supplement to reactor power.</w:t>
            </w:r>
          </w:p>
        </w:tc>
        <w:tc>
          <w:tcPr>
            <w:tcW w:type="dxa" w:w="2592"/>
            <w:vAlign w:val="top"/>
          </w:tcPr>
          <w:p>
            <w:r/>
            <w:r>
              <w:rPr>
                <w:b w:val="0"/>
                <w:sz w:val="13"/>
              </w:rPr>
              <w:t>Section 17</w:t>
            </w:r>
          </w:p>
        </w:tc>
        <w:tc>
          <w:tcPr>
            <w:tcW w:type="dxa" w:w="2592"/>
            <w:vAlign w:val="top"/>
          </w:tcPr>
          <w:p>
            <w:r/>
            <w:r>
              <w:rPr>
                <w:b w:val="0"/>
                <w:sz w:val="13"/>
              </w:rPr>
              <w:t>Active.</w:t>
            </w:r>
          </w:p>
        </w:tc>
      </w:tr>
      <w:tr>
        <w:tc>
          <w:tcPr>
            <w:tcW w:type="dxa" w:w="2592"/>
            <w:vAlign w:val="top"/>
          </w:tcPr>
          <w:p>
            <w:r/>
            <w:r>
              <w:rPr>
                <w:b w:val="0"/>
                <w:sz w:val="13"/>
              </w:rPr>
              <w:t>Lunar seismic monitoring</w:t>
            </w:r>
          </w:p>
        </w:tc>
        <w:tc>
          <w:tcPr>
            <w:tcW w:type="dxa" w:w="2592"/>
            <w:vAlign w:val="top"/>
          </w:tcPr>
          <w:p>
            <w:r/>
            <w:r>
              <w:rPr>
                <w:b w:val="0"/>
                <w:sz w:val="13"/>
              </w:rPr>
              <w:t>Local and regional geophysical monitoring for moonquakes, impacts, excavation, pads, shafts, and rail bed stability.</w:t>
            </w:r>
          </w:p>
        </w:tc>
        <w:tc>
          <w:tcPr>
            <w:tcW w:type="dxa" w:w="2592"/>
            <w:vAlign w:val="top"/>
          </w:tcPr>
          <w:p>
            <w:r/>
            <w:r>
              <w:rPr>
                <w:b w:val="0"/>
                <w:sz w:val="13"/>
              </w:rPr>
              <w:t>Sections 17, 19</w:t>
            </w:r>
          </w:p>
        </w:tc>
        <w:tc>
          <w:tcPr>
            <w:tcW w:type="dxa" w:w="2592"/>
            <w:vAlign w:val="top"/>
          </w:tcPr>
          <w:p>
            <w:r/>
            <w:r>
              <w:rPr>
                <w:b w:val="0"/>
                <w:sz w:val="13"/>
              </w:rPr>
              <w:t>Active.</w:t>
            </w:r>
          </w:p>
        </w:tc>
      </w:tr>
      <w:tr>
        <w:tc>
          <w:tcPr>
            <w:tcW w:type="dxa" w:w="2592"/>
            <w:vAlign w:val="top"/>
          </w:tcPr>
          <w:p>
            <w:r/>
            <w:r>
              <w:rPr>
                <w:b w:val="0"/>
                <w:sz w:val="13"/>
              </w:rPr>
              <w:t>Separate mineral processing facility</w:t>
            </w:r>
          </w:p>
        </w:tc>
        <w:tc>
          <w:tcPr>
            <w:tcW w:type="dxa" w:w="2592"/>
            <w:vAlign w:val="top"/>
          </w:tcPr>
          <w:p>
            <w:r/>
            <w:r>
              <w:rPr>
                <w:b w:val="0"/>
                <w:sz w:val="13"/>
              </w:rPr>
              <w:t>Dedicated mineral refining district separated from volatile extraction, habitat, food, water, medical, and refuge functions.</w:t>
            </w:r>
          </w:p>
        </w:tc>
        <w:tc>
          <w:tcPr>
            <w:tcW w:type="dxa" w:w="2592"/>
            <w:vAlign w:val="top"/>
          </w:tcPr>
          <w:p>
            <w:r/>
            <w:r>
              <w:rPr>
                <w:b w:val="0"/>
                <w:sz w:val="13"/>
              </w:rPr>
              <w:t>Sections 17, 18, 19</w:t>
            </w:r>
          </w:p>
        </w:tc>
        <w:tc>
          <w:tcPr>
            <w:tcW w:type="dxa" w:w="2592"/>
            <w:vAlign w:val="top"/>
          </w:tcPr>
          <w:p>
            <w:r/>
            <w:r>
              <w:rPr>
                <w:b w:val="0"/>
                <w:sz w:val="13"/>
              </w:rPr>
              <w:t>Active.</w:t>
            </w:r>
          </w:p>
        </w:tc>
      </w:tr>
      <w:tr>
        <w:tc>
          <w:tcPr>
            <w:tcW w:type="dxa" w:w="2592"/>
            <w:vAlign w:val="top"/>
          </w:tcPr>
          <w:p>
            <w:r/>
            <w:r>
              <w:rPr>
                <w:b w:val="0"/>
                <w:sz w:val="13"/>
              </w:rPr>
              <w:t>Mars derivative installation</w:t>
            </w:r>
          </w:p>
        </w:tc>
        <w:tc>
          <w:tcPr>
            <w:tcW w:type="dxa" w:w="2592"/>
            <w:vAlign w:val="top"/>
          </w:tcPr>
          <w:p>
            <w:r/>
            <w:r>
              <w:rPr>
                <w:b w:val="0"/>
                <w:sz w:val="13"/>
              </w:rPr>
              <w:t>Lunar settlement and mineral facility specifications copied as parent architecture and modified for Mars gravity, CO2, dust, perchlorates, water ice, and planetary protection.</w:t>
            </w:r>
          </w:p>
        </w:tc>
        <w:tc>
          <w:tcPr>
            <w:tcW w:type="dxa" w:w="2592"/>
            <w:vAlign w:val="top"/>
          </w:tcPr>
          <w:p>
            <w:r/>
            <w:r>
              <w:rPr>
                <w:b w:val="0"/>
                <w:sz w:val="13"/>
              </w:rPr>
              <w:t>Sections 18, 19, 20</w:t>
            </w:r>
          </w:p>
        </w:tc>
        <w:tc>
          <w:tcPr>
            <w:tcW w:type="dxa" w:w="2592"/>
            <w:vAlign w:val="top"/>
          </w:tcPr>
          <w:p>
            <w:r/>
            <w:r>
              <w:rPr>
                <w:b w:val="0"/>
                <w:sz w:val="13"/>
              </w:rPr>
              <w:t>Active derivative.</w:t>
            </w:r>
          </w:p>
        </w:tc>
      </w:tr>
      <w:tr>
        <w:tc>
          <w:tcPr>
            <w:tcW w:type="dxa" w:w="2592"/>
            <w:vAlign w:val="top"/>
          </w:tcPr>
          <w:p>
            <w:r/>
            <w:r>
              <w:rPr>
                <w:b w:val="0"/>
                <w:sz w:val="13"/>
              </w:rPr>
              <w:t>Lunar Biodiversity Vault</w:t>
            </w:r>
          </w:p>
        </w:tc>
        <w:tc>
          <w:tcPr>
            <w:tcW w:type="dxa" w:w="2592"/>
            <w:vAlign w:val="top"/>
          </w:tcPr>
          <w:p>
            <w:r/>
            <w:r>
              <w:rPr>
                <w:b w:val="0"/>
                <w:sz w:val="13"/>
              </w:rPr>
              <w:t>Underground clean archive added to lunar site with independent clean transfer, cryostorage, chain of custody, and biosecurity.</w:t>
            </w:r>
          </w:p>
        </w:tc>
        <w:tc>
          <w:tcPr>
            <w:tcW w:type="dxa" w:w="2592"/>
            <w:vAlign w:val="top"/>
          </w:tcPr>
          <w:p>
            <w:r/>
            <w:r>
              <w:rPr>
                <w:b w:val="0"/>
                <w:sz w:val="13"/>
              </w:rPr>
              <w:t>Sections 18, 19, 20</w:t>
            </w:r>
          </w:p>
        </w:tc>
        <w:tc>
          <w:tcPr>
            <w:tcW w:type="dxa" w:w="2592"/>
            <w:vAlign w:val="top"/>
          </w:tcPr>
          <w:p>
            <w:r/>
            <w:r>
              <w:rPr>
                <w:b w:val="0"/>
                <w:sz w:val="13"/>
              </w:rPr>
              <w:t>Active strategic archive.</w:t>
            </w:r>
          </w:p>
        </w:tc>
      </w:tr>
      <w:tr>
        <w:tc>
          <w:tcPr>
            <w:tcW w:type="dxa" w:w="2592"/>
            <w:vAlign w:val="top"/>
          </w:tcPr>
          <w:p>
            <w:r/>
            <w:r>
              <w:rPr>
                <w:b w:val="0"/>
                <w:sz w:val="13"/>
              </w:rPr>
              <w:t>Ceres CAMW</w:t>
            </w:r>
          </w:p>
        </w:tc>
        <w:tc>
          <w:tcPr>
            <w:tcW w:type="dxa" w:w="2592"/>
            <w:vAlign w:val="top"/>
          </w:tcPr>
          <w:p>
            <w:r/>
            <w:r>
              <w:rPr>
                <w:b w:val="0"/>
                <w:sz w:val="13"/>
              </w:rPr>
              <w:t>Autonomous Modification Worksite for robotic repair, anchoring, sorting, volatile capture, fabrication, and belt logistics.</w:t>
            </w:r>
          </w:p>
        </w:tc>
        <w:tc>
          <w:tcPr>
            <w:tcW w:type="dxa" w:w="2592"/>
            <w:vAlign w:val="top"/>
          </w:tcPr>
          <w:p>
            <w:r/>
            <w:r>
              <w:rPr>
                <w:b w:val="0"/>
                <w:sz w:val="13"/>
              </w:rPr>
              <w:t>Sections 18, 19, 20</w:t>
            </w:r>
          </w:p>
        </w:tc>
        <w:tc>
          <w:tcPr>
            <w:tcW w:type="dxa" w:w="2592"/>
            <w:vAlign w:val="top"/>
          </w:tcPr>
          <w:p>
            <w:r/>
            <w:r>
              <w:rPr>
                <w:b w:val="0"/>
                <w:sz w:val="13"/>
              </w:rPr>
              <w:t>Active derivative, robotic first.</w:t>
            </w:r>
          </w:p>
        </w:tc>
      </w:tr>
      <w:tr>
        <w:tc>
          <w:tcPr>
            <w:tcW w:type="dxa" w:w="2592"/>
            <w:vAlign w:val="top"/>
          </w:tcPr>
          <w:p>
            <w:r/>
            <w:r>
              <w:rPr>
                <w:b w:val="0"/>
                <w:sz w:val="13"/>
              </w:rPr>
              <w:t>Venus V-GPAM and V-OTIP</w:t>
            </w:r>
          </w:p>
        </w:tc>
        <w:tc>
          <w:tcPr>
            <w:tcW w:type="dxa" w:w="2592"/>
            <w:vAlign w:val="top"/>
          </w:tcPr>
          <w:p>
            <w:r/>
            <w:r>
              <w:rPr>
                <w:b w:val="0"/>
                <w:sz w:val="13"/>
              </w:rPr>
              <w:t>Upper atmospheric gas processing afloat module and orbital traffic insertion platform added for Venus operations.</w:t>
            </w:r>
          </w:p>
        </w:tc>
        <w:tc>
          <w:tcPr>
            <w:tcW w:type="dxa" w:w="2592"/>
            <w:vAlign w:val="top"/>
          </w:tcPr>
          <w:p>
            <w:r/>
            <w:r>
              <w:rPr>
                <w:b w:val="0"/>
                <w:sz w:val="13"/>
              </w:rPr>
              <w:t>Sections 18, 19, 20</w:t>
            </w:r>
          </w:p>
        </w:tc>
        <w:tc>
          <w:tcPr>
            <w:tcW w:type="dxa" w:w="2592"/>
            <w:vAlign w:val="top"/>
          </w:tcPr>
          <w:p>
            <w:r/>
            <w:r>
              <w:rPr>
                <w:b w:val="0"/>
                <w:sz w:val="13"/>
              </w:rPr>
              <w:t>Active derivative, uncrewed first.</w:t>
            </w:r>
          </w:p>
        </w:tc>
      </w:tr>
      <w:tr>
        <w:tc>
          <w:tcPr>
            <w:tcW w:type="dxa" w:w="2592"/>
            <w:vAlign w:val="top"/>
          </w:tcPr>
          <w:p>
            <w:r/>
            <w:r>
              <w:rPr>
                <w:b w:val="0"/>
                <w:sz w:val="13"/>
              </w:rPr>
              <w:t>Portfolio governance</w:t>
            </w:r>
          </w:p>
        </w:tc>
        <w:tc>
          <w:tcPr>
            <w:tcW w:type="dxa" w:w="2592"/>
            <w:vAlign w:val="top"/>
          </w:tcPr>
          <w:p>
            <w:r/>
            <w:r>
              <w:rPr>
                <w:b w:val="0"/>
                <w:sz w:val="13"/>
              </w:rPr>
              <w:t>Interface control matrix, WBS WP26 to WP31, planetary protection, biosecurity, cost and schedule rules, immediate action register.</w:t>
            </w:r>
          </w:p>
        </w:tc>
        <w:tc>
          <w:tcPr>
            <w:tcW w:type="dxa" w:w="2592"/>
            <w:vAlign w:val="top"/>
          </w:tcPr>
          <w:p>
            <w:r/>
            <w:r>
              <w:rPr>
                <w:b w:val="0"/>
                <w:sz w:val="13"/>
              </w:rPr>
              <w:t>Section 19</w:t>
            </w:r>
          </w:p>
        </w:tc>
        <w:tc>
          <w:tcPr>
            <w:tcW w:type="dxa" w:w="2592"/>
            <w:vAlign w:val="top"/>
          </w:tcPr>
          <w:p>
            <w:r/>
            <w:r>
              <w:rPr>
                <w:b w:val="0"/>
                <w:sz w:val="13"/>
              </w:rPr>
              <w:t>Active.</w:t>
            </w:r>
          </w:p>
        </w:tc>
      </w:tr>
      <w:tr>
        <w:tc>
          <w:tcPr>
            <w:tcW w:type="dxa" w:w="2592"/>
            <w:vAlign w:val="top"/>
          </w:tcPr>
          <w:p>
            <w:r/>
            <w:r>
              <w:rPr>
                <w:b w:val="0"/>
                <w:sz w:val="13"/>
              </w:rPr>
              <w:t>Full chat consolidation</w:t>
            </w:r>
          </w:p>
        </w:tc>
        <w:tc>
          <w:tcPr>
            <w:tcW w:type="dxa" w:w="2592"/>
            <w:vAlign w:val="top"/>
          </w:tcPr>
          <w:p>
            <w:r/>
            <w:r>
              <w:rPr>
                <w:b w:val="0"/>
                <w:sz w:val="13"/>
              </w:rPr>
              <w:t>Rev 3.0 adds full change traceability, hierarchy, active requirement reconciliation, and action closure logic.</w:t>
            </w:r>
          </w:p>
        </w:tc>
        <w:tc>
          <w:tcPr>
            <w:tcW w:type="dxa" w:w="2592"/>
            <w:vAlign w:val="top"/>
          </w:tcPr>
          <w:p>
            <w:r/>
            <w:r>
              <w:rPr>
                <w:b w:val="0"/>
                <w:sz w:val="13"/>
              </w:rPr>
              <w:t>Section 20</w:t>
            </w:r>
          </w:p>
        </w:tc>
        <w:tc>
          <w:tcPr>
            <w:tcW w:type="dxa" w:w="2592"/>
            <w:vAlign w:val="top"/>
          </w:tcPr>
          <w:p>
            <w:r/>
            <w:r>
              <w:rPr>
                <w:b w:val="0"/>
                <w:sz w:val="13"/>
              </w:rPr>
              <w:t>Active.</w:t>
            </w:r>
          </w:p>
        </w:tc>
      </w:tr>
    </w:tbl>
    <w:p>
      <w:pPr>
        <w:spacing w:after="20"/>
      </w:pPr>
    </w:p>
    <w:p>
      <w:pPr>
        <w:pStyle w:val="Heading2"/>
      </w:pPr>
      <w:r>
        <w:t>20.3 Active System Architecture After Full Review</w:t>
      </w:r>
    </w:p>
    <w:p>
      <w:pPr>
        <w:spacing w:after="60" w:before="0" w:line="252" w:lineRule="auto"/>
      </w:pPr>
      <w:r>
        <w:rPr>
          <w:sz w:val="19"/>
        </w:rPr>
        <w:t>The following baseline now controls the master ISRU program. It separates core life safety from industrial expansion and derivative planetary systems.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Asset</w:t>
            </w:r>
          </w:p>
        </w:tc>
        <w:tc>
          <w:tcPr>
            <w:tcW w:type="dxa" w:w="3456"/>
            <w:vAlign w:val="top"/>
            <w:shd w:fill="D9EAF7"/>
          </w:tcPr>
          <w:p>
            <w:r/>
            <w:r>
              <w:rPr>
                <w:b/>
                <w:sz w:val="14"/>
              </w:rPr>
              <w:t>Controlled Role</w:t>
            </w:r>
          </w:p>
        </w:tc>
        <w:tc>
          <w:tcPr>
            <w:tcW w:type="dxa" w:w="3456"/>
            <w:vAlign w:val="top"/>
            <w:shd w:fill="D9EAF7"/>
          </w:tcPr>
          <w:p>
            <w:r/>
            <w:r>
              <w:rPr>
                <w:b/>
                <w:sz w:val="14"/>
              </w:rPr>
              <w:t>Gate Logic</w:t>
            </w:r>
          </w:p>
        </w:tc>
      </w:tr>
      <w:tr>
        <w:tc>
          <w:tcPr>
            <w:tcW w:type="dxa" w:w="3456"/>
            <w:vAlign w:val="top"/>
          </w:tcPr>
          <w:p>
            <w:r/>
            <w:r>
              <w:rPr>
                <w:b w:val="0"/>
                <w:sz w:val="14"/>
              </w:rPr>
              <w:t>Lunar south pole site</w:t>
            </w:r>
          </w:p>
        </w:tc>
        <w:tc>
          <w:tcPr>
            <w:tcW w:type="dxa" w:w="3456"/>
            <w:vAlign w:val="top"/>
          </w:tcPr>
          <w:p>
            <w:r/>
            <w:r>
              <w:rPr>
                <w:b w:val="0"/>
                <w:sz w:val="14"/>
              </w:rPr>
              <w:t>Primary command, habitation, ISRU, power, spaceport, mineral processing, biodiversity vault, seismic, solar, microwave, and launch rail hub.</w:t>
            </w:r>
          </w:p>
        </w:tc>
        <w:tc>
          <w:tcPr>
            <w:tcW w:type="dxa" w:w="3456"/>
            <w:vAlign w:val="top"/>
          </w:tcPr>
          <w:p>
            <w:r/>
            <w:r>
              <w:rPr>
                <w:b w:val="0"/>
                <w:sz w:val="14"/>
              </w:rPr>
              <w:t>Core Phase 1, with launch rail outside occupancy critical path.</w:t>
            </w:r>
          </w:p>
        </w:tc>
      </w:tr>
      <w:tr>
        <w:tc>
          <w:tcPr>
            <w:tcW w:type="dxa" w:w="3456"/>
            <w:vAlign w:val="top"/>
          </w:tcPr>
          <w:p>
            <w:r/>
            <w:r>
              <w:rPr>
                <w:b w:val="0"/>
                <w:sz w:val="14"/>
              </w:rPr>
              <w:t>Mars installation</w:t>
            </w:r>
          </w:p>
        </w:tc>
        <w:tc>
          <w:tcPr>
            <w:tcW w:type="dxa" w:w="3456"/>
            <w:vAlign w:val="top"/>
          </w:tcPr>
          <w:p>
            <w:r/>
            <w:r>
              <w:rPr>
                <w:b w:val="0"/>
                <w:sz w:val="14"/>
              </w:rPr>
              <w:t>Derivative settlement based on lunar design with Mars-specific environmental, planetary protection, water extraction, CO2 oxygen, mineral processing, and dust changes.</w:t>
            </w:r>
          </w:p>
        </w:tc>
        <w:tc>
          <w:tcPr>
            <w:tcW w:type="dxa" w:w="3456"/>
            <w:vAlign w:val="top"/>
          </w:tcPr>
          <w:p>
            <w:r/>
            <w:r>
              <w:rPr>
                <w:b w:val="0"/>
                <w:sz w:val="14"/>
              </w:rPr>
              <w:t>Released only after lunar reserve and safety gates remain green.</w:t>
            </w:r>
          </w:p>
        </w:tc>
      </w:tr>
      <w:tr>
        <w:tc>
          <w:tcPr>
            <w:tcW w:type="dxa" w:w="3456"/>
            <w:vAlign w:val="top"/>
          </w:tcPr>
          <w:p>
            <w:r/>
            <w:r>
              <w:rPr>
                <w:b w:val="0"/>
                <w:sz w:val="14"/>
              </w:rPr>
              <w:t>Ceres worksite</w:t>
            </w:r>
          </w:p>
        </w:tc>
        <w:tc>
          <w:tcPr>
            <w:tcW w:type="dxa" w:w="3456"/>
            <w:vAlign w:val="top"/>
          </w:tcPr>
          <w:p>
            <w:r/>
            <w:r>
              <w:rPr>
                <w:b w:val="0"/>
                <w:sz w:val="14"/>
              </w:rPr>
              <w:t>Robotic autonomous modification, repair, sorting, volatile capture, materials fabrication, and belt logistics node.</w:t>
            </w:r>
          </w:p>
        </w:tc>
        <w:tc>
          <w:tcPr>
            <w:tcW w:type="dxa" w:w="3456"/>
            <w:vAlign w:val="top"/>
          </w:tcPr>
          <w:p>
            <w:r/>
            <w:r>
              <w:rPr>
                <w:b w:val="0"/>
                <w:sz w:val="14"/>
              </w:rPr>
              <w:t>Uncrewed and autonomy-first until anchoring and delay-tolerant safety case is accepted.</w:t>
            </w:r>
          </w:p>
        </w:tc>
      </w:tr>
      <w:tr>
        <w:tc>
          <w:tcPr>
            <w:tcW w:type="dxa" w:w="3456"/>
            <w:vAlign w:val="top"/>
          </w:tcPr>
          <w:p>
            <w:r/>
            <w:r>
              <w:rPr>
                <w:b w:val="0"/>
                <w:sz w:val="14"/>
              </w:rPr>
              <w:t>Venus afloat module</w:t>
            </w:r>
          </w:p>
        </w:tc>
        <w:tc>
          <w:tcPr>
            <w:tcW w:type="dxa" w:w="3456"/>
            <w:vAlign w:val="top"/>
          </w:tcPr>
          <w:p>
            <w:r/>
            <w:r>
              <w:rPr>
                <w:b w:val="0"/>
                <w:sz w:val="14"/>
              </w:rPr>
              <w:t>Upper atmosphere gas intake, separation, corrosion management, buoyancy control, and product staging module.</w:t>
            </w:r>
          </w:p>
        </w:tc>
        <w:tc>
          <w:tcPr>
            <w:tcW w:type="dxa" w:w="3456"/>
            <w:vAlign w:val="top"/>
          </w:tcPr>
          <w:p>
            <w:r/>
            <w:r>
              <w:rPr>
                <w:b w:val="0"/>
                <w:sz w:val="14"/>
              </w:rPr>
              <w:t>Uncrewed first, no surface dependency.</w:t>
            </w:r>
          </w:p>
        </w:tc>
      </w:tr>
      <w:tr>
        <w:tc>
          <w:tcPr>
            <w:tcW w:type="dxa" w:w="3456"/>
            <w:vAlign w:val="top"/>
          </w:tcPr>
          <w:p>
            <w:r/>
            <w:r>
              <w:rPr>
                <w:b w:val="0"/>
                <w:sz w:val="14"/>
              </w:rPr>
              <w:t>Venus orbital platform</w:t>
            </w:r>
          </w:p>
        </w:tc>
        <w:tc>
          <w:tcPr>
            <w:tcW w:type="dxa" w:w="3456"/>
            <w:vAlign w:val="top"/>
          </w:tcPr>
          <w:p>
            <w:r/>
            <w:r>
              <w:rPr>
                <w:b w:val="0"/>
                <w:sz w:val="14"/>
              </w:rPr>
              <w:t>Traffic insertion, relay, rendezvous, depot compatibility, collision avoidance, and emergency support platform.</w:t>
            </w:r>
          </w:p>
        </w:tc>
        <w:tc>
          <w:tcPr>
            <w:tcW w:type="dxa" w:w="3456"/>
            <w:vAlign w:val="top"/>
          </w:tcPr>
          <w:p>
            <w:r/>
            <w:r>
              <w:rPr>
                <w:b w:val="0"/>
                <w:sz w:val="14"/>
              </w:rPr>
              <w:t>Local collision avoidance authority required.</w:t>
            </w:r>
          </w:p>
        </w:tc>
      </w:tr>
      <w:tr>
        <w:tc>
          <w:tcPr>
            <w:tcW w:type="dxa" w:w="3456"/>
            <w:vAlign w:val="top"/>
          </w:tcPr>
          <w:p>
            <w:r/>
            <w:r>
              <w:rPr>
                <w:b w:val="0"/>
                <w:sz w:val="14"/>
              </w:rPr>
              <w:t>Asteroid belt and Ceres expansion</w:t>
            </w:r>
          </w:p>
        </w:tc>
        <w:tc>
          <w:tcPr>
            <w:tcW w:type="dxa" w:w="3456"/>
            <w:vAlign w:val="top"/>
          </w:tcPr>
          <w:p>
            <w:r/>
            <w:r>
              <w:rPr>
                <w:b w:val="0"/>
                <w:sz w:val="14"/>
              </w:rPr>
              <w:t>Bulk volatiles, hydrated minerals, salts, metals, organics, and industrial feedstocks governed by lunar traffic and resource allocation rules.</w:t>
            </w:r>
          </w:p>
        </w:tc>
        <w:tc>
          <w:tcPr>
            <w:tcW w:type="dxa" w:w="3456"/>
            <w:vAlign w:val="top"/>
          </w:tcPr>
          <w:p>
            <w:r/>
            <w:r>
              <w:rPr>
                <w:b w:val="0"/>
                <w:sz w:val="14"/>
              </w:rPr>
              <w:t>Expansion layer.</w:t>
            </w:r>
          </w:p>
        </w:tc>
      </w:tr>
      <w:tr>
        <w:tc>
          <w:tcPr>
            <w:tcW w:type="dxa" w:w="3456"/>
            <w:vAlign w:val="top"/>
          </w:tcPr>
          <w:p>
            <w:r/>
            <w:r>
              <w:rPr>
                <w:b w:val="0"/>
                <w:sz w:val="14"/>
              </w:rPr>
              <w:t>Mercury future asset</w:t>
            </w:r>
          </w:p>
        </w:tc>
        <w:tc>
          <w:tcPr>
            <w:tcW w:type="dxa" w:w="3456"/>
            <w:vAlign w:val="top"/>
          </w:tcPr>
          <w:p>
            <w:r/>
            <w:r>
              <w:rPr>
                <w:b w:val="0"/>
                <w:sz w:val="14"/>
              </w:rPr>
              <w:t>Polar volatiles and high energy solar opportunity retained as future asset pending thermal protection and heat rejection maturity.</w:t>
            </w:r>
          </w:p>
        </w:tc>
        <w:tc>
          <w:tcPr>
            <w:tcW w:type="dxa" w:w="3456"/>
            <w:vAlign w:val="top"/>
          </w:tcPr>
          <w:p>
            <w:r/>
            <w:r>
              <w:rPr>
                <w:b w:val="0"/>
                <w:sz w:val="14"/>
              </w:rPr>
              <w:t>Deferred.</w:t>
            </w:r>
          </w:p>
        </w:tc>
      </w:tr>
    </w:tbl>
    <w:p>
      <w:pPr>
        <w:spacing w:after="20"/>
      </w:pPr>
    </w:p>
    <w:p>
      <w:pPr>
        <w:pStyle w:val="Heading2"/>
      </w:pPr>
      <w:r>
        <w:t>20.4 Master Requirements Traceability Matrix</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ID</w:t>
            </w:r>
          </w:p>
        </w:tc>
        <w:tc>
          <w:tcPr>
            <w:tcW w:type="dxa" w:w="2592"/>
            <w:vAlign w:val="top"/>
            <w:shd w:fill="D9EAF7"/>
          </w:tcPr>
          <w:p>
            <w:r/>
            <w:r>
              <w:rPr>
                <w:b/>
                <w:sz w:val="13"/>
              </w:rPr>
              <w:t>Area</w:t>
            </w:r>
          </w:p>
        </w:tc>
        <w:tc>
          <w:tcPr>
            <w:tcW w:type="dxa" w:w="2592"/>
            <w:vAlign w:val="top"/>
            <w:shd w:fill="D9EAF7"/>
          </w:tcPr>
          <w:p>
            <w:r/>
            <w:r>
              <w:rPr>
                <w:b/>
                <w:sz w:val="13"/>
              </w:rPr>
              <w:t>Requirement</w:t>
            </w:r>
          </w:p>
        </w:tc>
        <w:tc>
          <w:tcPr>
            <w:tcW w:type="dxa" w:w="2592"/>
            <w:vAlign w:val="top"/>
            <w:shd w:fill="D9EAF7"/>
          </w:tcPr>
          <w:p>
            <w:r/>
            <w:r>
              <w:rPr>
                <w:b/>
                <w:sz w:val="13"/>
              </w:rPr>
              <w:t>Verification Path</w:t>
            </w:r>
          </w:p>
        </w:tc>
      </w:tr>
      <w:tr>
        <w:tc>
          <w:tcPr>
            <w:tcW w:type="dxa" w:w="2592"/>
            <w:vAlign w:val="top"/>
          </w:tcPr>
          <w:p>
            <w:r/>
            <w:r>
              <w:rPr>
                <w:b w:val="0"/>
                <w:sz w:val="13"/>
              </w:rPr>
              <w:t>R-3.0-001</w:t>
            </w:r>
          </w:p>
        </w:tc>
        <w:tc>
          <w:tcPr>
            <w:tcW w:type="dxa" w:w="2592"/>
            <w:vAlign w:val="top"/>
          </w:tcPr>
          <w:p>
            <w:r/>
            <w:r>
              <w:rPr>
                <w:b w:val="0"/>
                <w:sz w:val="13"/>
              </w:rPr>
              <w:t>Lunar control</w:t>
            </w:r>
          </w:p>
        </w:tc>
        <w:tc>
          <w:tcPr>
            <w:tcW w:type="dxa" w:w="2592"/>
            <w:vAlign w:val="top"/>
          </w:tcPr>
          <w:p>
            <w:r/>
            <w:r>
              <w:rPr>
                <w:b w:val="0"/>
                <w:sz w:val="13"/>
              </w:rPr>
              <w:t>The Moon shall remain the primary ISRU command, traffic, reserve, and portfolio control asset.</w:t>
            </w:r>
          </w:p>
        </w:tc>
        <w:tc>
          <w:tcPr>
            <w:tcW w:type="dxa" w:w="2592"/>
            <w:vAlign w:val="top"/>
          </w:tcPr>
          <w:p>
            <w:r/>
            <w:r>
              <w:rPr>
                <w:b w:val="0"/>
                <w:sz w:val="13"/>
              </w:rPr>
              <w:t>System architecture, mission operations, board gates.</w:t>
            </w:r>
          </w:p>
        </w:tc>
      </w:tr>
      <w:tr>
        <w:tc>
          <w:tcPr>
            <w:tcW w:type="dxa" w:w="2592"/>
            <w:vAlign w:val="top"/>
          </w:tcPr>
          <w:p>
            <w:r/>
            <w:r>
              <w:rPr>
                <w:b w:val="0"/>
                <w:sz w:val="13"/>
              </w:rPr>
              <w:t>R-3.0-002</w:t>
            </w:r>
          </w:p>
        </w:tc>
        <w:tc>
          <w:tcPr>
            <w:tcW w:type="dxa" w:w="2592"/>
            <w:vAlign w:val="top"/>
          </w:tcPr>
          <w:p>
            <w:r/>
            <w:r>
              <w:rPr>
                <w:b w:val="0"/>
                <w:sz w:val="13"/>
              </w:rPr>
              <w:t>Population</w:t>
            </w:r>
          </w:p>
        </w:tc>
        <w:tc>
          <w:tcPr>
            <w:tcW w:type="dxa" w:w="2592"/>
            <w:vAlign w:val="top"/>
          </w:tcPr>
          <w:p>
            <w:r/>
            <w:r>
              <w:rPr>
                <w:b w:val="0"/>
                <w:sz w:val="13"/>
              </w:rPr>
              <w:t>The lunar installation shall support 1000 residents and 1200 surge personnel only when refuge, evacuation, utility, and reserve gates are certified.</w:t>
            </w:r>
          </w:p>
        </w:tc>
        <w:tc>
          <w:tcPr>
            <w:tcW w:type="dxa" w:w="2592"/>
            <w:vAlign w:val="top"/>
          </w:tcPr>
          <w:p>
            <w:r/>
            <w:r>
              <w:rPr>
                <w:b w:val="0"/>
                <w:sz w:val="13"/>
              </w:rPr>
              <w:t>Phase 1 design and occupancy gates.</w:t>
            </w:r>
          </w:p>
        </w:tc>
      </w:tr>
      <w:tr>
        <w:tc>
          <w:tcPr>
            <w:tcW w:type="dxa" w:w="2592"/>
            <w:vAlign w:val="top"/>
          </w:tcPr>
          <w:p>
            <w:r/>
            <w:r>
              <w:rPr>
                <w:b w:val="0"/>
                <w:sz w:val="13"/>
              </w:rPr>
              <w:t>R-3.0-003</w:t>
            </w:r>
          </w:p>
        </w:tc>
        <w:tc>
          <w:tcPr>
            <w:tcW w:type="dxa" w:w="2592"/>
            <w:vAlign w:val="top"/>
          </w:tcPr>
          <w:p>
            <w:r/>
            <w:r>
              <w:rPr>
                <w:b w:val="0"/>
                <w:sz w:val="13"/>
              </w:rPr>
              <w:t>Refuge</w:t>
            </w:r>
          </w:p>
        </w:tc>
        <w:tc>
          <w:tcPr>
            <w:tcW w:type="dxa" w:w="2592"/>
            <w:vAlign w:val="top"/>
          </w:tcPr>
          <w:p>
            <w:r/>
            <w:r>
              <w:rPr>
                <w:b w:val="0"/>
                <w:sz w:val="13"/>
              </w:rPr>
              <w:t>The lunar installation shall protect the full 1200-person basis for one lunar night, 14 Earth days minimum, with isolated life support.</w:t>
            </w:r>
          </w:p>
        </w:tc>
        <w:tc>
          <w:tcPr>
            <w:tcW w:type="dxa" w:w="2592"/>
            <w:vAlign w:val="top"/>
          </w:tcPr>
          <w:p>
            <w:r/>
            <w:r>
              <w:rPr>
                <w:b w:val="0"/>
                <w:sz w:val="13"/>
              </w:rPr>
              <w:t>Refuge clusters, protected reserves, emergency buses.</w:t>
            </w:r>
          </w:p>
        </w:tc>
      </w:tr>
      <w:tr>
        <w:tc>
          <w:tcPr>
            <w:tcW w:type="dxa" w:w="2592"/>
            <w:vAlign w:val="top"/>
          </w:tcPr>
          <w:p>
            <w:r/>
            <w:r>
              <w:rPr>
                <w:b w:val="0"/>
                <w:sz w:val="13"/>
              </w:rPr>
              <w:t>R-3.0-004</w:t>
            </w:r>
          </w:p>
        </w:tc>
        <w:tc>
          <w:tcPr>
            <w:tcW w:type="dxa" w:w="2592"/>
            <w:vAlign w:val="top"/>
          </w:tcPr>
          <w:p>
            <w:r/>
            <w:r>
              <w:rPr>
                <w:b w:val="0"/>
                <w:sz w:val="13"/>
              </w:rPr>
              <w:t>Evacuation</w:t>
            </w:r>
          </w:p>
        </w:tc>
        <w:tc>
          <w:tcPr>
            <w:tcW w:type="dxa" w:w="2592"/>
            <w:vAlign w:val="top"/>
          </w:tcPr>
          <w:p>
            <w:r/>
            <w:r>
              <w:rPr>
                <w:b w:val="0"/>
                <w:sz w:val="13"/>
              </w:rPr>
              <w:t>The lunar installation shall evacuate the full 1200-person basis within 72 hours of formal evacuation order.</w:t>
            </w:r>
          </w:p>
        </w:tc>
        <w:tc>
          <w:tcPr>
            <w:tcW w:type="dxa" w:w="2592"/>
            <w:vAlign w:val="top"/>
          </w:tcPr>
          <w:p>
            <w:r/>
            <w:r>
              <w:rPr>
                <w:b w:val="0"/>
                <w:sz w:val="13"/>
              </w:rPr>
              <w:t>Embarkation zones, vehicles, manifest control.</w:t>
            </w:r>
          </w:p>
        </w:tc>
      </w:tr>
      <w:tr>
        <w:tc>
          <w:tcPr>
            <w:tcW w:type="dxa" w:w="2592"/>
            <w:vAlign w:val="top"/>
          </w:tcPr>
          <w:p>
            <w:r/>
            <w:r>
              <w:rPr>
                <w:b w:val="0"/>
                <w:sz w:val="13"/>
              </w:rPr>
              <w:t>R-3.0-005</w:t>
            </w:r>
          </w:p>
        </w:tc>
        <w:tc>
          <w:tcPr>
            <w:tcW w:type="dxa" w:w="2592"/>
            <w:vAlign w:val="top"/>
          </w:tcPr>
          <w:p>
            <w:r/>
            <w:r>
              <w:rPr>
                <w:b w:val="0"/>
                <w:sz w:val="13"/>
              </w:rPr>
              <w:t>Reserve priority</w:t>
            </w:r>
          </w:p>
        </w:tc>
        <w:tc>
          <w:tcPr>
            <w:tcW w:type="dxa" w:w="2592"/>
            <w:vAlign w:val="top"/>
          </w:tcPr>
          <w:p>
            <w:r/>
            <w:r>
              <w:rPr>
                <w:b w:val="0"/>
                <w:sz w:val="13"/>
              </w:rPr>
              <w:t>Life safety, medical, water, oxygen, emergency power, refuge, and evacuation reserves shall outrank commodity export.</w:t>
            </w:r>
          </w:p>
        </w:tc>
        <w:tc>
          <w:tcPr>
            <w:tcW w:type="dxa" w:w="2592"/>
            <w:vAlign w:val="top"/>
          </w:tcPr>
          <w:p>
            <w:r/>
            <w:r>
              <w:rPr>
                <w:b w:val="0"/>
                <w:sz w:val="13"/>
              </w:rPr>
              <w:t>Production control and board governance.</w:t>
            </w:r>
          </w:p>
        </w:tc>
      </w:tr>
      <w:tr>
        <w:tc>
          <w:tcPr>
            <w:tcW w:type="dxa" w:w="2592"/>
            <w:vAlign w:val="top"/>
          </w:tcPr>
          <w:p>
            <w:r/>
            <w:r>
              <w:rPr>
                <w:b w:val="0"/>
                <w:sz w:val="13"/>
              </w:rPr>
              <w:t>R-3.0-006</w:t>
            </w:r>
          </w:p>
        </w:tc>
        <w:tc>
          <w:tcPr>
            <w:tcW w:type="dxa" w:w="2592"/>
            <w:vAlign w:val="top"/>
          </w:tcPr>
          <w:p>
            <w:r/>
            <w:r>
              <w:rPr>
                <w:b w:val="0"/>
                <w:sz w:val="13"/>
              </w:rPr>
              <w:t>Surface processing</w:t>
            </w:r>
          </w:p>
        </w:tc>
        <w:tc>
          <w:tcPr>
            <w:tcW w:type="dxa" w:w="2592"/>
            <w:vAlign w:val="top"/>
          </w:tcPr>
          <w:p>
            <w:r/>
            <w:r>
              <w:rPr>
                <w:b w:val="0"/>
                <w:sz w:val="13"/>
              </w:rPr>
              <w:t>Volatile extraction shall remain separated from habitat and evacuation staging. Mineral processing shall remain a separate hazardous industrial facility.</w:t>
            </w:r>
          </w:p>
        </w:tc>
        <w:tc>
          <w:tcPr>
            <w:tcW w:type="dxa" w:w="2592"/>
            <w:vAlign w:val="top"/>
          </w:tcPr>
          <w:p>
            <w:r/>
            <w:r>
              <w:rPr>
                <w:b w:val="0"/>
                <w:sz w:val="13"/>
              </w:rPr>
              <w:t>District A and District H.</w:t>
            </w:r>
          </w:p>
        </w:tc>
      </w:tr>
      <w:tr>
        <w:tc>
          <w:tcPr>
            <w:tcW w:type="dxa" w:w="2592"/>
            <w:vAlign w:val="top"/>
          </w:tcPr>
          <w:p>
            <w:r/>
            <w:r>
              <w:rPr>
                <w:b w:val="0"/>
                <w:sz w:val="13"/>
              </w:rPr>
              <w:t>R-3.0-007</w:t>
            </w:r>
          </w:p>
        </w:tc>
        <w:tc>
          <w:tcPr>
            <w:tcW w:type="dxa" w:w="2592"/>
            <w:vAlign w:val="top"/>
          </w:tcPr>
          <w:p>
            <w:r/>
            <w:r>
              <w:rPr>
                <w:b w:val="0"/>
                <w:sz w:val="13"/>
              </w:rPr>
              <w:t>Power hierarchy</w:t>
            </w:r>
          </w:p>
        </w:tc>
        <w:tc>
          <w:tcPr>
            <w:tcW w:type="dxa" w:w="2592"/>
            <w:vAlign w:val="top"/>
          </w:tcPr>
          <w:p>
            <w:r/>
            <w:r>
              <w:rPr>
                <w:b w:val="0"/>
                <w:sz w:val="13"/>
              </w:rPr>
              <w:t>Primary dependable power, solar supplement, microwave receiver, and emergency batteries or fuel cells shall be controlled as layered power sources.</w:t>
            </w:r>
          </w:p>
        </w:tc>
        <w:tc>
          <w:tcPr>
            <w:tcW w:type="dxa" w:w="2592"/>
            <w:vAlign w:val="top"/>
          </w:tcPr>
          <w:p>
            <w:r/>
            <w:r>
              <w:rPr>
                <w:b w:val="0"/>
                <w:sz w:val="13"/>
              </w:rPr>
              <w:t>District C and G.</w:t>
            </w:r>
          </w:p>
        </w:tc>
      </w:tr>
      <w:tr>
        <w:tc>
          <w:tcPr>
            <w:tcW w:type="dxa" w:w="2592"/>
            <w:vAlign w:val="top"/>
          </w:tcPr>
          <w:p>
            <w:r/>
            <w:r>
              <w:rPr>
                <w:b w:val="0"/>
                <w:sz w:val="13"/>
              </w:rPr>
              <w:t>R-3.0-008</w:t>
            </w:r>
          </w:p>
        </w:tc>
        <w:tc>
          <w:tcPr>
            <w:tcW w:type="dxa" w:w="2592"/>
            <w:vAlign w:val="top"/>
          </w:tcPr>
          <w:p>
            <w:r/>
            <w:r>
              <w:rPr>
                <w:b w:val="0"/>
                <w:sz w:val="13"/>
              </w:rPr>
              <w:t>Spaceport</w:t>
            </w:r>
          </w:p>
        </w:tc>
        <w:tc>
          <w:tcPr>
            <w:tcW w:type="dxa" w:w="2592"/>
            <w:vAlign w:val="top"/>
          </w:tcPr>
          <w:p>
            <w:r/>
            <w:r>
              <w:rPr>
                <w:b w:val="0"/>
                <w:sz w:val="13"/>
              </w:rPr>
              <w:t>Surface spaceport functions shall not share critical choke points with refuge egress or protected habitat utility corridors.</w:t>
            </w:r>
          </w:p>
        </w:tc>
        <w:tc>
          <w:tcPr>
            <w:tcW w:type="dxa" w:w="2592"/>
            <w:vAlign w:val="top"/>
          </w:tcPr>
          <w:p>
            <w:r/>
            <w:r>
              <w:rPr>
                <w:b w:val="0"/>
                <w:sz w:val="13"/>
              </w:rPr>
              <w:t>District F and D/E integration.</w:t>
            </w:r>
          </w:p>
        </w:tc>
      </w:tr>
      <w:tr>
        <w:tc>
          <w:tcPr>
            <w:tcW w:type="dxa" w:w="2592"/>
            <w:vAlign w:val="top"/>
          </w:tcPr>
          <w:p>
            <w:r/>
            <w:r>
              <w:rPr>
                <w:b w:val="0"/>
                <w:sz w:val="13"/>
              </w:rPr>
              <w:t>R-3.0-009</w:t>
            </w:r>
          </w:p>
        </w:tc>
        <w:tc>
          <w:tcPr>
            <w:tcW w:type="dxa" w:w="2592"/>
            <w:vAlign w:val="top"/>
          </w:tcPr>
          <w:p>
            <w:r/>
            <w:r>
              <w:rPr>
                <w:b w:val="0"/>
                <w:sz w:val="13"/>
              </w:rPr>
              <w:t>Launch rail</w:t>
            </w:r>
          </w:p>
        </w:tc>
        <w:tc>
          <w:tcPr>
            <w:tcW w:type="dxa" w:w="2592"/>
            <w:vAlign w:val="top"/>
          </w:tcPr>
          <w:p>
            <w:r/>
            <w:r>
              <w:rPr>
                <w:b w:val="0"/>
                <w:sz w:val="13"/>
              </w:rPr>
              <w:t>Hyperloop EM launch rail shall remain cargo-first and outside the 1000-person occupancy critical path until safety certification is accepted.</w:t>
            </w:r>
          </w:p>
        </w:tc>
        <w:tc>
          <w:tcPr>
            <w:tcW w:type="dxa" w:w="2592"/>
            <w:vAlign w:val="top"/>
          </w:tcPr>
          <w:p>
            <w:r/>
            <w:r>
              <w:rPr>
                <w:b w:val="0"/>
                <w:sz w:val="13"/>
              </w:rPr>
              <w:t>Industrial expansion gate.</w:t>
            </w:r>
          </w:p>
        </w:tc>
      </w:tr>
      <w:tr>
        <w:tc>
          <w:tcPr>
            <w:tcW w:type="dxa" w:w="2592"/>
            <w:vAlign w:val="top"/>
          </w:tcPr>
          <w:p>
            <w:r/>
            <w:r>
              <w:rPr>
                <w:b w:val="0"/>
                <w:sz w:val="13"/>
              </w:rPr>
              <w:t>R-3.0-010</w:t>
            </w:r>
          </w:p>
        </w:tc>
        <w:tc>
          <w:tcPr>
            <w:tcW w:type="dxa" w:w="2592"/>
            <w:vAlign w:val="top"/>
          </w:tcPr>
          <w:p>
            <w:r/>
            <w:r>
              <w:rPr>
                <w:b w:val="0"/>
                <w:sz w:val="13"/>
              </w:rPr>
              <w:t>Seismic monitoring</w:t>
            </w:r>
          </w:p>
        </w:tc>
        <w:tc>
          <w:tcPr>
            <w:tcW w:type="dxa" w:w="2592"/>
            <w:vAlign w:val="top"/>
          </w:tcPr>
          <w:p>
            <w:r/>
            <w:r>
              <w:rPr>
                <w:b w:val="0"/>
                <w:sz w:val="13"/>
              </w:rPr>
              <w:t>Lunar seismic and structural geophysical monitoring shall be active before major shaft, pad, rail, and power district certification.</w:t>
            </w:r>
          </w:p>
        </w:tc>
        <w:tc>
          <w:tcPr>
            <w:tcW w:type="dxa" w:w="2592"/>
            <w:vAlign w:val="top"/>
          </w:tcPr>
          <w:p>
            <w:r/>
            <w:r>
              <w:rPr>
                <w:b w:val="0"/>
                <w:sz w:val="13"/>
              </w:rPr>
              <w:t>District I network.</w:t>
            </w:r>
          </w:p>
        </w:tc>
      </w:tr>
      <w:tr>
        <w:tc>
          <w:tcPr>
            <w:tcW w:type="dxa" w:w="2592"/>
            <w:vAlign w:val="top"/>
          </w:tcPr>
          <w:p>
            <w:r/>
            <w:r>
              <w:rPr>
                <w:b w:val="0"/>
                <w:sz w:val="13"/>
              </w:rPr>
              <w:t>R-3.0-011</w:t>
            </w:r>
          </w:p>
        </w:tc>
        <w:tc>
          <w:tcPr>
            <w:tcW w:type="dxa" w:w="2592"/>
            <w:vAlign w:val="top"/>
          </w:tcPr>
          <w:p>
            <w:r/>
            <w:r>
              <w:rPr>
                <w:b w:val="0"/>
                <w:sz w:val="13"/>
              </w:rPr>
              <w:t>Biodiversity Vault</w:t>
            </w:r>
          </w:p>
        </w:tc>
        <w:tc>
          <w:tcPr>
            <w:tcW w:type="dxa" w:w="2592"/>
            <w:vAlign w:val="top"/>
          </w:tcPr>
          <w:p>
            <w:r/>
            <w:r>
              <w:rPr>
                <w:b w:val="0"/>
                <w:sz w:val="13"/>
              </w:rPr>
              <w:t>The Lunar Biodiversity Vault shall remain isolated from habitat bioload, mineral dust, food production, medical waste, and routine industrial storage.</w:t>
            </w:r>
          </w:p>
        </w:tc>
        <w:tc>
          <w:tcPr>
            <w:tcW w:type="dxa" w:w="2592"/>
            <w:vAlign w:val="top"/>
          </w:tcPr>
          <w:p>
            <w:r/>
            <w:r>
              <w:rPr>
                <w:b w:val="0"/>
                <w:sz w:val="13"/>
              </w:rPr>
              <w:t>District J and biosecurity authority.</w:t>
            </w:r>
          </w:p>
        </w:tc>
      </w:tr>
      <w:tr>
        <w:tc>
          <w:tcPr>
            <w:tcW w:type="dxa" w:w="2592"/>
            <w:vAlign w:val="top"/>
          </w:tcPr>
          <w:p>
            <w:r/>
            <w:r>
              <w:rPr>
                <w:b w:val="0"/>
                <w:sz w:val="13"/>
              </w:rPr>
              <w:t>R-3.0-012</w:t>
            </w:r>
          </w:p>
        </w:tc>
        <w:tc>
          <w:tcPr>
            <w:tcW w:type="dxa" w:w="2592"/>
            <w:vAlign w:val="top"/>
          </w:tcPr>
          <w:p>
            <w:r/>
            <w:r>
              <w:rPr>
                <w:b w:val="0"/>
                <w:sz w:val="13"/>
              </w:rPr>
              <w:t>Mars derivative</w:t>
            </w:r>
          </w:p>
        </w:tc>
        <w:tc>
          <w:tcPr>
            <w:tcW w:type="dxa" w:w="2592"/>
            <w:vAlign w:val="top"/>
          </w:tcPr>
          <w:p>
            <w:r/>
            <w:r>
              <w:rPr>
                <w:b w:val="0"/>
                <w:sz w:val="13"/>
              </w:rPr>
              <w:t>Mars shall use lunar settlement and mineral processing design as parent architecture only, with Mars-specific modification before procurement.</w:t>
            </w:r>
          </w:p>
        </w:tc>
        <w:tc>
          <w:tcPr>
            <w:tcW w:type="dxa" w:w="2592"/>
            <w:vAlign w:val="top"/>
          </w:tcPr>
          <w:p>
            <w:r/>
            <w:r>
              <w:rPr>
                <w:b w:val="0"/>
                <w:sz w:val="13"/>
              </w:rPr>
              <w:t>WP26.</w:t>
            </w:r>
          </w:p>
        </w:tc>
      </w:tr>
      <w:tr>
        <w:tc>
          <w:tcPr>
            <w:tcW w:type="dxa" w:w="2592"/>
            <w:vAlign w:val="top"/>
          </w:tcPr>
          <w:p>
            <w:r/>
            <w:r>
              <w:rPr>
                <w:b w:val="0"/>
                <w:sz w:val="13"/>
              </w:rPr>
              <w:t>R-3.0-013</w:t>
            </w:r>
          </w:p>
        </w:tc>
        <w:tc>
          <w:tcPr>
            <w:tcW w:type="dxa" w:w="2592"/>
            <w:vAlign w:val="top"/>
          </w:tcPr>
          <w:p>
            <w:r/>
            <w:r>
              <w:rPr>
                <w:b w:val="0"/>
                <w:sz w:val="13"/>
              </w:rPr>
              <w:t>Ceres autonomy</w:t>
            </w:r>
          </w:p>
        </w:tc>
        <w:tc>
          <w:tcPr>
            <w:tcW w:type="dxa" w:w="2592"/>
            <w:vAlign w:val="top"/>
          </w:tcPr>
          <w:p>
            <w:r/>
            <w:r>
              <w:rPr>
                <w:b w:val="0"/>
                <w:sz w:val="13"/>
              </w:rPr>
              <w:t>Ceres CAMW shall maintain local safety autonomy because communication delay prevents real-time lunar control.</w:t>
            </w:r>
          </w:p>
        </w:tc>
        <w:tc>
          <w:tcPr>
            <w:tcW w:type="dxa" w:w="2592"/>
            <w:vAlign w:val="top"/>
          </w:tcPr>
          <w:p>
            <w:r/>
            <w:r>
              <w:rPr>
                <w:b w:val="0"/>
                <w:sz w:val="13"/>
              </w:rPr>
              <w:t>WP28.</w:t>
            </w:r>
          </w:p>
        </w:tc>
      </w:tr>
      <w:tr>
        <w:tc>
          <w:tcPr>
            <w:tcW w:type="dxa" w:w="2592"/>
            <w:vAlign w:val="top"/>
          </w:tcPr>
          <w:p>
            <w:r/>
            <w:r>
              <w:rPr>
                <w:b w:val="0"/>
                <w:sz w:val="13"/>
              </w:rPr>
              <w:t>R-3.0-014</w:t>
            </w:r>
          </w:p>
        </w:tc>
        <w:tc>
          <w:tcPr>
            <w:tcW w:type="dxa" w:w="2592"/>
            <w:vAlign w:val="top"/>
          </w:tcPr>
          <w:p>
            <w:r/>
            <w:r>
              <w:rPr>
                <w:b w:val="0"/>
                <w:sz w:val="13"/>
              </w:rPr>
              <w:t>Venus local safety</w:t>
            </w:r>
          </w:p>
        </w:tc>
        <w:tc>
          <w:tcPr>
            <w:tcW w:type="dxa" w:w="2592"/>
            <w:vAlign w:val="top"/>
          </w:tcPr>
          <w:p>
            <w:r/>
            <w:r>
              <w:rPr>
                <w:b w:val="0"/>
                <w:sz w:val="13"/>
              </w:rPr>
              <w:t>Venus afloat and orbital platforms shall hold local authority over buoyancy, corrosion, collision avoidance, rendezvous denial, and emergency safing.</w:t>
            </w:r>
          </w:p>
        </w:tc>
        <w:tc>
          <w:tcPr>
            <w:tcW w:type="dxa" w:w="2592"/>
            <w:vAlign w:val="top"/>
          </w:tcPr>
          <w:p>
            <w:r/>
            <w:r>
              <w:rPr>
                <w:b w:val="0"/>
                <w:sz w:val="13"/>
              </w:rPr>
              <w:t>WP29 and WP30.</w:t>
            </w:r>
          </w:p>
        </w:tc>
      </w:tr>
      <w:tr>
        <w:tc>
          <w:tcPr>
            <w:tcW w:type="dxa" w:w="2592"/>
            <w:vAlign w:val="top"/>
          </w:tcPr>
          <w:p>
            <w:r/>
            <w:r>
              <w:rPr>
                <w:b w:val="0"/>
                <w:sz w:val="13"/>
              </w:rPr>
              <w:t>R-3.0-015</w:t>
            </w:r>
          </w:p>
        </w:tc>
        <w:tc>
          <w:tcPr>
            <w:tcW w:type="dxa" w:w="2592"/>
            <w:vAlign w:val="top"/>
          </w:tcPr>
          <w:p>
            <w:r/>
            <w:r>
              <w:rPr>
                <w:b w:val="0"/>
                <w:sz w:val="13"/>
              </w:rPr>
              <w:t>Interface control</w:t>
            </w:r>
          </w:p>
        </w:tc>
        <w:tc>
          <w:tcPr>
            <w:tcW w:type="dxa" w:w="2592"/>
            <w:vAlign w:val="top"/>
          </w:tcPr>
          <w:p>
            <w:r/>
            <w:r>
              <w:rPr>
                <w:b w:val="0"/>
                <w:sz w:val="13"/>
              </w:rPr>
              <w:t>All new systems shall have interface control documents before preliminary design review.</w:t>
            </w:r>
          </w:p>
        </w:tc>
        <w:tc>
          <w:tcPr>
            <w:tcW w:type="dxa" w:w="2592"/>
            <w:vAlign w:val="top"/>
          </w:tcPr>
          <w:p>
            <w:r/>
            <w:r>
              <w:rPr>
                <w:b w:val="0"/>
                <w:sz w:val="13"/>
              </w:rPr>
              <w:t>WP31 and systems engineering.</w:t>
            </w:r>
          </w:p>
        </w:tc>
      </w:tr>
      <w:tr>
        <w:tc>
          <w:tcPr>
            <w:tcW w:type="dxa" w:w="2592"/>
            <w:vAlign w:val="top"/>
          </w:tcPr>
          <w:p>
            <w:r/>
            <w:r>
              <w:rPr>
                <w:b w:val="0"/>
                <w:sz w:val="13"/>
              </w:rPr>
              <w:t>R-3.0-016</w:t>
            </w:r>
          </w:p>
        </w:tc>
        <w:tc>
          <w:tcPr>
            <w:tcW w:type="dxa" w:w="2592"/>
            <w:vAlign w:val="top"/>
          </w:tcPr>
          <w:p>
            <w:r/>
            <w:r>
              <w:rPr>
                <w:b w:val="0"/>
                <w:sz w:val="13"/>
              </w:rPr>
              <w:t>Funding control</w:t>
            </w:r>
          </w:p>
        </w:tc>
        <w:tc>
          <w:tcPr>
            <w:tcW w:type="dxa" w:w="2592"/>
            <w:vAlign w:val="top"/>
          </w:tcPr>
          <w:p>
            <w:r/>
            <w:r>
              <w:rPr>
                <w:b w:val="0"/>
                <w:sz w:val="13"/>
              </w:rPr>
              <w:t>Expansion systems may not consume life safety contingency or reduce lunar protected reserve compliance without board approval.</w:t>
            </w:r>
          </w:p>
        </w:tc>
        <w:tc>
          <w:tcPr>
            <w:tcW w:type="dxa" w:w="2592"/>
            <w:vAlign w:val="top"/>
          </w:tcPr>
          <w:p>
            <w:r/>
            <w:r>
              <w:rPr>
                <w:b w:val="0"/>
                <w:sz w:val="13"/>
              </w:rPr>
              <w:t>Finance and portfolio governance.</w:t>
            </w:r>
          </w:p>
        </w:tc>
      </w:tr>
    </w:tbl>
    <w:p>
      <w:pPr>
        <w:spacing w:after="20"/>
      </w:pPr>
    </w:p>
    <w:p>
      <w:pPr>
        <w:pStyle w:val="Heading2"/>
      </w:pPr>
      <w:r>
        <w:t>20.5 WBS, Schedule, Cost, and Revenue Baseline Reconciliation</w:t>
      </w:r>
    </w:p>
    <w:p>
      <w:pPr>
        <w:spacing w:after="60" w:before="0" w:line="252" w:lineRule="auto"/>
      </w:pPr>
      <w:r>
        <w:rPr>
          <w:sz w:val="19"/>
        </w:rPr>
        <w:t>The Rev 3.0 review confirms that WBS WP1 through WP31 remain active. WP1 through WP19 control the original lunar Phase 1 build. WP20 through WP25 control the Rev 2.7 lunar industrial additions. WP26 through WP31 control Mars, Lunar Biodiversity Vault, Ceres, Venus, and interface control derivatives.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Baseline Area</w:t>
            </w:r>
          </w:p>
        </w:tc>
        <w:tc>
          <w:tcPr>
            <w:tcW w:type="dxa" w:w="3456"/>
            <w:vAlign w:val="top"/>
            <w:shd w:fill="D9EAF7"/>
          </w:tcPr>
          <w:p>
            <w:r/>
            <w:r>
              <w:rPr>
                <w:b/>
                <w:sz w:val="14"/>
              </w:rPr>
              <w:t>Current Rev 3.0 Position</w:t>
            </w:r>
          </w:p>
        </w:tc>
        <w:tc>
          <w:tcPr>
            <w:tcW w:type="dxa" w:w="3456"/>
            <w:vAlign w:val="top"/>
            <w:shd w:fill="D9EAF7"/>
          </w:tcPr>
          <w:p>
            <w:r/>
            <w:r>
              <w:rPr>
                <w:b/>
                <w:sz w:val="14"/>
              </w:rPr>
              <w:t>Board Control Rule</w:t>
            </w:r>
          </w:p>
        </w:tc>
      </w:tr>
      <w:tr>
        <w:tc>
          <w:tcPr>
            <w:tcW w:type="dxa" w:w="3456"/>
            <w:vAlign w:val="top"/>
          </w:tcPr>
          <w:p>
            <w:r/>
            <w:r>
              <w:rPr>
                <w:b w:val="0"/>
                <w:sz w:val="14"/>
              </w:rPr>
              <w:t>Core lunar Phase 1 capital</w:t>
            </w:r>
          </w:p>
        </w:tc>
        <w:tc>
          <w:tcPr>
            <w:tcW w:type="dxa" w:w="3456"/>
            <w:vAlign w:val="top"/>
          </w:tcPr>
          <w:p>
            <w:r/>
            <w:r>
              <w:rPr>
                <w:b w:val="0"/>
                <w:sz w:val="14"/>
              </w:rPr>
              <w:t>129.3B USD mid-case remains the core life safety, habitat, power, utility, production, refuge, and evacuation planning baseline.</w:t>
            </w:r>
          </w:p>
        </w:tc>
        <w:tc>
          <w:tcPr>
            <w:tcW w:type="dxa" w:w="3456"/>
            <w:vAlign w:val="top"/>
          </w:tcPr>
          <w:p>
            <w:r/>
            <w:r>
              <w:rPr>
                <w:b w:val="0"/>
                <w:sz w:val="14"/>
              </w:rPr>
              <w:t>Cannot be reduced by shifting life safety scope to optional packages.</w:t>
            </w:r>
          </w:p>
        </w:tc>
      </w:tr>
      <w:tr>
        <w:tc>
          <w:tcPr>
            <w:tcW w:type="dxa" w:w="3456"/>
            <w:vAlign w:val="top"/>
          </w:tcPr>
          <w:p>
            <w:r/>
            <w:r>
              <w:rPr>
                <w:b w:val="0"/>
                <w:sz w:val="14"/>
              </w:rPr>
              <w:t>Expanded lunar industrial baseline</w:t>
            </w:r>
          </w:p>
        </w:tc>
        <w:tc>
          <w:tcPr>
            <w:tcW w:type="dxa" w:w="3456"/>
            <w:vAlign w:val="top"/>
          </w:tcPr>
          <w:p>
            <w:r/>
            <w:r>
              <w:rPr>
                <w:b w:val="0"/>
                <w:sz w:val="14"/>
              </w:rPr>
              <w:t>Rev 2.7 additions move lunar planning baseline to roughly 175B to 180B USD mid-case when spaceport, solar, microwave, seismic, launch rail, and mineral processing are included.</w:t>
            </w:r>
          </w:p>
        </w:tc>
        <w:tc>
          <w:tcPr>
            <w:tcW w:type="dxa" w:w="3456"/>
            <w:vAlign w:val="top"/>
          </w:tcPr>
          <w:p>
            <w:r/>
            <w:r>
              <w:rPr>
                <w:b w:val="0"/>
                <w:sz w:val="14"/>
              </w:rPr>
              <w:t>Occupancy may proceed without launch rail maturity.</w:t>
            </w:r>
          </w:p>
        </w:tc>
      </w:tr>
      <w:tr>
        <w:tc>
          <w:tcPr>
            <w:tcW w:type="dxa" w:w="3456"/>
            <w:vAlign w:val="top"/>
          </w:tcPr>
          <w:p>
            <w:r/>
            <w:r>
              <w:rPr>
                <w:b w:val="0"/>
                <w:sz w:val="14"/>
              </w:rPr>
              <w:t>Expanded mature lunar OpEx</w:t>
            </w:r>
          </w:p>
        </w:tc>
        <w:tc>
          <w:tcPr>
            <w:tcW w:type="dxa" w:w="3456"/>
            <w:vAlign w:val="top"/>
          </w:tcPr>
          <w:p>
            <w:r/>
            <w:r>
              <w:rPr>
                <w:b w:val="0"/>
                <w:sz w:val="14"/>
              </w:rPr>
              <w:t>Rev 2.7 mature OpEx estimate remains roughly 15.0B USD per year mid-case.</w:t>
            </w:r>
          </w:p>
        </w:tc>
        <w:tc>
          <w:tcPr>
            <w:tcW w:type="dxa" w:w="3456"/>
            <w:vAlign w:val="top"/>
          </w:tcPr>
          <w:p>
            <w:r/>
            <w:r>
              <w:rPr>
                <w:b w:val="0"/>
                <w:sz w:val="14"/>
              </w:rPr>
              <w:t>Review quarterly after design maturity and operations model updates.</w:t>
            </w:r>
          </w:p>
        </w:tc>
      </w:tr>
      <w:tr>
        <w:tc>
          <w:tcPr>
            <w:tcW w:type="dxa" w:w="3456"/>
            <w:vAlign w:val="top"/>
          </w:tcPr>
          <w:p>
            <w:r/>
            <w:r>
              <w:rPr>
                <w:b w:val="0"/>
                <w:sz w:val="14"/>
              </w:rPr>
              <w:t>Mars derivative</w:t>
            </w:r>
          </w:p>
        </w:tc>
        <w:tc>
          <w:tcPr>
            <w:tcW w:type="dxa" w:w="3456"/>
            <w:vAlign w:val="top"/>
          </w:tcPr>
          <w:p>
            <w:r/>
            <w:r>
              <w:rPr>
                <w:b w:val="0"/>
                <w:sz w:val="14"/>
              </w:rPr>
              <w:t>Mars settlement and mineral processing copy package remains separate from lunar Phase 1 capital.</w:t>
            </w:r>
          </w:p>
        </w:tc>
        <w:tc>
          <w:tcPr>
            <w:tcW w:type="dxa" w:w="3456"/>
            <w:vAlign w:val="top"/>
          </w:tcPr>
          <w:p>
            <w:r/>
            <w:r>
              <w:rPr>
                <w:b w:val="0"/>
                <w:sz w:val="14"/>
              </w:rPr>
              <w:t>No procurement before Mars adaptation review gate.</w:t>
            </w:r>
          </w:p>
        </w:tc>
      </w:tr>
      <w:tr>
        <w:tc>
          <w:tcPr>
            <w:tcW w:type="dxa" w:w="3456"/>
            <w:vAlign w:val="top"/>
          </w:tcPr>
          <w:p>
            <w:r/>
            <w:r>
              <w:rPr>
                <w:b w:val="0"/>
                <w:sz w:val="14"/>
              </w:rPr>
              <w:t>Ceres and Venus derivatives</w:t>
            </w:r>
          </w:p>
        </w:tc>
        <w:tc>
          <w:tcPr>
            <w:tcW w:type="dxa" w:w="3456"/>
            <w:vAlign w:val="top"/>
          </w:tcPr>
          <w:p>
            <w:r/>
            <w:r>
              <w:rPr>
                <w:b w:val="0"/>
                <w:sz w:val="14"/>
              </w:rPr>
              <w:t>Ceres CAMW, Venus afloat gas processing, and Venus orbital platform remain derivative expansion assets.</w:t>
            </w:r>
          </w:p>
        </w:tc>
        <w:tc>
          <w:tcPr>
            <w:tcW w:type="dxa" w:w="3456"/>
            <w:vAlign w:val="top"/>
          </w:tcPr>
          <w:p>
            <w:r/>
            <w:r>
              <w:rPr>
                <w:b w:val="0"/>
                <w:sz w:val="14"/>
              </w:rPr>
              <w:t>Require local safety autonomy case and interface control documents.</w:t>
            </w:r>
          </w:p>
        </w:tc>
      </w:tr>
      <w:tr>
        <w:tc>
          <w:tcPr>
            <w:tcW w:type="dxa" w:w="3456"/>
            <w:vAlign w:val="top"/>
          </w:tcPr>
          <w:p>
            <w:r/>
            <w:r>
              <w:rPr>
                <w:b w:val="0"/>
                <w:sz w:val="14"/>
              </w:rPr>
              <w:t>Revenue model</w:t>
            </w:r>
          </w:p>
        </w:tc>
        <w:tc>
          <w:tcPr>
            <w:tcW w:type="dxa" w:w="3456"/>
            <w:vAlign w:val="top"/>
          </w:tcPr>
          <w:p>
            <w:r/>
            <w:r>
              <w:rPr>
                <w:b w:val="0"/>
                <w:sz w:val="14"/>
              </w:rPr>
              <w:t>Strategic availability, propellant offtake, logistics, tenancy, repair, data, and mineral processing remain the active revenue stack.</w:t>
            </w:r>
          </w:p>
        </w:tc>
        <w:tc>
          <w:tcPr>
            <w:tcW w:type="dxa" w:w="3456"/>
            <w:vAlign w:val="top"/>
          </w:tcPr>
          <w:p>
            <w:r/>
            <w:r>
              <w:rPr>
                <w:b w:val="0"/>
                <w:sz w:val="14"/>
              </w:rPr>
              <w:t>Do not approve full capital release on speculative commodity sales alone.</w:t>
            </w:r>
          </w:p>
        </w:tc>
      </w:tr>
      <w:tr>
        <w:tc>
          <w:tcPr>
            <w:tcW w:type="dxa" w:w="3456"/>
            <w:vAlign w:val="top"/>
          </w:tcPr>
          <w:p>
            <w:r/>
            <w:r>
              <w:rPr>
                <w:b w:val="0"/>
                <w:sz w:val="14"/>
              </w:rPr>
              <w:t>Schedule</w:t>
            </w:r>
          </w:p>
        </w:tc>
        <w:tc>
          <w:tcPr>
            <w:tcW w:type="dxa" w:w="3456"/>
            <w:vAlign w:val="top"/>
          </w:tcPr>
          <w:p>
            <w:r/>
            <w:r>
              <w:rPr>
                <w:b w:val="0"/>
                <w:sz w:val="14"/>
              </w:rPr>
              <w:t>Full 1000-person lunar certification remains a 9 to 10 year class schedule, with 12 to 18 months management reserve.</w:t>
            </w:r>
          </w:p>
        </w:tc>
        <w:tc>
          <w:tcPr>
            <w:tcW w:type="dxa" w:w="3456"/>
            <w:vAlign w:val="top"/>
          </w:tcPr>
          <w:p>
            <w:r/>
            <w:r>
              <w:rPr>
                <w:b w:val="0"/>
                <w:sz w:val="14"/>
              </w:rPr>
              <w:t>Hard population gates remain mandatory.</w:t>
            </w:r>
          </w:p>
        </w:tc>
      </w:tr>
    </w:tbl>
    <w:p>
      <w:pPr>
        <w:spacing w:after="20"/>
      </w:pPr>
    </w:p>
    <w:p>
      <w:pPr>
        <w:pStyle w:val="Heading2"/>
      </w:pPr>
      <w:r>
        <w:t>20.6 Configuration Control Hierarchy</w:t>
      </w:r>
    </w:p>
    <w:p>
      <w:pPr>
        <w:spacing w:after="60" w:before="0" w:line="252" w:lineRule="auto"/>
      </w:pPr>
      <w:r>
        <w:rPr>
          <w:sz w:val="19"/>
        </w:rPr>
        <w:t>Rev 3.0 establishes a document hierarchy to prevent future chat-driven changes from bypassing safety, cost, or interface controls.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Tier</w:t>
            </w:r>
          </w:p>
        </w:tc>
        <w:tc>
          <w:tcPr>
            <w:tcW w:type="dxa" w:w="3456"/>
            <w:vAlign w:val="top"/>
            <w:shd w:fill="D9EAF7"/>
          </w:tcPr>
          <w:p>
            <w:r/>
            <w:r>
              <w:rPr>
                <w:b/>
                <w:sz w:val="14"/>
              </w:rPr>
              <w:t>Document Family</w:t>
            </w:r>
          </w:p>
        </w:tc>
        <w:tc>
          <w:tcPr>
            <w:tcW w:type="dxa" w:w="3456"/>
            <w:vAlign w:val="top"/>
            <w:shd w:fill="D9EAF7"/>
          </w:tcPr>
          <w:p>
            <w:r/>
            <w:r>
              <w:rPr>
                <w:b/>
                <w:sz w:val="14"/>
              </w:rPr>
              <w:t>Purpose</w:t>
            </w:r>
          </w:p>
        </w:tc>
      </w:tr>
      <w:tr>
        <w:tc>
          <w:tcPr>
            <w:tcW w:type="dxa" w:w="3456"/>
            <w:vAlign w:val="top"/>
          </w:tcPr>
          <w:p>
            <w:r/>
            <w:r>
              <w:rPr>
                <w:b w:val="0"/>
                <w:sz w:val="14"/>
              </w:rPr>
              <w:t>Tier 0</w:t>
            </w:r>
          </w:p>
        </w:tc>
        <w:tc>
          <w:tcPr>
            <w:tcW w:type="dxa" w:w="3456"/>
            <w:vAlign w:val="top"/>
          </w:tcPr>
          <w:p>
            <w:r/>
            <w:r>
              <w:rPr>
                <w:b w:val="0"/>
                <w:sz w:val="14"/>
              </w:rPr>
              <w:t>Master ISRU Program Document</w:t>
            </w:r>
          </w:p>
        </w:tc>
        <w:tc>
          <w:tcPr>
            <w:tcW w:type="dxa" w:w="3456"/>
            <w:vAlign w:val="top"/>
          </w:tcPr>
          <w:p>
            <w:r/>
            <w:r>
              <w:rPr>
                <w:b w:val="0"/>
                <w:sz w:val="14"/>
              </w:rPr>
              <w:t>Controls architecture, top requirements, WBS, portfolio gates, and board baseline.</w:t>
            </w:r>
          </w:p>
        </w:tc>
      </w:tr>
      <w:tr>
        <w:tc>
          <w:tcPr>
            <w:tcW w:type="dxa" w:w="3456"/>
            <w:vAlign w:val="top"/>
          </w:tcPr>
          <w:p>
            <w:r/>
            <w:r>
              <w:rPr>
                <w:b w:val="0"/>
                <w:sz w:val="14"/>
              </w:rPr>
              <w:t>Tier 1</w:t>
            </w:r>
          </w:p>
        </w:tc>
        <w:tc>
          <w:tcPr>
            <w:tcW w:type="dxa" w:w="3456"/>
            <w:vAlign w:val="top"/>
          </w:tcPr>
          <w:p>
            <w:r/>
            <w:r>
              <w:rPr>
                <w:b w:val="0"/>
                <w:sz w:val="14"/>
              </w:rPr>
              <w:t>Lunar Phase 1 Design Basis</w:t>
            </w:r>
          </w:p>
        </w:tc>
        <w:tc>
          <w:tcPr>
            <w:tcW w:type="dxa" w:w="3456"/>
            <w:vAlign w:val="top"/>
          </w:tcPr>
          <w:p>
            <w:r/>
            <w:r>
              <w:rPr>
                <w:b w:val="0"/>
                <w:sz w:val="14"/>
              </w:rPr>
              <w:t>Controls lunar south pole layout, utilities, refuge, evacuation, occupancy, industrial process, spaceport, power, and vault requirements.</w:t>
            </w:r>
          </w:p>
        </w:tc>
      </w:tr>
      <w:tr>
        <w:tc>
          <w:tcPr>
            <w:tcW w:type="dxa" w:w="3456"/>
            <w:vAlign w:val="top"/>
          </w:tcPr>
          <w:p>
            <w:r/>
            <w:r>
              <w:rPr>
                <w:b w:val="0"/>
                <w:sz w:val="14"/>
              </w:rPr>
              <w:t>Tier 1</w:t>
            </w:r>
          </w:p>
        </w:tc>
        <w:tc>
          <w:tcPr>
            <w:tcW w:type="dxa" w:w="3456"/>
            <w:vAlign w:val="top"/>
          </w:tcPr>
          <w:p>
            <w:r/>
            <w:r>
              <w:rPr>
                <w:b w:val="0"/>
                <w:sz w:val="14"/>
              </w:rPr>
              <w:t>Mars Derivative Design Basis</w:t>
            </w:r>
          </w:p>
        </w:tc>
        <w:tc>
          <w:tcPr>
            <w:tcW w:type="dxa" w:w="3456"/>
            <w:vAlign w:val="top"/>
          </w:tcPr>
          <w:p>
            <w:r/>
            <w:r>
              <w:rPr>
                <w:b w:val="0"/>
                <w:sz w:val="14"/>
              </w:rPr>
              <w:t>Controls Mars adaptation of the lunar template and mineral processing facility.</w:t>
            </w:r>
          </w:p>
        </w:tc>
      </w:tr>
      <w:tr>
        <w:tc>
          <w:tcPr>
            <w:tcW w:type="dxa" w:w="3456"/>
            <w:vAlign w:val="top"/>
          </w:tcPr>
          <w:p>
            <w:r/>
            <w:r>
              <w:rPr>
                <w:b w:val="0"/>
                <w:sz w:val="14"/>
              </w:rPr>
              <w:t>Tier 1</w:t>
            </w:r>
          </w:p>
        </w:tc>
        <w:tc>
          <w:tcPr>
            <w:tcW w:type="dxa" w:w="3456"/>
            <w:vAlign w:val="top"/>
          </w:tcPr>
          <w:p>
            <w:r/>
            <w:r>
              <w:rPr>
                <w:b w:val="0"/>
                <w:sz w:val="14"/>
              </w:rPr>
              <w:t>Ceres CAMW Design Basis</w:t>
            </w:r>
          </w:p>
        </w:tc>
        <w:tc>
          <w:tcPr>
            <w:tcW w:type="dxa" w:w="3456"/>
            <w:vAlign w:val="top"/>
          </w:tcPr>
          <w:p>
            <w:r/>
            <w:r>
              <w:rPr>
                <w:b w:val="0"/>
                <w:sz w:val="14"/>
              </w:rPr>
              <w:t>Controls robotic worksite autonomy, anchoring, processing, and belt logistics.</w:t>
            </w:r>
          </w:p>
        </w:tc>
      </w:tr>
      <w:tr>
        <w:tc>
          <w:tcPr>
            <w:tcW w:type="dxa" w:w="3456"/>
            <w:vAlign w:val="top"/>
          </w:tcPr>
          <w:p>
            <w:r/>
            <w:r>
              <w:rPr>
                <w:b w:val="0"/>
                <w:sz w:val="14"/>
              </w:rPr>
              <w:t>Tier 1</w:t>
            </w:r>
          </w:p>
        </w:tc>
        <w:tc>
          <w:tcPr>
            <w:tcW w:type="dxa" w:w="3456"/>
            <w:vAlign w:val="top"/>
          </w:tcPr>
          <w:p>
            <w:r/>
            <w:r>
              <w:rPr>
                <w:b w:val="0"/>
                <w:sz w:val="14"/>
              </w:rPr>
              <w:t>Venus V-GPAM and V-OTIP Design Basis</w:t>
            </w:r>
          </w:p>
        </w:tc>
        <w:tc>
          <w:tcPr>
            <w:tcW w:type="dxa" w:w="3456"/>
            <w:vAlign w:val="top"/>
          </w:tcPr>
          <w:p>
            <w:r/>
            <w:r>
              <w:rPr>
                <w:b w:val="0"/>
                <w:sz w:val="14"/>
              </w:rPr>
              <w:t>Controls aerostat gas processing, corrosion, buoyancy, orbital traffic insertion, rendezvous, and safety autonomy.</w:t>
            </w:r>
          </w:p>
        </w:tc>
      </w:tr>
      <w:tr>
        <w:tc>
          <w:tcPr>
            <w:tcW w:type="dxa" w:w="3456"/>
            <w:vAlign w:val="top"/>
          </w:tcPr>
          <w:p>
            <w:r/>
            <w:r>
              <w:rPr>
                <w:b w:val="0"/>
                <w:sz w:val="14"/>
              </w:rPr>
              <w:t>Tier 2</w:t>
            </w:r>
          </w:p>
        </w:tc>
        <w:tc>
          <w:tcPr>
            <w:tcW w:type="dxa" w:w="3456"/>
            <w:vAlign w:val="top"/>
          </w:tcPr>
          <w:p>
            <w:r/>
            <w:r>
              <w:rPr>
                <w:b w:val="0"/>
                <w:sz w:val="14"/>
              </w:rPr>
              <w:t>Interface Control Documents</w:t>
            </w:r>
          </w:p>
        </w:tc>
        <w:tc>
          <w:tcPr>
            <w:tcW w:type="dxa" w:w="3456"/>
            <w:vAlign w:val="top"/>
          </w:tcPr>
          <w:p>
            <w:r/>
            <w:r>
              <w:rPr>
                <w:b w:val="0"/>
                <w:sz w:val="14"/>
              </w:rPr>
              <w:t>Control power, data, logistics, cargo, products, safety commands, traffic windows, and emergency authority between assets.</w:t>
            </w:r>
          </w:p>
        </w:tc>
      </w:tr>
      <w:tr>
        <w:tc>
          <w:tcPr>
            <w:tcW w:type="dxa" w:w="3456"/>
            <w:vAlign w:val="top"/>
          </w:tcPr>
          <w:p>
            <w:r/>
            <w:r>
              <w:rPr>
                <w:b w:val="0"/>
                <w:sz w:val="14"/>
              </w:rPr>
              <w:t>Tier 2</w:t>
            </w:r>
          </w:p>
        </w:tc>
        <w:tc>
          <w:tcPr>
            <w:tcW w:type="dxa" w:w="3456"/>
            <w:vAlign w:val="top"/>
          </w:tcPr>
          <w:p>
            <w:r/>
            <w:r>
              <w:rPr>
                <w:b w:val="0"/>
                <w:sz w:val="14"/>
              </w:rPr>
              <w:t>Verification and Certification Plans</w:t>
            </w:r>
          </w:p>
        </w:tc>
        <w:tc>
          <w:tcPr>
            <w:tcW w:type="dxa" w:w="3456"/>
            <w:vAlign w:val="top"/>
          </w:tcPr>
          <w:p>
            <w:r/>
            <w:r>
              <w:rPr>
                <w:b w:val="0"/>
                <w:sz w:val="14"/>
              </w:rPr>
              <w:t>Control test evidence, acceptance criteria, readiness reviews, and design gates.</w:t>
            </w:r>
          </w:p>
        </w:tc>
      </w:tr>
    </w:tbl>
    <w:p>
      <w:pPr>
        <w:spacing w:after="20"/>
      </w:pPr>
    </w:p>
    <w:p>
      <w:pPr>
        <w:pStyle w:val="Heading2"/>
      </w:pPr>
      <w:r>
        <w:t>20.7 Gap Closure Findings</w:t>
      </w:r>
    </w:p>
    <w:p>
      <w:pPr>
        <w:spacing w:after="60" w:before="0" w:line="252" w:lineRule="auto"/>
      </w:pPr>
      <w:r>
        <w:rPr>
          <w:sz w:val="19"/>
        </w:rPr>
        <w:t>The review found that the master baseline is coherent, but several subordinate documents are now required to convert the program concept into controlled engineering products.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Gap</w:t>
            </w:r>
          </w:p>
        </w:tc>
        <w:tc>
          <w:tcPr>
            <w:tcW w:type="dxa" w:w="3456"/>
            <w:vAlign w:val="top"/>
            <w:shd w:fill="D9EAF7"/>
          </w:tcPr>
          <w:p>
            <w:r/>
            <w:r>
              <w:rPr>
                <w:b/>
                <w:sz w:val="14"/>
              </w:rPr>
              <w:t>Reason</w:t>
            </w:r>
          </w:p>
        </w:tc>
        <w:tc>
          <w:tcPr>
            <w:tcW w:type="dxa" w:w="3456"/>
            <w:vAlign w:val="top"/>
            <w:shd w:fill="D9EAF7"/>
          </w:tcPr>
          <w:p>
            <w:r/>
            <w:r>
              <w:rPr>
                <w:b/>
                <w:sz w:val="14"/>
              </w:rPr>
              <w:t>Closure Gate</w:t>
            </w:r>
          </w:p>
        </w:tc>
      </w:tr>
      <w:tr>
        <w:tc>
          <w:tcPr>
            <w:tcW w:type="dxa" w:w="3456"/>
            <w:vAlign w:val="top"/>
          </w:tcPr>
          <w:p>
            <w:r/>
            <w:r>
              <w:rPr>
                <w:b w:val="0"/>
                <w:sz w:val="14"/>
              </w:rPr>
              <w:t>Mars adaptation matrix</w:t>
            </w:r>
          </w:p>
        </w:tc>
        <w:tc>
          <w:tcPr>
            <w:tcW w:type="dxa" w:w="3456"/>
            <w:vAlign w:val="top"/>
          </w:tcPr>
          <w:p>
            <w:r/>
            <w:r>
              <w:rPr>
                <w:b w:val="0"/>
                <w:sz w:val="14"/>
              </w:rPr>
              <w:t>Needed to prevent direct copying of lunar design where Mars gravity, atmosphere, dust, perchlorates, water, and planetary protection change the design.</w:t>
            </w:r>
          </w:p>
        </w:tc>
        <w:tc>
          <w:tcPr>
            <w:tcW w:type="dxa" w:w="3456"/>
            <w:vAlign w:val="top"/>
          </w:tcPr>
          <w:p>
            <w:r/>
            <w:r>
              <w:rPr>
                <w:b w:val="0"/>
                <w:sz w:val="14"/>
              </w:rPr>
              <w:t>Before Mars preliminary design review.</w:t>
            </w:r>
          </w:p>
        </w:tc>
      </w:tr>
      <w:tr>
        <w:tc>
          <w:tcPr>
            <w:tcW w:type="dxa" w:w="3456"/>
            <w:vAlign w:val="top"/>
          </w:tcPr>
          <w:p>
            <w:r/>
            <w:r>
              <w:rPr>
                <w:b w:val="0"/>
                <w:sz w:val="14"/>
              </w:rPr>
              <w:t>Biodiversity Vault biosecurity plan</w:t>
            </w:r>
          </w:p>
        </w:tc>
        <w:tc>
          <w:tcPr>
            <w:tcW w:type="dxa" w:w="3456"/>
            <w:vAlign w:val="top"/>
          </w:tcPr>
          <w:p>
            <w:r/>
            <w:r>
              <w:rPr>
                <w:b w:val="0"/>
                <w:sz w:val="14"/>
              </w:rPr>
              <w:t>Needed to separate strategic archive protection from general life support cleanliness.</w:t>
            </w:r>
          </w:p>
        </w:tc>
        <w:tc>
          <w:tcPr>
            <w:tcW w:type="dxa" w:w="3456"/>
            <w:vAlign w:val="top"/>
          </w:tcPr>
          <w:p>
            <w:r/>
            <w:r>
              <w:rPr>
                <w:b w:val="0"/>
                <w:sz w:val="14"/>
              </w:rPr>
              <w:t>Before vault schematic design.</w:t>
            </w:r>
          </w:p>
        </w:tc>
      </w:tr>
      <w:tr>
        <w:tc>
          <w:tcPr>
            <w:tcW w:type="dxa" w:w="3456"/>
            <w:vAlign w:val="top"/>
          </w:tcPr>
          <w:p>
            <w:r/>
            <w:r>
              <w:rPr>
                <w:b w:val="0"/>
                <w:sz w:val="14"/>
              </w:rPr>
              <w:t>Ceres autonomy and anchoring safety case</w:t>
            </w:r>
          </w:p>
        </w:tc>
        <w:tc>
          <w:tcPr>
            <w:tcW w:type="dxa" w:w="3456"/>
            <w:vAlign w:val="top"/>
          </w:tcPr>
          <w:p>
            <w:r/>
            <w:r>
              <w:rPr>
                <w:b w:val="0"/>
                <w:sz w:val="14"/>
              </w:rPr>
              <w:t>Needed because local mechanical stability and delayed control dominate Ceres operations.</w:t>
            </w:r>
          </w:p>
        </w:tc>
        <w:tc>
          <w:tcPr>
            <w:tcW w:type="dxa" w:w="3456"/>
            <w:vAlign w:val="top"/>
          </w:tcPr>
          <w:p>
            <w:r/>
            <w:r>
              <w:rPr>
                <w:b w:val="0"/>
                <w:sz w:val="14"/>
              </w:rPr>
              <w:t>Before CAMW hardware procurement.</w:t>
            </w:r>
          </w:p>
        </w:tc>
      </w:tr>
      <w:tr>
        <w:tc>
          <w:tcPr>
            <w:tcW w:type="dxa" w:w="3456"/>
            <w:vAlign w:val="top"/>
          </w:tcPr>
          <w:p>
            <w:r/>
            <w:r>
              <w:rPr>
                <w:b w:val="0"/>
                <w:sz w:val="14"/>
              </w:rPr>
              <w:t>Venus corrosion and buoyancy safety case</w:t>
            </w:r>
          </w:p>
        </w:tc>
        <w:tc>
          <w:tcPr>
            <w:tcW w:type="dxa" w:w="3456"/>
            <w:vAlign w:val="top"/>
          </w:tcPr>
          <w:p>
            <w:r/>
            <w:r>
              <w:rPr>
                <w:b w:val="0"/>
                <w:sz w:val="14"/>
              </w:rPr>
              <w:t>Needed because atmospheric chemistry, buoyancy loss, and thermal conditions dominate V-GPAM risk.</w:t>
            </w:r>
          </w:p>
        </w:tc>
        <w:tc>
          <w:tcPr>
            <w:tcW w:type="dxa" w:w="3456"/>
            <w:vAlign w:val="top"/>
          </w:tcPr>
          <w:p>
            <w:r/>
            <w:r>
              <w:rPr>
                <w:b w:val="0"/>
                <w:sz w:val="14"/>
              </w:rPr>
              <w:t>Before V-GPAM prototype build.</w:t>
            </w:r>
          </w:p>
        </w:tc>
      </w:tr>
      <w:tr>
        <w:tc>
          <w:tcPr>
            <w:tcW w:type="dxa" w:w="3456"/>
            <w:vAlign w:val="top"/>
          </w:tcPr>
          <w:p>
            <w:r/>
            <w:r>
              <w:rPr>
                <w:b w:val="0"/>
                <w:sz w:val="14"/>
              </w:rPr>
              <w:t>Venus orbital traffic insertion ICD</w:t>
            </w:r>
          </w:p>
        </w:tc>
        <w:tc>
          <w:tcPr>
            <w:tcW w:type="dxa" w:w="3456"/>
            <w:vAlign w:val="top"/>
          </w:tcPr>
          <w:p>
            <w:r/>
            <w:r>
              <w:rPr>
                <w:b w:val="0"/>
                <w:sz w:val="14"/>
              </w:rPr>
              <w:t>Needed because V-OTIP affects rendezvous, collision avoidance, product transfer, and emergency operations.</w:t>
            </w:r>
          </w:p>
        </w:tc>
        <w:tc>
          <w:tcPr>
            <w:tcW w:type="dxa" w:w="3456"/>
            <w:vAlign w:val="top"/>
          </w:tcPr>
          <w:p>
            <w:r/>
            <w:r>
              <w:rPr>
                <w:b w:val="0"/>
                <w:sz w:val="14"/>
              </w:rPr>
              <w:t>Before Venus traffic architecture freeze.</w:t>
            </w:r>
          </w:p>
        </w:tc>
      </w:tr>
      <w:tr>
        <w:tc>
          <w:tcPr>
            <w:tcW w:type="dxa" w:w="3456"/>
            <w:vAlign w:val="top"/>
          </w:tcPr>
          <w:p>
            <w:r/>
            <w:r>
              <w:rPr>
                <w:b w:val="0"/>
                <w:sz w:val="14"/>
              </w:rPr>
              <w:t>Launch rail safety case</w:t>
            </w:r>
          </w:p>
        </w:tc>
        <w:tc>
          <w:tcPr>
            <w:tcW w:type="dxa" w:w="3456"/>
            <w:vAlign w:val="top"/>
          </w:tcPr>
          <w:p>
            <w:r/>
            <w:r>
              <w:rPr>
                <w:b w:val="0"/>
                <w:sz w:val="14"/>
              </w:rPr>
              <w:t>Needed because EM launch rail is a high-energy hazardous system.</w:t>
            </w:r>
          </w:p>
        </w:tc>
        <w:tc>
          <w:tcPr>
            <w:tcW w:type="dxa" w:w="3456"/>
            <w:vAlign w:val="top"/>
          </w:tcPr>
          <w:p>
            <w:r/>
            <w:r>
              <w:rPr>
                <w:b w:val="0"/>
                <w:sz w:val="14"/>
              </w:rPr>
              <w:t>Before rail operational certification.</w:t>
            </w:r>
          </w:p>
        </w:tc>
      </w:tr>
      <w:tr>
        <w:tc>
          <w:tcPr>
            <w:tcW w:type="dxa" w:w="3456"/>
            <w:vAlign w:val="top"/>
          </w:tcPr>
          <w:p>
            <w:r/>
            <w:r>
              <w:rPr>
                <w:b w:val="0"/>
                <w:sz w:val="14"/>
              </w:rPr>
              <w:t>Mineral facility hazardous processing plan</w:t>
            </w:r>
          </w:p>
        </w:tc>
        <w:tc>
          <w:tcPr>
            <w:tcW w:type="dxa" w:w="3456"/>
            <w:vAlign w:val="top"/>
          </w:tcPr>
          <w:p>
            <w:r/>
            <w:r>
              <w:rPr>
                <w:b w:val="0"/>
                <w:sz w:val="14"/>
              </w:rPr>
              <w:t>Needed because mineral refining dust, heat, chemistry, and residue streams must remain isolated from habitat and vault systems.</w:t>
            </w:r>
          </w:p>
        </w:tc>
        <w:tc>
          <w:tcPr>
            <w:tcW w:type="dxa" w:w="3456"/>
            <w:vAlign w:val="top"/>
          </w:tcPr>
          <w:p>
            <w:r/>
            <w:r>
              <w:rPr>
                <w:b w:val="0"/>
                <w:sz w:val="14"/>
              </w:rPr>
              <w:t>Before mineral facility PDR.</w:t>
            </w:r>
          </w:p>
        </w:tc>
      </w:tr>
      <w:tr>
        <w:tc>
          <w:tcPr>
            <w:tcW w:type="dxa" w:w="3456"/>
            <w:vAlign w:val="top"/>
          </w:tcPr>
          <w:p>
            <w:r/>
            <w:r>
              <w:rPr>
                <w:b w:val="0"/>
                <w:sz w:val="14"/>
              </w:rPr>
              <w:t>Integrated cost model refresh</w:t>
            </w:r>
          </w:p>
        </w:tc>
        <w:tc>
          <w:tcPr>
            <w:tcW w:type="dxa" w:w="3456"/>
            <w:vAlign w:val="top"/>
          </w:tcPr>
          <w:p>
            <w:r/>
            <w:r>
              <w:rPr>
                <w:b w:val="0"/>
                <w:sz w:val="14"/>
              </w:rPr>
              <w:t>Needed to reconcile Rev 2.7, 2.8, and 3.0 additions with funding gates and partner cost share.</w:t>
            </w:r>
          </w:p>
        </w:tc>
        <w:tc>
          <w:tcPr>
            <w:tcW w:type="dxa" w:w="3456"/>
            <w:vAlign w:val="top"/>
          </w:tcPr>
          <w:p>
            <w:r/>
            <w:r>
              <w:rPr>
                <w:b w:val="0"/>
                <w:sz w:val="14"/>
              </w:rPr>
              <w:t>Before next board funding gate.</w:t>
            </w:r>
          </w:p>
        </w:tc>
      </w:tr>
    </w:tbl>
    <w:p>
      <w:pPr>
        <w:spacing w:after="20"/>
      </w:pPr>
    </w:p>
    <w:p>
      <w:pPr>
        <w:pStyle w:val="Heading2"/>
      </w:pPr>
      <w:r>
        <w:t>20.8 Rev 3.0 Immediate Action Register</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Action ID</w:t>
            </w:r>
          </w:p>
        </w:tc>
        <w:tc>
          <w:tcPr>
            <w:tcW w:type="dxa" w:w="2592"/>
            <w:vAlign w:val="top"/>
            <w:shd w:fill="D9EAF7"/>
          </w:tcPr>
          <w:p>
            <w:r/>
            <w:r>
              <w:rPr>
                <w:b/>
                <w:sz w:val="13"/>
              </w:rPr>
              <w:t>Action</w:t>
            </w:r>
          </w:p>
        </w:tc>
        <w:tc>
          <w:tcPr>
            <w:tcW w:type="dxa" w:w="2592"/>
            <w:vAlign w:val="top"/>
            <w:shd w:fill="D9EAF7"/>
          </w:tcPr>
          <w:p>
            <w:r/>
            <w:r>
              <w:rPr>
                <w:b/>
                <w:sz w:val="13"/>
              </w:rPr>
              <w:t>Owner</w:t>
            </w:r>
          </w:p>
        </w:tc>
        <w:tc>
          <w:tcPr>
            <w:tcW w:type="dxa" w:w="2592"/>
            <w:vAlign w:val="top"/>
            <w:shd w:fill="D9EAF7"/>
          </w:tcPr>
          <w:p>
            <w:r/>
            <w:r>
              <w:rPr>
                <w:b/>
                <w:sz w:val="13"/>
              </w:rPr>
              <w:t>Due Point</w:t>
            </w:r>
          </w:p>
        </w:tc>
      </w:tr>
      <w:tr>
        <w:tc>
          <w:tcPr>
            <w:tcW w:type="dxa" w:w="2592"/>
            <w:vAlign w:val="top"/>
          </w:tcPr>
          <w:p>
            <w:r/>
            <w:r>
              <w:rPr>
                <w:b w:val="0"/>
                <w:sz w:val="13"/>
              </w:rPr>
              <w:t>A-3.0-1</w:t>
            </w:r>
          </w:p>
        </w:tc>
        <w:tc>
          <w:tcPr>
            <w:tcW w:type="dxa" w:w="2592"/>
            <w:vAlign w:val="top"/>
          </w:tcPr>
          <w:p>
            <w:r/>
            <w:r>
              <w:rPr>
                <w:b w:val="0"/>
                <w:sz w:val="13"/>
              </w:rPr>
              <w:t>Issue consolidated Rev 3.0 requirements register with R-3.0 IDs.</w:t>
            </w:r>
          </w:p>
        </w:tc>
        <w:tc>
          <w:tcPr>
            <w:tcW w:type="dxa" w:w="2592"/>
            <w:vAlign w:val="top"/>
          </w:tcPr>
          <w:p>
            <w:r/>
            <w:r>
              <w:rPr>
                <w:b w:val="0"/>
                <w:sz w:val="13"/>
              </w:rPr>
              <w:t>Systems Engineering</w:t>
            </w:r>
          </w:p>
        </w:tc>
        <w:tc>
          <w:tcPr>
            <w:tcW w:type="dxa" w:w="2592"/>
            <w:vAlign w:val="top"/>
          </w:tcPr>
          <w:p>
            <w:r/>
            <w:r>
              <w:rPr>
                <w:b w:val="0"/>
                <w:sz w:val="13"/>
              </w:rPr>
              <w:t>30 days after approval.</w:t>
            </w:r>
          </w:p>
        </w:tc>
      </w:tr>
      <w:tr>
        <w:tc>
          <w:tcPr>
            <w:tcW w:type="dxa" w:w="2592"/>
            <w:vAlign w:val="top"/>
          </w:tcPr>
          <w:p>
            <w:r/>
            <w:r>
              <w:rPr>
                <w:b w:val="0"/>
                <w:sz w:val="13"/>
              </w:rPr>
              <w:t>A-3.0-2</w:t>
            </w:r>
          </w:p>
        </w:tc>
        <w:tc>
          <w:tcPr>
            <w:tcW w:type="dxa" w:w="2592"/>
            <w:vAlign w:val="top"/>
          </w:tcPr>
          <w:p>
            <w:r/>
            <w:r>
              <w:rPr>
                <w:b w:val="0"/>
                <w:sz w:val="13"/>
              </w:rPr>
              <w:t>Create crosswalk from Rev 2.9 sections to all subordinate Tier 1 design basis documents.</w:t>
            </w:r>
          </w:p>
        </w:tc>
        <w:tc>
          <w:tcPr>
            <w:tcW w:type="dxa" w:w="2592"/>
            <w:vAlign w:val="top"/>
          </w:tcPr>
          <w:p>
            <w:r/>
            <w:r>
              <w:rPr>
                <w:b w:val="0"/>
                <w:sz w:val="13"/>
              </w:rPr>
              <w:t>Configuration Management</w:t>
            </w:r>
          </w:p>
        </w:tc>
        <w:tc>
          <w:tcPr>
            <w:tcW w:type="dxa" w:w="2592"/>
            <w:vAlign w:val="top"/>
          </w:tcPr>
          <w:p>
            <w:r/>
            <w:r>
              <w:rPr>
                <w:b w:val="0"/>
                <w:sz w:val="13"/>
              </w:rPr>
              <w:t>Before next design review package.</w:t>
            </w:r>
          </w:p>
        </w:tc>
      </w:tr>
      <w:tr>
        <w:tc>
          <w:tcPr>
            <w:tcW w:type="dxa" w:w="2592"/>
            <w:vAlign w:val="top"/>
          </w:tcPr>
          <w:p>
            <w:r/>
            <w:r>
              <w:rPr>
                <w:b w:val="0"/>
                <w:sz w:val="13"/>
              </w:rPr>
              <w:t>A-3.0-3</w:t>
            </w:r>
          </w:p>
        </w:tc>
        <w:tc>
          <w:tcPr>
            <w:tcW w:type="dxa" w:w="2592"/>
            <w:vAlign w:val="top"/>
          </w:tcPr>
          <w:p>
            <w:r/>
            <w:r>
              <w:rPr>
                <w:b w:val="0"/>
                <w:sz w:val="13"/>
              </w:rPr>
              <w:t>Update financial model to add Rev 2.7 and Rev 2.8 portfolio packages as separate selectable cases.</w:t>
            </w:r>
          </w:p>
        </w:tc>
        <w:tc>
          <w:tcPr>
            <w:tcW w:type="dxa" w:w="2592"/>
            <w:vAlign w:val="top"/>
          </w:tcPr>
          <w:p>
            <w:r/>
            <w:r>
              <w:rPr>
                <w:b w:val="0"/>
                <w:sz w:val="13"/>
              </w:rPr>
              <w:t>Program Finance</w:t>
            </w:r>
          </w:p>
        </w:tc>
        <w:tc>
          <w:tcPr>
            <w:tcW w:type="dxa" w:w="2592"/>
            <w:vAlign w:val="top"/>
          </w:tcPr>
          <w:p>
            <w:r/>
            <w:r>
              <w:rPr>
                <w:b w:val="0"/>
                <w:sz w:val="13"/>
              </w:rPr>
              <w:t>Before next board finance review.</w:t>
            </w:r>
          </w:p>
        </w:tc>
      </w:tr>
      <w:tr>
        <w:tc>
          <w:tcPr>
            <w:tcW w:type="dxa" w:w="2592"/>
            <w:vAlign w:val="top"/>
          </w:tcPr>
          <w:p>
            <w:r/>
            <w:r>
              <w:rPr>
                <w:b w:val="0"/>
                <w:sz w:val="13"/>
              </w:rPr>
              <w:t>A-3.0-4</w:t>
            </w:r>
          </w:p>
        </w:tc>
        <w:tc>
          <w:tcPr>
            <w:tcW w:type="dxa" w:w="2592"/>
            <w:vAlign w:val="top"/>
          </w:tcPr>
          <w:p>
            <w:r/>
            <w:r>
              <w:rPr>
                <w:b w:val="0"/>
                <w:sz w:val="13"/>
              </w:rPr>
              <w:t>Generate Mars adaptation matrix from lunar parent design.</w:t>
            </w:r>
          </w:p>
        </w:tc>
        <w:tc>
          <w:tcPr>
            <w:tcW w:type="dxa" w:w="2592"/>
            <w:vAlign w:val="top"/>
          </w:tcPr>
          <w:p>
            <w:r/>
            <w:r>
              <w:rPr>
                <w:b w:val="0"/>
                <w:sz w:val="13"/>
              </w:rPr>
              <w:t>Mars Systems Team</w:t>
            </w:r>
          </w:p>
        </w:tc>
        <w:tc>
          <w:tcPr>
            <w:tcW w:type="dxa" w:w="2592"/>
            <w:vAlign w:val="top"/>
          </w:tcPr>
          <w:p>
            <w:r/>
            <w:r>
              <w:rPr>
                <w:b w:val="0"/>
                <w:sz w:val="13"/>
              </w:rPr>
              <w:t>Before Mars PDR.</w:t>
            </w:r>
          </w:p>
        </w:tc>
      </w:tr>
      <w:tr>
        <w:tc>
          <w:tcPr>
            <w:tcW w:type="dxa" w:w="2592"/>
            <w:vAlign w:val="top"/>
          </w:tcPr>
          <w:p>
            <w:r/>
            <w:r>
              <w:rPr>
                <w:b w:val="0"/>
                <w:sz w:val="13"/>
              </w:rPr>
              <w:t>A-3.0-5</w:t>
            </w:r>
          </w:p>
        </w:tc>
        <w:tc>
          <w:tcPr>
            <w:tcW w:type="dxa" w:w="2592"/>
            <w:vAlign w:val="top"/>
          </w:tcPr>
          <w:p>
            <w:r/>
            <w:r>
              <w:rPr>
                <w:b w:val="0"/>
                <w:sz w:val="13"/>
              </w:rPr>
              <w:t>Generate Ceres CAMW autonomy, anchoring, and assay-first operations plan.</w:t>
            </w:r>
          </w:p>
        </w:tc>
        <w:tc>
          <w:tcPr>
            <w:tcW w:type="dxa" w:w="2592"/>
            <w:vAlign w:val="top"/>
          </w:tcPr>
          <w:p>
            <w:r/>
            <w:r>
              <w:rPr>
                <w:b w:val="0"/>
                <w:sz w:val="13"/>
              </w:rPr>
              <w:t>Ceres Systems Team</w:t>
            </w:r>
          </w:p>
        </w:tc>
        <w:tc>
          <w:tcPr>
            <w:tcW w:type="dxa" w:w="2592"/>
            <w:vAlign w:val="top"/>
          </w:tcPr>
          <w:p>
            <w:r/>
            <w:r>
              <w:rPr>
                <w:b w:val="0"/>
                <w:sz w:val="13"/>
              </w:rPr>
              <w:t>Before CAMW PDR.</w:t>
            </w:r>
          </w:p>
        </w:tc>
      </w:tr>
      <w:tr>
        <w:tc>
          <w:tcPr>
            <w:tcW w:type="dxa" w:w="2592"/>
            <w:vAlign w:val="top"/>
          </w:tcPr>
          <w:p>
            <w:r/>
            <w:r>
              <w:rPr>
                <w:b w:val="0"/>
                <w:sz w:val="13"/>
              </w:rPr>
              <w:t>A-3.0-6</w:t>
            </w:r>
          </w:p>
        </w:tc>
        <w:tc>
          <w:tcPr>
            <w:tcW w:type="dxa" w:w="2592"/>
            <w:vAlign w:val="top"/>
          </w:tcPr>
          <w:p>
            <w:r/>
            <w:r>
              <w:rPr>
                <w:b w:val="0"/>
                <w:sz w:val="13"/>
              </w:rPr>
              <w:t>Generate Venus V-GPAM corrosion, buoyancy, and atmospheric processing control plan.</w:t>
            </w:r>
          </w:p>
        </w:tc>
        <w:tc>
          <w:tcPr>
            <w:tcW w:type="dxa" w:w="2592"/>
            <w:vAlign w:val="top"/>
          </w:tcPr>
          <w:p>
            <w:r/>
            <w:r>
              <w:rPr>
                <w:b w:val="0"/>
                <w:sz w:val="13"/>
              </w:rPr>
              <w:t>Venus Systems Team</w:t>
            </w:r>
          </w:p>
        </w:tc>
        <w:tc>
          <w:tcPr>
            <w:tcW w:type="dxa" w:w="2592"/>
            <w:vAlign w:val="top"/>
          </w:tcPr>
          <w:p>
            <w:r/>
            <w:r>
              <w:rPr>
                <w:b w:val="0"/>
                <w:sz w:val="13"/>
              </w:rPr>
              <w:t>Before V-GPAM PDR.</w:t>
            </w:r>
          </w:p>
        </w:tc>
      </w:tr>
      <w:tr>
        <w:tc>
          <w:tcPr>
            <w:tcW w:type="dxa" w:w="2592"/>
            <w:vAlign w:val="top"/>
          </w:tcPr>
          <w:p>
            <w:r/>
            <w:r>
              <w:rPr>
                <w:b w:val="0"/>
                <w:sz w:val="13"/>
              </w:rPr>
              <w:t>A-3.0-7</w:t>
            </w:r>
          </w:p>
        </w:tc>
        <w:tc>
          <w:tcPr>
            <w:tcW w:type="dxa" w:w="2592"/>
            <w:vAlign w:val="top"/>
          </w:tcPr>
          <w:p>
            <w:r/>
            <w:r>
              <w:rPr>
                <w:b w:val="0"/>
                <w:sz w:val="13"/>
              </w:rPr>
              <w:t>Generate Venus V-OTIP orbital traffic insertion and collision avoidance ICD.</w:t>
            </w:r>
          </w:p>
        </w:tc>
        <w:tc>
          <w:tcPr>
            <w:tcW w:type="dxa" w:w="2592"/>
            <w:vAlign w:val="top"/>
          </w:tcPr>
          <w:p>
            <w:r/>
            <w:r>
              <w:rPr>
                <w:b w:val="0"/>
                <w:sz w:val="13"/>
              </w:rPr>
              <w:t>Traffic and Orbital Systems</w:t>
            </w:r>
          </w:p>
        </w:tc>
        <w:tc>
          <w:tcPr>
            <w:tcW w:type="dxa" w:w="2592"/>
            <w:vAlign w:val="top"/>
          </w:tcPr>
          <w:p>
            <w:r/>
            <w:r>
              <w:rPr>
                <w:b w:val="0"/>
                <w:sz w:val="13"/>
              </w:rPr>
              <w:t>Before Venus architecture freeze.</w:t>
            </w:r>
          </w:p>
        </w:tc>
      </w:tr>
      <w:tr>
        <w:tc>
          <w:tcPr>
            <w:tcW w:type="dxa" w:w="2592"/>
            <w:vAlign w:val="top"/>
          </w:tcPr>
          <w:p>
            <w:r/>
            <w:r>
              <w:rPr>
                <w:b w:val="0"/>
                <w:sz w:val="13"/>
              </w:rPr>
              <w:t>A-3.0-8</w:t>
            </w:r>
          </w:p>
        </w:tc>
        <w:tc>
          <w:tcPr>
            <w:tcW w:type="dxa" w:w="2592"/>
            <w:vAlign w:val="top"/>
          </w:tcPr>
          <w:p>
            <w:r/>
            <w:r>
              <w:rPr>
                <w:b w:val="0"/>
                <w:sz w:val="13"/>
              </w:rPr>
              <w:t>Generate Lunar Biodiversity Vault chain of custody and biosecurity plan.</w:t>
            </w:r>
          </w:p>
        </w:tc>
        <w:tc>
          <w:tcPr>
            <w:tcW w:type="dxa" w:w="2592"/>
            <w:vAlign w:val="top"/>
          </w:tcPr>
          <w:p>
            <w:r/>
            <w:r>
              <w:rPr>
                <w:b w:val="0"/>
                <w:sz w:val="13"/>
              </w:rPr>
              <w:t>Science, Medical, Safety</w:t>
            </w:r>
          </w:p>
        </w:tc>
        <w:tc>
          <w:tcPr>
            <w:tcW w:type="dxa" w:w="2592"/>
            <w:vAlign w:val="top"/>
          </w:tcPr>
          <w:p>
            <w:r/>
            <w:r>
              <w:rPr>
                <w:b w:val="0"/>
                <w:sz w:val="13"/>
              </w:rPr>
              <w:t>Before vault schematic design.</w:t>
            </w:r>
          </w:p>
        </w:tc>
      </w:tr>
      <w:tr>
        <w:tc>
          <w:tcPr>
            <w:tcW w:type="dxa" w:w="2592"/>
            <w:vAlign w:val="top"/>
          </w:tcPr>
          <w:p>
            <w:r/>
            <w:r>
              <w:rPr>
                <w:b w:val="0"/>
                <w:sz w:val="13"/>
              </w:rPr>
              <w:t>A-3.0-9</w:t>
            </w:r>
          </w:p>
        </w:tc>
        <w:tc>
          <w:tcPr>
            <w:tcW w:type="dxa" w:w="2592"/>
            <w:vAlign w:val="top"/>
          </w:tcPr>
          <w:p>
            <w:r/>
            <w:r>
              <w:rPr>
                <w:b w:val="0"/>
                <w:sz w:val="13"/>
              </w:rPr>
              <w:t>Generate launch rail hazard corridor and pulse-power safety analysis.</w:t>
            </w:r>
          </w:p>
        </w:tc>
        <w:tc>
          <w:tcPr>
            <w:tcW w:type="dxa" w:w="2592"/>
            <w:vAlign w:val="top"/>
          </w:tcPr>
          <w:p>
            <w:r/>
            <w:r>
              <w:rPr>
                <w:b w:val="0"/>
                <w:sz w:val="13"/>
              </w:rPr>
              <w:t>Launch Infrastructure Team</w:t>
            </w:r>
          </w:p>
        </w:tc>
        <w:tc>
          <w:tcPr>
            <w:tcW w:type="dxa" w:w="2592"/>
            <w:vAlign w:val="top"/>
          </w:tcPr>
          <w:p>
            <w:r/>
            <w:r>
              <w:rPr>
                <w:b w:val="0"/>
                <w:sz w:val="13"/>
              </w:rPr>
              <w:t>Before rail test article.</w:t>
            </w:r>
          </w:p>
        </w:tc>
      </w:tr>
      <w:tr>
        <w:tc>
          <w:tcPr>
            <w:tcW w:type="dxa" w:w="2592"/>
            <w:vAlign w:val="top"/>
          </w:tcPr>
          <w:p>
            <w:r/>
            <w:r>
              <w:rPr>
                <w:b w:val="0"/>
                <w:sz w:val="13"/>
              </w:rPr>
              <w:t>A-3.0-10</w:t>
            </w:r>
          </w:p>
        </w:tc>
        <w:tc>
          <w:tcPr>
            <w:tcW w:type="dxa" w:w="2592"/>
            <w:vAlign w:val="top"/>
          </w:tcPr>
          <w:p>
            <w:r/>
            <w:r>
              <w:rPr>
                <w:b w:val="0"/>
                <w:sz w:val="13"/>
              </w:rPr>
              <w:t>Refresh master risk register with Rev 3.0 requirement IDs and owner assignments.</w:t>
            </w:r>
          </w:p>
        </w:tc>
        <w:tc>
          <w:tcPr>
            <w:tcW w:type="dxa" w:w="2592"/>
            <w:vAlign w:val="top"/>
          </w:tcPr>
          <w:p>
            <w:r/>
            <w:r>
              <w:rPr>
                <w:b w:val="0"/>
                <w:sz w:val="13"/>
              </w:rPr>
              <w:t>Program Risk Office</w:t>
            </w:r>
          </w:p>
        </w:tc>
        <w:tc>
          <w:tcPr>
            <w:tcW w:type="dxa" w:w="2592"/>
            <w:vAlign w:val="top"/>
          </w:tcPr>
          <w:p>
            <w:r/>
            <w:r>
              <w:rPr>
                <w:b w:val="0"/>
                <w:sz w:val="13"/>
              </w:rPr>
              <w:t>Next risk board.</w:t>
            </w:r>
          </w:p>
        </w:tc>
      </w:tr>
    </w:tbl>
    <w:p>
      <w:pPr>
        <w:spacing w:after="20"/>
      </w:pPr>
    </w:p>
    <w:p>
      <w:pPr>
        <w:pStyle w:val="Heading2"/>
      </w:pPr>
      <w:r>
        <w:t>20.9 Rev 3.0 Governing Statement</w:t>
      </w:r>
    </w:p>
    <w:p>
      <w:pPr>
        <w:pStyle w:val="ListBullet"/>
        <w:spacing w:after="20" w:line="240" w:lineRule="auto"/>
      </w:pPr>
      <w:r>
        <w:rPr>
          <w:sz w:val="18"/>
        </w:rPr>
        <w:t>The master ISRU program is controlled as a lunar-led, multi-asset industrial portfolio.</w:t>
      </w:r>
    </w:p>
    <w:p>
      <w:pPr>
        <w:pStyle w:val="ListBullet"/>
        <w:spacing w:after="20" w:line="240" w:lineRule="auto"/>
      </w:pPr>
      <w:r>
        <w:rPr>
          <w:sz w:val="18"/>
        </w:rPr>
        <w:t>The lunar south pole installation remains the primary control, survival, power, logistics, production, archive, and traffic authority.</w:t>
      </w:r>
    </w:p>
    <w:p>
      <w:pPr>
        <w:pStyle w:val="ListBullet"/>
        <w:spacing w:after="20" w:line="240" w:lineRule="auto"/>
      </w:pPr>
      <w:r>
        <w:rPr>
          <w:sz w:val="18"/>
        </w:rPr>
        <w:t>All Mars, Ceres, Venus, asteroid, Mercury, launch rail, microwave, solar, spaceport, mineral processing, and biodiversity systems are subordinate to core lunar life safety compliance until separate board gates are passed.</w:t>
      </w:r>
    </w:p>
    <w:p>
      <w:pPr>
        <w:pStyle w:val="ListBullet"/>
        <w:spacing w:after="20" w:line="240" w:lineRule="auto"/>
      </w:pPr>
      <w:r>
        <w:rPr>
          <w:sz w:val="18"/>
        </w:rPr>
        <w:t>The 14 day refuge basis and 72 hour evacuation basis remain non-negotiable for lunar population growth.</w:t>
      </w:r>
    </w:p>
    <w:p>
      <w:pPr>
        <w:pStyle w:val="ListBullet"/>
        <w:spacing w:after="20" w:line="240" w:lineRule="auto"/>
      </w:pPr>
      <w:r>
        <w:rPr>
          <w:sz w:val="18"/>
        </w:rPr>
        <w:t>No export, revenue, partner, or expansion objective may reduce protected water, oxygen, medical, emergency power, refuge, or evacuation capacity.</w:t>
      </w:r>
    </w:p>
    <w:p>
      <w:pPr>
        <w:pStyle w:val="ListBullet"/>
        <w:spacing w:after="20" w:line="240" w:lineRule="auto"/>
      </w:pPr>
      <w:r>
        <w:rPr>
          <w:sz w:val="18"/>
        </w:rPr>
        <w:t>Future updates shall enter the configuration system through a change register, requirement traceability entry, interface control update, cost impact, schedule impact, and risk update before being treated as active baseline.</w:t>
      </w:r>
    </w:p>
    <w:p>
      <w:r>
        <w:br w:type="page"/>
      </w:r>
    </w:p>
    <w:p>
      <w:pPr>
        <w:pStyle w:val="Heading1"/>
      </w:pPr>
      <w:r>
        <w:t>21. Rev 3.1 Board Presentation Alignment and Executive Decision Package Update</w:t>
      </w:r>
    </w:p>
    <w:p>
      <w:pPr>
        <w:spacing w:after="120"/>
      </w:pPr>
      <w:r>
        <w:t>Review outcome: The Rev 3.0 master document and the board level presentation deck were reviewed as one controlled source set. Rev 3.1 reconciles the board-facing decision narrative back into the master ISRU baseline. The technical architecture remains unchanged. The update adds executive decision controls, slide-to-requirement traceability, board dashboard requirements, and a 90 day action package for the next funding gate.</w:t>
      </w:r>
    </w:p>
    <w:p>
      <w:pPr>
        <w:pStyle w:val="Heading2"/>
      </w:pPr>
      <w:r>
        <w:t>21.1 Review Scope</w:t>
      </w:r>
    </w:p>
    <w:p>
      <w:pPr>
        <w:spacing w:after="120"/>
      </w:pPr>
      <w:r>
        <w:t>The Rev 3.1 review covers the latest master document, the board level presentation deck, the financial workbook, and the active project change record in this workspace. The board presentation is accepted as an executive communication artifact. The master document remains the controlling technical and programmatic baseline.</w:t>
      </w:r>
    </w:p>
    <w:p>
      <w:pPr>
        <w:pStyle w:val="ListBullet"/>
        <w:spacing w:after="40"/>
      </w:pPr>
      <w:r>
        <w:t>Reviewed artifact: Titans ISRU Master Document Rev 3.0.</w:t>
      </w:r>
    </w:p>
    <w:p>
      <w:pPr>
        <w:pStyle w:val="ListBullet"/>
        <w:spacing w:after="40"/>
      </w:pPr>
      <w:r>
        <w:t>Reviewed artifact: Titans ISRU Board Level Presentation Rev 3.0.</w:t>
      </w:r>
    </w:p>
    <w:p>
      <w:pPr>
        <w:pStyle w:val="ListBullet"/>
        <w:spacing w:after="40"/>
      </w:pPr>
      <w:r>
        <w:t>Reviewed artifact: Titans ISRU Board Model final workbook.</w:t>
      </w:r>
    </w:p>
    <w:p>
      <w:pPr>
        <w:pStyle w:val="ListBullet"/>
        <w:spacing w:after="40"/>
      </w:pPr>
      <w:r>
        <w:t>Control finding: the board deck matches the master baseline and does not introduce an unapproved technical requirement.</w:t>
      </w:r>
    </w:p>
    <w:p>
      <w:pPr>
        <w:pStyle w:val="ListBullet"/>
        <w:spacing w:after="40"/>
      </w:pPr>
      <w:r>
        <w:t>Control action: future decks shall include a slide traceability table before board release.</w:t>
      </w:r>
    </w:p>
    <w:p>
      <w:pPr>
        <w:pStyle w:val="Heading2"/>
      </w:pPr>
      <w:r>
        <w:t>21.2 Board Decision Package Summary</w:t>
      </w:r>
    </w:p>
    <w:p>
      <w:pPr>
        <w:spacing w:after="120"/>
      </w:pPr>
      <w:r>
        <w:t>The board deck translates the master baseline into a 16 slide decision package. Its purpose is to authorize the next gate, preserve strict life-safety controls, and convert Rev 3.0 from a master concept baseline into controlled engineering, finance, partner, and procurement packages.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Decision Area</w:t>
            </w:r>
          </w:p>
        </w:tc>
        <w:tc>
          <w:tcPr>
            <w:tcW w:type="dxa" w:w="3456"/>
            <w:vAlign w:val="top"/>
            <w:shd w:fill="D9EAF7"/>
          </w:tcPr>
          <w:p>
            <w:pPr>
              <w:spacing w:after="0" w:before="0"/>
            </w:pPr>
            <w:r/>
            <w:r>
              <w:rPr>
                <w:b/>
                <w:sz w:val="14"/>
              </w:rPr>
              <w:t>Board Position</w:t>
            </w:r>
          </w:p>
        </w:tc>
        <w:tc>
          <w:tcPr>
            <w:tcW w:type="dxa" w:w="3456"/>
            <w:vAlign w:val="top"/>
            <w:shd w:fill="D9EAF7"/>
          </w:tcPr>
          <w:p>
            <w:pPr>
              <w:spacing w:after="0" w:before="0"/>
            </w:pPr>
            <w:r/>
            <w:r>
              <w:rPr>
                <w:b/>
                <w:sz w:val="14"/>
              </w:rPr>
              <w:t>Master Control</w:t>
            </w:r>
          </w:p>
        </w:tc>
      </w:tr>
      <w:tr>
        <w:tc>
          <w:tcPr>
            <w:tcW w:type="dxa" w:w="3456"/>
            <w:vAlign w:val="top"/>
          </w:tcPr>
          <w:p>
            <w:pPr>
              <w:spacing w:after="0" w:before="0"/>
            </w:pPr>
            <w:r/>
            <w:r>
              <w:rPr>
                <w:b w:val="0"/>
                <w:sz w:val="14"/>
              </w:rPr>
              <w:t>Funding gate</w:t>
            </w:r>
          </w:p>
        </w:tc>
        <w:tc>
          <w:tcPr>
            <w:tcW w:type="dxa" w:w="3456"/>
            <w:vAlign w:val="top"/>
          </w:tcPr>
          <w:p>
            <w:pPr>
              <w:spacing w:after="0" w:before="0"/>
            </w:pPr>
            <w:r/>
            <w:r>
              <w:rPr>
                <w:b w:val="0"/>
                <w:sz w:val="14"/>
              </w:rPr>
              <w:t>Approve Funding Gate F1 only.</w:t>
            </w:r>
          </w:p>
        </w:tc>
        <w:tc>
          <w:tcPr>
            <w:tcW w:type="dxa" w:w="3456"/>
            <w:vAlign w:val="top"/>
          </w:tcPr>
          <w:p>
            <w:pPr>
              <w:spacing w:after="0" w:before="0"/>
            </w:pPr>
            <w:r/>
            <w:r>
              <w:rPr>
                <w:b w:val="0"/>
                <w:sz w:val="14"/>
              </w:rPr>
              <w:t>Full build capital remains gated by site confirmation, dependable power, protected underground shell, ISRU reserve performance, commercial commitments, and evacuation certification.</w:t>
            </w:r>
          </w:p>
        </w:tc>
      </w:tr>
      <w:tr>
        <w:tc>
          <w:tcPr>
            <w:tcW w:type="dxa" w:w="3456"/>
            <w:vAlign w:val="top"/>
          </w:tcPr>
          <w:p>
            <w:pPr>
              <w:spacing w:after="0" w:before="0"/>
            </w:pPr>
            <w:r/>
            <w:r>
              <w:rPr>
                <w:b w:val="0"/>
                <w:sz w:val="14"/>
              </w:rPr>
              <w:t>Architecture</w:t>
            </w:r>
          </w:p>
        </w:tc>
        <w:tc>
          <w:tcPr>
            <w:tcW w:type="dxa" w:w="3456"/>
            <w:vAlign w:val="top"/>
          </w:tcPr>
          <w:p>
            <w:pPr>
              <w:spacing w:after="0" w:before="0"/>
            </w:pPr>
            <w:r/>
            <w:r>
              <w:rPr>
                <w:b w:val="0"/>
                <w:sz w:val="14"/>
              </w:rPr>
              <w:t>Maintain lunar-led portfolio model.</w:t>
            </w:r>
          </w:p>
        </w:tc>
        <w:tc>
          <w:tcPr>
            <w:tcW w:type="dxa" w:w="3456"/>
            <w:vAlign w:val="top"/>
          </w:tcPr>
          <w:p>
            <w:pPr>
              <w:spacing w:after="0" w:before="0"/>
            </w:pPr>
            <w:r/>
            <w:r>
              <w:rPr>
                <w:b w:val="0"/>
                <w:sz w:val="14"/>
              </w:rPr>
              <w:t>Moon remains primary control, survival, power, logistics, archive, production, and traffic authority.</w:t>
            </w:r>
          </w:p>
        </w:tc>
      </w:tr>
      <w:tr>
        <w:tc>
          <w:tcPr>
            <w:tcW w:type="dxa" w:w="3456"/>
            <w:vAlign w:val="top"/>
          </w:tcPr>
          <w:p>
            <w:pPr>
              <w:spacing w:after="0" w:before="0"/>
            </w:pPr>
            <w:r/>
            <w:r>
              <w:rPr>
                <w:b w:val="0"/>
                <w:sz w:val="14"/>
              </w:rPr>
              <w:t>Safety</w:t>
            </w:r>
          </w:p>
        </w:tc>
        <w:tc>
          <w:tcPr>
            <w:tcW w:type="dxa" w:w="3456"/>
            <w:vAlign w:val="top"/>
          </w:tcPr>
          <w:p>
            <w:pPr>
              <w:spacing w:after="0" w:before="0"/>
            </w:pPr>
            <w:r/>
            <w:r>
              <w:rPr>
                <w:b w:val="0"/>
                <w:sz w:val="14"/>
              </w:rPr>
              <w:t>Protect refuge and evacuation requirements.</w:t>
            </w:r>
          </w:p>
        </w:tc>
        <w:tc>
          <w:tcPr>
            <w:tcW w:type="dxa" w:w="3456"/>
            <w:vAlign w:val="top"/>
          </w:tcPr>
          <w:p>
            <w:pPr>
              <w:spacing w:after="0" w:before="0"/>
            </w:pPr>
            <w:r/>
            <w:r>
              <w:rPr>
                <w:b w:val="0"/>
                <w:sz w:val="14"/>
              </w:rPr>
              <w:t>1200 persons protected for one lunar night. 1200 persons evacuable within 72 hours.</w:t>
            </w:r>
          </w:p>
        </w:tc>
      </w:tr>
      <w:tr>
        <w:tc>
          <w:tcPr>
            <w:tcW w:type="dxa" w:w="3456"/>
            <w:vAlign w:val="top"/>
          </w:tcPr>
          <w:p>
            <w:pPr>
              <w:spacing w:after="0" w:before="0"/>
            </w:pPr>
            <w:r/>
            <w:r>
              <w:rPr>
                <w:b w:val="0"/>
                <w:sz w:val="14"/>
              </w:rPr>
              <w:t>Economics</w:t>
            </w:r>
          </w:p>
        </w:tc>
        <w:tc>
          <w:tcPr>
            <w:tcW w:type="dxa" w:w="3456"/>
            <w:vAlign w:val="top"/>
          </w:tcPr>
          <w:p>
            <w:pPr>
              <w:spacing w:after="0" w:before="0"/>
            </w:pPr>
            <w:r/>
            <w:r>
              <w:rPr>
                <w:b w:val="0"/>
                <w:sz w:val="14"/>
              </w:rPr>
              <w:t>Use concept-class values for board planning.</w:t>
            </w:r>
          </w:p>
        </w:tc>
        <w:tc>
          <w:tcPr>
            <w:tcW w:type="dxa" w:w="3456"/>
            <w:vAlign w:val="top"/>
          </w:tcPr>
          <w:p>
            <w:pPr>
              <w:spacing w:after="0" w:before="0"/>
            </w:pPr>
            <w:r/>
            <w:r>
              <w:rPr>
                <w:b w:val="0"/>
                <w:sz w:val="14"/>
              </w:rPr>
              <w:t>Rev 3.1 keeps the 175B to 180B USD planning CapEx and about 15B USD mature annual OpEx for the expanded lunar baseline.</w:t>
            </w:r>
          </w:p>
        </w:tc>
      </w:tr>
      <w:tr>
        <w:tc>
          <w:tcPr>
            <w:tcW w:type="dxa" w:w="3456"/>
            <w:vAlign w:val="top"/>
          </w:tcPr>
          <w:p>
            <w:pPr>
              <w:spacing w:after="0" w:before="0"/>
            </w:pPr>
            <w:r/>
            <w:r>
              <w:rPr>
                <w:b w:val="0"/>
                <w:sz w:val="14"/>
              </w:rPr>
              <w:t>Expansion</w:t>
            </w:r>
          </w:p>
        </w:tc>
        <w:tc>
          <w:tcPr>
            <w:tcW w:type="dxa" w:w="3456"/>
            <w:vAlign w:val="top"/>
          </w:tcPr>
          <w:p>
            <w:pPr>
              <w:spacing w:after="0" w:before="0"/>
            </w:pPr>
            <w:r/>
            <w:r>
              <w:rPr>
                <w:b w:val="0"/>
                <w:sz w:val="14"/>
              </w:rPr>
              <w:t>Treat Mars, Ceres, Venus, launch rail, and specialty assets as subordinate packages.</w:t>
            </w:r>
          </w:p>
        </w:tc>
        <w:tc>
          <w:tcPr>
            <w:tcW w:type="dxa" w:w="3456"/>
            <w:vAlign w:val="top"/>
          </w:tcPr>
          <w:p>
            <w:pPr>
              <w:spacing w:after="0" w:before="0"/>
            </w:pPr>
            <w:r/>
            <w:r>
              <w:rPr>
                <w:b w:val="0"/>
                <w:sz w:val="14"/>
              </w:rPr>
              <w:t>No derivative system may consume core lunar life-safety reserves or move onto the critical path without board gate approval.</w:t>
            </w:r>
          </w:p>
        </w:tc>
      </w:tr>
    </w:tbl>
    <w:p/>
    <w:p>
      <w:pPr>
        <w:pStyle w:val="Heading2"/>
      </w:pPr>
      <w:r>
        <w:t>21.3 Slide Traceability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before="0"/>
            </w:pPr>
            <w:r/>
            <w:r>
              <w:rPr>
                <w:b/>
                <w:sz w:val="13"/>
              </w:rPr>
              <w:t>Slide</w:t>
            </w:r>
          </w:p>
        </w:tc>
        <w:tc>
          <w:tcPr>
            <w:tcW w:type="dxa" w:w="2592"/>
            <w:vAlign w:val="top"/>
            <w:shd w:fill="D9EAF7"/>
          </w:tcPr>
          <w:p>
            <w:pPr>
              <w:spacing w:after="0" w:before="0"/>
            </w:pPr>
            <w:r/>
            <w:r>
              <w:rPr>
                <w:b/>
                <w:sz w:val="13"/>
              </w:rPr>
              <w:t>Board Topic</w:t>
            </w:r>
          </w:p>
        </w:tc>
        <w:tc>
          <w:tcPr>
            <w:tcW w:type="dxa" w:w="2592"/>
            <w:vAlign w:val="top"/>
            <w:shd w:fill="D9EAF7"/>
          </w:tcPr>
          <w:p>
            <w:pPr>
              <w:spacing w:after="0" w:before="0"/>
            </w:pPr>
            <w:r/>
            <w:r>
              <w:rPr>
                <w:b/>
                <w:sz w:val="13"/>
              </w:rPr>
              <w:t>Trace Finding</w:t>
            </w:r>
          </w:p>
        </w:tc>
        <w:tc>
          <w:tcPr>
            <w:tcW w:type="dxa" w:w="2592"/>
            <w:vAlign w:val="top"/>
            <w:shd w:fill="D9EAF7"/>
          </w:tcPr>
          <w:p>
            <w:pPr>
              <w:spacing w:after="0" w:before="0"/>
            </w:pPr>
            <w:r/>
            <w:r>
              <w:rPr>
                <w:b/>
                <w:sz w:val="13"/>
              </w:rPr>
              <w:t>Master Control Section</w:t>
            </w:r>
          </w:p>
        </w:tc>
      </w:tr>
      <w:tr>
        <w:tc>
          <w:tcPr>
            <w:tcW w:type="dxa" w:w="2592"/>
            <w:vAlign w:val="top"/>
          </w:tcPr>
          <w:p>
            <w:pPr>
              <w:spacing w:after="0" w:before="0"/>
            </w:pPr>
            <w:r/>
            <w:r>
              <w:rPr>
                <w:b w:val="0"/>
                <w:sz w:val="13"/>
              </w:rPr>
              <w:t>1</w:t>
            </w:r>
          </w:p>
        </w:tc>
        <w:tc>
          <w:tcPr>
            <w:tcW w:type="dxa" w:w="2592"/>
            <w:vAlign w:val="top"/>
          </w:tcPr>
          <w:p>
            <w:pPr>
              <w:spacing w:after="0" w:before="0"/>
            </w:pPr>
            <w:r/>
            <w:r>
              <w:rPr>
                <w:b w:val="0"/>
                <w:sz w:val="13"/>
              </w:rPr>
              <w:t>Title and core decision</w:t>
            </w:r>
          </w:p>
        </w:tc>
        <w:tc>
          <w:tcPr>
            <w:tcW w:type="dxa" w:w="2592"/>
            <w:vAlign w:val="top"/>
          </w:tcPr>
          <w:p>
            <w:pPr>
              <w:spacing w:after="0" w:before="0"/>
            </w:pPr>
            <w:r/>
            <w:r>
              <w:rPr>
                <w:b w:val="0"/>
                <w:sz w:val="13"/>
              </w:rPr>
              <w:t>Establishes Rev 3.0 baseline and decision posture.</w:t>
            </w:r>
          </w:p>
        </w:tc>
        <w:tc>
          <w:tcPr>
            <w:tcW w:type="dxa" w:w="2592"/>
            <w:vAlign w:val="top"/>
          </w:tcPr>
          <w:p>
            <w:pPr>
              <w:spacing w:after="0" w:before="0"/>
            </w:pPr>
            <w:r/>
            <w:r>
              <w:rPr>
                <w:b w:val="0"/>
                <w:sz w:val="13"/>
              </w:rPr>
              <w:t>Sections 1, 2, 20, 21</w:t>
            </w:r>
          </w:p>
        </w:tc>
      </w:tr>
      <w:tr>
        <w:tc>
          <w:tcPr>
            <w:tcW w:type="dxa" w:w="2592"/>
            <w:vAlign w:val="top"/>
          </w:tcPr>
          <w:p>
            <w:pPr>
              <w:spacing w:after="0" w:before="0"/>
            </w:pPr>
            <w:r/>
            <w:r>
              <w:rPr>
                <w:b w:val="0"/>
                <w:sz w:val="13"/>
              </w:rPr>
              <w:t>2</w:t>
            </w:r>
          </w:p>
        </w:tc>
        <w:tc>
          <w:tcPr>
            <w:tcW w:type="dxa" w:w="2592"/>
            <w:vAlign w:val="top"/>
          </w:tcPr>
          <w:p>
            <w:pPr>
              <w:spacing w:after="0" w:before="0"/>
            </w:pPr>
            <w:r/>
            <w:r>
              <w:rPr>
                <w:b w:val="0"/>
                <w:sz w:val="13"/>
              </w:rPr>
              <w:t>What approval enables</w:t>
            </w:r>
          </w:p>
        </w:tc>
        <w:tc>
          <w:tcPr>
            <w:tcW w:type="dxa" w:w="2592"/>
            <w:vAlign w:val="top"/>
          </w:tcPr>
          <w:p>
            <w:pPr>
              <w:spacing w:after="0" w:before="0"/>
            </w:pPr>
            <w:r/>
            <w:r>
              <w:rPr>
                <w:b w:val="0"/>
                <w:sz w:val="13"/>
              </w:rPr>
              <w:t>Frames Funding Gate F1 and staged capital release.</w:t>
            </w:r>
          </w:p>
        </w:tc>
        <w:tc>
          <w:tcPr>
            <w:tcW w:type="dxa" w:w="2592"/>
            <w:vAlign w:val="top"/>
          </w:tcPr>
          <w:p>
            <w:pPr>
              <w:spacing w:after="0" w:before="0"/>
            </w:pPr>
            <w:r/>
            <w:r>
              <w:rPr>
                <w:b w:val="0"/>
                <w:sz w:val="13"/>
              </w:rPr>
              <w:t>Sections 12, 16, 20, 21</w:t>
            </w:r>
          </w:p>
        </w:tc>
      </w:tr>
      <w:tr>
        <w:tc>
          <w:tcPr>
            <w:tcW w:type="dxa" w:w="2592"/>
            <w:vAlign w:val="top"/>
          </w:tcPr>
          <w:p>
            <w:pPr>
              <w:spacing w:after="0" w:before="0"/>
            </w:pPr>
            <w:r/>
            <w:r>
              <w:rPr>
                <w:b w:val="0"/>
                <w:sz w:val="13"/>
              </w:rPr>
              <w:t>3</w:t>
            </w:r>
          </w:p>
        </w:tc>
        <w:tc>
          <w:tcPr>
            <w:tcW w:type="dxa" w:w="2592"/>
            <w:vAlign w:val="top"/>
          </w:tcPr>
          <w:p>
            <w:pPr>
              <w:spacing w:after="0" w:before="0"/>
            </w:pPr>
            <w:r/>
            <w:r>
              <w:rPr>
                <w:b w:val="0"/>
                <w:sz w:val="13"/>
              </w:rPr>
              <w:t>Control model</w:t>
            </w:r>
          </w:p>
        </w:tc>
        <w:tc>
          <w:tcPr>
            <w:tcW w:type="dxa" w:w="2592"/>
            <w:vAlign w:val="top"/>
          </w:tcPr>
          <w:p>
            <w:pPr>
              <w:spacing w:after="0" w:before="0"/>
            </w:pPr>
            <w:r/>
            <w:r>
              <w:rPr>
                <w:b w:val="0"/>
                <w:sz w:val="13"/>
              </w:rPr>
              <w:t>Shows lunar-led portfolio across Moon, Mars, Ceres, Venus, and future assets.</w:t>
            </w:r>
          </w:p>
        </w:tc>
        <w:tc>
          <w:tcPr>
            <w:tcW w:type="dxa" w:w="2592"/>
            <w:vAlign w:val="top"/>
          </w:tcPr>
          <w:p>
            <w:pPr>
              <w:spacing w:after="0" w:before="0"/>
            </w:pPr>
            <w:r/>
            <w:r>
              <w:rPr>
                <w:b w:val="0"/>
                <w:sz w:val="13"/>
              </w:rPr>
              <w:t>Sections 3, 18, 19, 20</w:t>
            </w:r>
          </w:p>
        </w:tc>
      </w:tr>
      <w:tr>
        <w:tc>
          <w:tcPr>
            <w:tcW w:type="dxa" w:w="2592"/>
            <w:vAlign w:val="top"/>
          </w:tcPr>
          <w:p>
            <w:pPr>
              <w:spacing w:after="0" w:before="0"/>
            </w:pPr>
            <w:r/>
            <w:r>
              <w:rPr>
                <w:b w:val="0"/>
                <w:sz w:val="13"/>
              </w:rPr>
              <w:t>4</w:t>
            </w:r>
          </w:p>
        </w:tc>
        <w:tc>
          <w:tcPr>
            <w:tcW w:type="dxa" w:w="2592"/>
            <w:vAlign w:val="top"/>
          </w:tcPr>
          <w:p>
            <w:pPr>
              <w:spacing w:after="0" w:before="0"/>
            </w:pPr>
            <w:r/>
            <w:r>
              <w:rPr>
                <w:b w:val="0"/>
                <w:sz w:val="13"/>
              </w:rPr>
              <w:t>Lunar primary hub</w:t>
            </w:r>
          </w:p>
        </w:tc>
        <w:tc>
          <w:tcPr>
            <w:tcW w:type="dxa" w:w="2592"/>
            <w:vAlign w:val="top"/>
          </w:tcPr>
          <w:p>
            <w:pPr>
              <w:spacing w:after="0" w:before="0"/>
            </w:pPr>
            <w:r/>
            <w:r>
              <w:rPr>
                <w:b w:val="0"/>
                <w:sz w:val="13"/>
              </w:rPr>
              <w:t>Summarizes underground habitat, surface ISRU, vault, mineral processing, spaceport, and power assets.</w:t>
            </w:r>
          </w:p>
        </w:tc>
        <w:tc>
          <w:tcPr>
            <w:tcW w:type="dxa" w:w="2592"/>
            <w:vAlign w:val="top"/>
          </w:tcPr>
          <w:p>
            <w:pPr>
              <w:spacing w:after="0" w:before="0"/>
            </w:pPr>
            <w:r/>
            <w:r>
              <w:rPr>
                <w:b w:val="0"/>
                <w:sz w:val="13"/>
              </w:rPr>
              <w:t>Sections 4 through 8, 17, 18</w:t>
            </w:r>
          </w:p>
        </w:tc>
      </w:tr>
      <w:tr>
        <w:tc>
          <w:tcPr>
            <w:tcW w:type="dxa" w:w="2592"/>
            <w:vAlign w:val="top"/>
          </w:tcPr>
          <w:p>
            <w:pPr>
              <w:spacing w:after="0" w:before="0"/>
            </w:pPr>
            <w:r/>
            <w:r>
              <w:rPr>
                <w:b w:val="0"/>
                <w:sz w:val="13"/>
              </w:rPr>
              <w:t>5</w:t>
            </w:r>
          </w:p>
        </w:tc>
        <w:tc>
          <w:tcPr>
            <w:tcW w:type="dxa" w:w="2592"/>
            <w:vAlign w:val="top"/>
          </w:tcPr>
          <w:p>
            <w:pPr>
              <w:spacing w:after="0" w:before="0"/>
            </w:pPr>
            <w:r/>
            <w:r>
              <w:rPr>
                <w:b w:val="0"/>
                <w:sz w:val="13"/>
              </w:rPr>
              <w:t>Refuge and evacuation</w:t>
            </w:r>
          </w:p>
        </w:tc>
        <w:tc>
          <w:tcPr>
            <w:tcW w:type="dxa" w:w="2592"/>
            <w:vAlign w:val="top"/>
          </w:tcPr>
          <w:p>
            <w:pPr>
              <w:spacing w:after="0" w:before="0"/>
            </w:pPr>
            <w:r/>
            <w:r>
              <w:rPr>
                <w:b w:val="0"/>
                <w:sz w:val="13"/>
              </w:rPr>
              <w:t>Restates 1200 person, 14 day, 72 hour safety baseline.</w:t>
            </w:r>
          </w:p>
        </w:tc>
        <w:tc>
          <w:tcPr>
            <w:tcW w:type="dxa" w:w="2592"/>
            <w:vAlign w:val="top"/>
          </w:tcPr>
          <w:p>
            <w:pPr>
              <w:spacing w:after="0" w:before="0"/>
            </w:pPr>
            <w:r/>
            <w:r>
              <w:rPr>
                <w:b w:val="0"/>
                <w:sz w:val="13"/>
              </w:rPr>
              <w:t>Section 8</w:t>
            </w:r>
          </w:p>
        </w:tc>
      </w:tr>
      <w:tr>
        <w:tc>
          <w:tcPr>
            <w:tcW w:type="dxa" w:w="2592"/>
            <w:vAlign w:val="top"/>
          </w:tcPr>
          <w:p>
            <w:pPr>
              <w:spacing w:after="0" w:before="0"/>
            </w:pPr>
            <w:r/>
            <w:r>
              <w:rPr>
                <w:b w:val="0"/>
                <w:sz w:val="13"/>
              </w:rPr>
              <w:t>6</w:t>
            </w:r>
          </w:p>
        </w:tc>
        <w:tc>
          <w:tcPr>
            <w:tcW w:type="dxa" w:w="2592"/>
            <w:vAlign w:val="top"/>
          </w:tcPr>
          <w:p>
            <w:pPr>
              <w:spacing w:after="0" w:before="0"/>
            </w:pPr>
            <w:r/>
            <w:r>
              <w:rPr>
                <w:b w:val="0"/>
                <w:sz w:val="13"/>
              </w:rPr>
              <w:t>Power and utilities</w:t>
            </w:r>
          </w:p>
        </w:tc>
        <w:tc>
          <w:tcPr>
            <w:tcW w:type="dxa" w:w="2592"/>
            <w:vAlign w:val="top"/>
          </w:tcPr>
          <w:p>
            <w:pPr>
              <w:spacing w:after="0" w:before="0"/>
            </w:pPr>
            <w:r/>
            <w:r>
              <w:rPr>
                <w:b w:val="0"/>
                <w:sz w:val="13"/>
              </w:rPr>
              <w:t>Summarizes reactor baseline, solar farm, microwave receiver, and islandable utility logic.</w:t>
            </w:r>
          </w:p>
        </w:tc>
        <w:tc>
          <w:tcPr>
            <w:tcW w:type="dxa" w:w="2592"/>
            <w:vAlign w:val="top"/>
          </w:tcPr>
          <w:p>
            <w:pPr>
              <w:spacing w:after="0" w:before="0"/>
            </w:pPr>
            <w:r/>
            <w:r>
              <w:rPr>
                <w:b w:val="0"/>
                <w:sz w:val="13"/>
              </w:rPr>
              <w:t>Sections 7 and 17</w:t>
            </w:r>
          </w:p>
        </w:tc>
      </w:tr>
      <w:tr>
        <w:tc>
          <w:tcPr>
            <w:tcW w:type="dxa" w:w="2592"/>
            <w:vAlign w:val="top"/>
          </w:tcPr>
          <w:p>
            <w:pPr>
              <w:spacing w:after="0" w:before="0"/>
            </w:pPr>
            <w:r/>
            <w:r>
              <w:rPr>
                <w:b w:val="0"/>
                <w:sz w:val="13"/>
              </w:rPr>
              <w:t>7</w:t>
            </w:r>
          </w:p>
        </w:tc>
        <w:tc>
          <w:tcPr>
            <w:tcW w:type="dxa" w:w="2592"/>
            <w:vAlign w:val="top"/>
          </w:tcPr>
          <w:p>
            <w:pPr>
              <w:spacing w:after="0" w:before="0"/>
            </w:pPr>
            <w:r/>
            <w:r>
              <w:rPr>
                <w:b w:val="0"/>
                <w:sz w:val="13"/>
              </w:rPr>
              <w:t>ISRU output and logistics</w:t>
            </w:r>
          </w:p>
        </w:tc>
        <w:tc>
          <w:tcPr>
            <w:tcW w:type="dxa" w:w="2592"/>
            <w:vAlign w:val="top"/>
          </w:tcPr>
          <w:p>
            <w:pPr>
              <w:spacing w:after="0" w:before="0"/>
            </w:pPr>
            <w:r/>
            <w:r>
              <w:rPr>
                <w:b w:val="0"/>
                <w:sz w:val="13"/>
              </w:rPr>
              <w:t>Summarizes production targets and reserves-first export policy.</w:t>
            </w:r>
          </w:p>
        </w:tc>
        <w:tc>
          <w:tcPr>
            <w:tcW w:type="dxa" w:w="2592"/>
            <w:vAlign w:val="top"/>
          </w:tcPr>
          <w:p>
            <w:pPr>
              <w:spacing w:after="0" w:before="0"/>
            </w:pPr>
            <w:r/>
            <w:r>
              <w:rPr>
                <w:b w:val="0"/>
                <w:sz w:val="13"/>
              </w:rPr>
              <w:t>Section 10</w:t>
            </w:r>
          </w:p>
        </w:tc>
      </w:tr>
      <w:tr>
        <w:tc>
          <w:tcPr>
            <w:tcW w:type="dxa" w:w="2592"/>
            <w:vAlign w:val="top"/>
          </w:tcPr>
          <w:p>
            <w:pPr>
              <w:spacing w:after="0" w:before="0"/>
            </w:pPr>
            <w:r/>
            <w:r>
              <w:rPr>
                <w:b w:val="0"/>
                <w:sz w:val="13"/>
              </w:rPr>
              <w:t>8</w:t>
            </w:r>
          </w:p>
        </w:tc>
        <w:tc>
          <w:tcPr>
            <w:tcW w:type="dxa" w:w="2592"/>
            <w:vAlign w:val="top"/>
          </w:tcPr>
          <w:p>
            <w:pPr>
              <w:spacing w:after="0" w:before="0"/>
            </w:pPr>
            <w:r/>
            <w:r>
              <w:rPr>
                <w:b w:val="0"/>
                <w:sz w:val="13"/>
              </w:rPr>
              <w:t>Surface expansion systems</w:t>
            </w:r>
          </w:p>
        </w:tc>
        <w:tc>
          <w:tcPr>
            <w:tcW w:type="dxa" w:w="2592"/>
            <w:vAlign w:val="top"/>
          </w:tcPr>
          <w:p>
            <w:pPr>
              <w:spacing w:after="0" w:before="0"/>
            </w:pPr>
            <w:r/>
            <w:r>
              <w:rPr>
                <w:b w:val="0"/>
                <w:sz w:val="13"/>
              </w:rPr>
              <w:t>Summarizes spaceport, launch rail, seismic monitoring, solar, microwave, and mineral facility.</w:t>
            </w:r>
          </w:p>
        </w:tc>
        <w:tc>
          <w:tcPr>
            <w:tcW w:type="dxa" w:w="2592"/>
            <w:vAlign w:val="top"/>
          </w:tcPr>
          <w:p>
            <w:pPr>
              <w:spacing w:after="0" w:before="0"/>
            </w:pPr>
            <w:r/>
            <w:r>
              <w:rPr>
                <w:b w:val="0"/>
                <w:sz w:val="13"/>
              </w:rPr>
              <w:t>Section 17</w:t>
            </w:r>
          </w:p>
        </w:tc>
      </w:tr>
      <w:tr>
        <w:tc>
          <w:tcPr>
            <w:tcW w:type="dxa" w:w="2592"/>
            <w:vAlign w:val="top"/>
          </w:tcPr>
          <w:p>
            <w:pPr>
              <w:spacing w:after="0" w:before="0"/>
            </w:pPr>
            <w:r/>
            <w:r>
              <w:rPr>
                <w:b w:val="0"/>
                <w:sz w:val="13"/>
              </w:rPr>
              <w:t>9</w:t>
            </w:r>
          </w:p>
        </w:tc>
        <w:tc>
          <w:tcPr>
            <w:tcW w:type="dxa" w:w="2592"/>
            <w:vAlign w:val="top"/>
          </w:tcPr>
          <w:p>
            <w:pPr>
              <w:spacing w:after="0" w:before="0"/>
            </w:pPr>
            <w:r/>
            <w:r>
              <w:rPr>
                <w:b w:val="0"/>
                <w:sz w:val="13"/>
              </w:rPr>
              <w:t>Inner system scaling</w:t>
            </w:r>
          </w:p>
        </w:tc>
        <w:tc>
          <w:tcPr>
            <w:tcW w:type="dxa" w:w="2592"/>
            <w:vAlign w:val="top"/>
          </w:tcPr>
          <w:p>
            <w:pPr>
              <w:spacing w:after="0" w:before="0"/>
            </w:pPr>
            <w:r/>
            <w:r>
              <w:rPr>
                <w:b w:val="0"/>
                <w:sz w:val="13"/>
              </w:rPr>
              <w:t>Summarizes Mars derivative installation and Mars-specific modifications.</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10</w:t>
            </w:r>
          </w:p>
        </w:tc>
        <w:tc>
          <w:tcPr>
            <w:tcW w:type="dxa" w:w="2592"/>
            <w:vAlign w:val="top"/>
          </w:tcPr>
          <w:p>
            <w:pPr>
              <w:spacing w:after="0" w:before="0"/>
            </w:pPr>
            <w:r/>
            <w:r>
              <w:rPr>
                <w:b w:val="0"/>
                <w:sz w:val="13"/>
              </w:rPr>
              <w:t>Asteroid belt expansion</w:t>
            </w:r>
          </w:p>
        </w:tc>
        <w:tc>
          <w:tcPr>
            <w:tcW w:type="dxa" w:w="2592"/>
            <w:vAlign w:val="top"/>
          </w:tcPr>
          <w:p>
            <w:pPr>
              <w:spacing w:after="0" w:before="0"/>
            </w:pPr>
            <w:r/>
            <w:r>
              <w:rPr>
                <w:b w:val="0"/>
                <w:sz w:val="13"/>
              </w:rPr>
              <w:t>Summarizes Ceres Autonomous Modification Worksite.</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11</w:t>
            </w:r>
          </w:p>
        </w:tc>
        <w:tc>
          <w:tcPr>
            <w:tcW w:type="dxa" w:w="2592"/>
            <w:vAlign w:val="top"/>
          </w:tcPr>
          <w:p>
            <w:pPr>
              <w:spacing w:after="0" w:before="0"/>
            </w:pPr>
            <w:r/>
            <w:r>
              <w:rPr>
                <w:b w:val="0"/>
                <w:sz w:val="13"/>
              </w:rPr>
              <w:t>Venus production and traffic</w:t>
            </w:r>
          </w:p>
        </w:tc>
        <w:tc>
          <w:tcPr>
            <w:tcW w:type="dxa" w:w="2592"/>
            <w:vAlign w:val="top"/>
          </w:tcPr>
          <w:p>
            <w:pPr>
              <w:spacing w:after="0" w:before="0"/>
            </w:pPr>
            <w:r/>
            <w:r>
              <w:rPr>
                <w:b w:val="0"/>
                <w:sz w:val="13"/>
              </w:rPr>
              <w:t>Summarizes Venus afloat gas processing module and orbital traffic insertion platform.</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12</w:t>
            </w:r>
          </w:p>
        </w:tc>
        <w:tc>
          <w:tcPr>
            <w:tcW w:type="dxa" w:w="2592"/>
            <w:vAlign w:val="top"/>
          </w:tcPr>
          <w:p>
            <w:pPr>
              <w:spacing w:after="0" w:before="0"/>
            </w:pPr>
            <w:r/>
            <w:r>
              <w:rPr>
                <w:b w:val="0"/>
                <w:sz w:val="13"/>
              </w:rPr>
              <w:t>Master schedule and gates</w:t>
            </w:r>
          </w:p>
        </w:tc>
        <w:tc>
          <w:tcPr>
            <w:tcW w:type="dxa" w:w="2592"/>
            <w:vAlign w:val="top"/>
          </w:tcPr>
          <w:p>
            <w:pPr>
              <w:spacing w:after="0" w:before="0"/>
            </w:pPr>
            <w:r/>
            <w:r>
              <w:rPr>
                <w:b w:val="0"/>
                <w:sz w:val="13"/>
              </w:rPr>
              <w:t>Summarizes timeline, occupancy gates, and critical path logic.</w:t>
            </w:r>
          </w:p>
        </w:tc>
        <w:tc>
          <w:tcPr>
            <w:tcW w:type="dxa" w:w="2592"/>
            <w:vAlign w:val="top"/>
          </w:tcPr>
          <w:p>
            <w:pPr>
              <w:spacing w:after="0" w:before="0"/>
            </w:pPr>
            <w:r/>
            <w:r>
              <w:rPr>
                <w:b w:val="0"/>
                <w:sz w:val="13"/>
              </w:rPr>
              <w:t>Section 11</w:t>
            </w:r>
          </w:p>
        </w:tc>
      </w:tr>
      <w:tr>
        <w:tc>
          <w:tcPr>
            <w:tcW w:type="dxa" w:w="2592"/>
            <w:vAlign w:val="top"/>
          </w:tcPr>
          <w:p>
            <w:pPr>
              <w:spacing w:after="0" w:before="0"/>
            </w:pPr>
            <w:r/>
            <w:r>
              <w:rPr>
                <w:b w:val="0"/>
                <w:sz w:val="13"/>
              </w:rPr>
              <w:t>13</w:t>
            </w:r>
          </w:p>
        </w:tc>
        <w:tc>
          <w:tcPr>
            <w:tcW w:type="dxa" w:w="2592"/>
            <w:vAlign w:val="top"/>
          </w:tcPr>
          <w:p>
            <w:pPr>
              <w:spacing w:after="0" w:before="0"/>
            </w:pPr>
            <w:r/>
            <w:r>
              <w:rPr>
                <w:b w:val="0"/>
                <w:sz w:val="13"/>
              </w:rPr>
              <w:t>Board economics</w:t>
            </w:r>
          </w:p>
        </w:tc>
        <w:tc>
          <w:tcPr>
            <w:tcW w:type="dxa" w:w="2592"/>
            <w:vAlign w:val="top"/>
          </w:tcPr>
          <w:p>
            <w:pPr>
              <w:spacing w:after="0" w:before="0"/>
            </w:pPr>
            <w:r/>
            <w:r>
              <w:rPr>
                <w:b w:val="0"/>
                <w:sz w:val="13"/>
              </w:rPr>
              <w:t>Summarizes CapEx, OpEx, revenue, and financing baseline.</w:t>
            </w:r>
          </w:p>
        </w:tc>
        <w:tc>
          <w:tcPr>
            <w:tcW w:type="dxa" w:w="2592"/>
            <w:vAlign w:val="top"/>
          </w:tcPr>
          <w:p>
            <w:pPr>
              <w:spacing w:after="0" w:before="0"/>
            </w:pPr>
            <w:r/>
            <w:r>
              <w:rPr>
                <w:b w:val="0"/>
                <w:sz w:val="13"/>
              </w:rPr>
              <w:t>Sections 12, 15, 16</w:t>
            </w:r>
          </w:p>
        </w:tc>
      </w:tr>
      <w:tr>
        <w:tc>
          <w:tcPr>
            <w:tcW w:type="dxa" w:w="2592"/>
            <w:vAlign w:val="top"/>
          </w:tcPr>
          <w:p>
            <w:pPr>
              <w:spacing w:after="0" w:before="0"/>
            </w:pPr>
            <w:r/>
            <w:r>
              <w:rPr>
                <w:b w:val="0"/>
                <w:sz w:val="13"/>
              </w:rPr>
              <w:t>14</w:t>
            </w:r>
          </w:p>
        </w:tc>
        <w:tc>
          <w:tcPr>
            <w:tcW w:type="dxa" w:w="2592"/>
            <w:vAlign w:val="top"/>
          </w:tcPr>
          <w:p>
            <w:pPr>
              <w:spacing w:after="0" w:before="0"/>
            </w:pPr>
            <w:r/>
            <w:r>
              <w:rPr>
                <w:b w:val="0"/>
                <w:sz w:val="13"/>
              </w:rPr>
              <w:t>Risk and governance</w:t>
            </w:r>
          </w:p>
        </w:tc>
        <w:tc>
          <w:tcPr>
            <w:tcW w:type="dxa" w:w="2592"/>
            <w:vAlign w:val="top"/>
          </w:tcPr>
          <w:p>
            <w:pPr>
              <w:spacing w:after="0" w:before="0"/>
            </w:pPr>
            <w:r/>
            <w:r>
              <w:rPr>
                <w:b w:val="0"/>
                <w:sz w:val="13"/>
              </w:rPr>
              <w:t>Summarizes key risk gates and governance controls.</w:t>
            </w:r>
          </w:p>
        </w:tc>
        <w:tc>
          <w:tcPr>
            <w:tcW w:type="dxa" w:w="2592"/>
            <w:vAlign w:val="top"/>
          </w:tcPr>
          <w:p>
            <w:pPr>
              <w:spacing w:after="0" w:before="0"/>
            </w:pPr>
            <w:r/>
            <w:r>
              <w:rPr>
                <w:b w:val="0"/>
                <w:sz w:val="13"/>
              </w:rPr>
              <w:t>Sections 13, 19, 20</w:t>
            </w:r>
          </w:p>
        </w:tc>
      </w:tr>
      <w:tr>
        <w:tc>
          <w:tcPr>
            <w:tcW w:type="dxa" w:w="2592"/>
            <w:vAlign w:val="top"/>
          </w:tcPr>
          <w:p>
            <w:pPr>
              <w:spacing w:after="0" w:before="0"/>
            </w:pPr>
            <w:r/>
            <w:r>
              <w:rPr>
                <w:b w:val="0"/>
                <w:sz w:val="13"/>
              </w:rPr>
              <w:t>15</w:t>
            </w:r>
          </w:p>
        </w:tc>
        <w:tc>
          <w:tcPr>
            <w:tcW w:type="dxa" w:w="2592"/>
            <w:vAlign w:val="top"/>
          </w:tcPr>
          <w:p>
            <w:pPr>
              <w:spacing w:after="0" w:before="0"/>
            </w:pPr>
            <w:r/>
            <w:r>
              <w:rPr>
                <w:b w:val="0"/>
                <w:sz w:val="13"/>
              </w:rPr>
              <w:t>Decision memo</w:t>
            </w:r>
          </w:p>
        </w:tc>
        <w:tc>
          <w:tcPr>
            <w:tcW w:type="dxa" w:w="2592"/>
            <w:vAlign w:val="top"/>
          </w:tcPr>
          <w:p>
            <w:pPr>
              <w:spacing w:after="0" w:before="0"/>
            </w:pPr>
            <w:r/>
            <w:r>
              <w:rPr>
                <w:b w:val="0"/>
                <w:sz w:val="13"/>
              </w:rPr>
              <w:t>Defines recommended board action and 90 day outputs.</w:t>
            </w:r>
          </w:p>
        </w:tc>
        <w:tc>
          <w:tcPr>
            <w:tcW w:type="dxa" w:w="2592"/>
            <w:vAlign w:val="top"/>
          </w:tcPr>
          <w:p>
            <w:pPr>
              <w:spacing w:after="0" w:before="0"/>
            </w:pPr>
            <w:r/>
            <w:r>
              <w:rPr>
                <w:b w:val="0"/>
                <w:sz w:val="13"/>
              </w:rPr>
              <w:t>Sections 16, 20, 21</w:t>
            </w:r>
          </w:p>
        </w:tc>
      </w:tr>
      <w:tr>
        <w:tc>
          <w:tcPr>
            <w:tcW w:type="dxa" w:w="2592"/>
            <w:vAlign w:val="top"/>
          </w:tcPr>
          <w:p>
            <w:pPr>
              <w:spacing w:after="0" w:before="0"/>
            </w:pPr>
            <w:r/>
            <w:r>
              <w:rPr>
                <w:b w:val="0"/>
                <w:sz w:val="13"/>
              </w:rPr>
              <w:t>16</w:t>
            </w:r>
          </w:p>
        </w:tc>
        <w:tc>
          <w:tcPr>
            <w:tcW w:type="dxa" w:w="2592"/>
            <w:vAlign w:val="top"/>
          </w:tcPr>
          <w:p>
            <w:pPr>
              <w:spacing w:after="0" w:before="0"/>
            </w:pPr>
            <w:r/>
            <w:r>
              <w:rPr>
                <w:b w:val="0"/>
                <w:sz w:val="13"/>
              </w:rPr>
              <w:t>Board appendix</w:t>
            </w:r>
          </w:p>
        </w:tc>
        <w:tc>
          <w:tcPr>
            <w:tcW w:type="dxa" w:w="2592"/>
            <w:vAlign w:val="top"/>
          </w:tcPr>
          <w:p>
            <w:pPr>
              <w:spacing w:after="0" w:before="0"/>
            </w:pPr>
            <w:r/>
            <w:r>
              <w:rPr>
                <w:b w:val="0"/>
                <w:sz w:val="13"/>
              </w:rPr>
              <w:t>Lists source basis and next deliverables.</w:t>
            </w:r>
          </w:p>
        </w:tc>
        <w:tc>
          <w:tcPr>
            <w:tcW w:type="dxa" w:w="2592"/>
            <w:vAlign w:val="top"/>
          </w:tcPr>
          <w:p>
            <w:pPr>
              <w:spacing w:after="0" w:before="0"/>
            </w:pPr>
            <w:r/>
            <w:r>
              <w:rPr>
                <w:b w:val="0"/>
                <w:sz w:val="13"/>
              </w:rPr>
              <w:t>Sections 14, 20, 21</w:t>
            </w:r>
          </w:p>
        </w:tc>
      </w:tr>
    </w:tbl>
    <w:p/>
    <w:p>
      <w:pPr>
        <w:pStyle w:val="Heading2"/>
      </w:pPr>
      <w:r>
        <w:t>21.4 Executive Decision Controls Added</w:t>
      </w:r>
    </w:p>
    <w:p>
      <w:pPr>
        <w:spacing w:after="120"/>
      </w:pPr>
      <w:r>
        <w:t>Rev 3.1 adds executive controls to prevent presentation material from drifting away from the master baseline.</w:t>
      </w:r>
    </w:p>
    <w:p>
      <w:pPr>
        <w:pStyle w:val="ListBullet"/>
        <w:spacing w:after="40"/>
      </w:pPr>
      <w:r>
        <w:t>Every future board deck shall identify the master document revision it derives from.</w:t>
      </w:r>
    </w:p>
    <w:p>
      <w:pPr>
        <w:pStyle w:val="ListBullet"/>
        <w:spacing w:after="40"/>
      </w:pPr>
      <w:r>
        <w:t>Every slide with a number, cost, date, facility, production target, or safety condition shall trace to a master section, workbook input, or approved source note.</w:t>
      </w:r>
    </w:p>
    <w:p>
      <w:pPr>
        <w:pStyle w:val="ListBullet"/>
        <w:spacing w:after="40"/>
      </w:pPr>
      <w:r>
        <w:t>Board decks may simplify language, but may not change technical requirements, capital baselines, schedule gates, reserve limits, or risk ratings without a change-control entry.</w:t>
      </w:r>
    </w:p>
    <w:p>
      <w:pPr>
        <w:pStyle w:val="ListBullet"/>
        <w:spacing w:after="40"/>
      </w:pPr>
      <w:r>
        <w:t>Concept visuals are illustrative unless an engineering drawing number, CAD package reference, or configuration-controlled figure number is assigned.</w:t>
      </w:r>
    </w:p>
    <w:p>
      <w:pPr>
        <w:pStyle w:val="ListBullet"/>
        <w:spacing w:after="40"/>
      </w:pPr>
      <w:r>
        <w:t>Funding decisions shall cite the relevant funding gate, exit criteria, risk retirement milestone, and reserve compliance condition.</w:t>
      </w:r>
    </w:p>
    <w:p>
      <w:pPr>
        <w:pStyle w:val="Heading2"/>
      </w:pPr>
      <w:r>
        <w:t>21.5 Board Dashboard Requirements</w:t>
      </w:r>
    </w:p>
    <w:p>
      <w:pPr>
        <w:spacing w:after="120"/>
      </w:pPr>
      <w:r>
        <w:t>The master program dashboard shall be updated to support board review of the next funding gate. The dashboard shall use green, amber, and red status logic tied to objective evidence, not narrative progress.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Dashboard Metric</w:t>
            </w:r>
          </w:p>
        </w:tc>
        <w:tc>
          <w:tcPr>
            <w:tcW w:type="dxa" w:w="3456"/>
            <w:vAlign w:val="top"/>
            <w:shd w:fill="D9EAF7"/>
          </w:tcPr>
          <w:p>
            <w:pPr>
              <w:spacing w:after="0" w:before="0"/>
            </w:pPr>
            <w:r/>
            <w:r>
              <w:rPr>
                <w:b/>
                <w:sz w:val="14"/>
              </w:rPr>
              <w:t>Required Evidence</w:t>
            </w:r>
          </w:p>
        </w:tc>
        <w:tc>
          <w:tcPr>
            <w:tcW w:type="dxa" w:w="3456"/>
            <w:vAlign w:val="top"/>
            <w:shd w:fill="D9EAF7"/>
          </w:tcPr>
          <w:p>
            <w:pPr>
              <w:spacing w:after="0" w:before="0"/>
            </w:pPr>
            <w:r/>
            <w:r>
              <w:rPr>
                <w:b/>
                <w:sz w:val="14"/>
              </w:rPr>
              <w:t>Board Use</w:t>
            </w:r>
          </w:p>
        </w:tc>
      </w:tr>
      <w:tr>
        <w:tc>
          <w:tcPr>
            <w:tcW w:type="dxa" w:w="3456"/>
            <w:vAlign w:val="top"/>
          </w:tcPr>
          <w:p>
            <w:pPr>
              <w:spacing w:after="0" w:before="0"/>
            </w:pPr>
            <w:r/>
            <w:r>
              <w:rPr>
                <w:b w:val="0"/>
                <w:sz w:val="14"/>
              </w:rPr>
              <w:t>Current phase and gate</w:t>
            </w:r>
          </w:p>
        </w:tc>
        <w:tc>
          <w:tcPr>
            <w:tcW w:type="dxa" w:w="3456"/>
            <w:vAlign w:val="top"/>
          </w:tcPr>
          <w:p>
            <w:pPr>
              <w:spacing w:after="0" w:before="0"/>
            </w:pPr>
            <w:r/>
            <w:r>
              <w:rPr>
                <w:b w:val="0"/>
                <w:sz w:val="14"/>
              </w:rPr>
              <w:t>Approved phase record and gate checklist.</w:t>
            </w:r>
          </w:p>
        </w:tc>
        <w:tc>
          <w:tcPr>
            <w:tcW w:type="dxa" w:w="3456"/>
            <w:vAlign w:val="top"/>
          </w:tcPr>
          <w:p>
            <w:pPr>
              <w:spacing w:after="0" w:before="0"/>
            </w:pPr>
            <w:r/>
            <w:r>
              <w:rPr>
                <w:b w:val="0"/>
                <w:sz w:val="14"/>
              </w:rPr>
              <w:t>Confirms whether the program is still inside authorized scope.</w:t>
            </w:r>
          </w:p>
        </w:tc>
      </w:tr>
      <w:tr>
        <w:tc>
          <w:tcPr>
            <w:tcW w:type="dxa" w:w="3456"/>
            <w:vAlign w:val="top"/>
          </w:tcPr>
          <w:p>
            <w:pPr>
              <w:spacing w:after="0" w:before="0"/>
            </w:pPr>
            <w:r/>
            <w:r>
              <w:rPr>
                <w:b w:val="0"/>
                <w:sz w:val="14"/>
              </w:rPr>
              <w:t>Critical path float</w:t>
            </w:r>
          </w:p>
        </w:tc>
        <w:tc>
          <w:tcPr>
            <w:tcW w:type="dxa" w:w="3456"/>
            <w:vAlign w:val="top"/>
          </w:tcPr>
          <w:p>
            <w:pPr>
              <w:spacing w:after="0" w:before="0"/>
            </w:pPr>
            <w:r/>
            <w:r>
              <w:rPr>
                <w:b w:val="0"/>
                <w:sz w:val="14"/>
              </w:rPr>
              <w:t>Integrated master schedule and package owner updates.</w:t>
            </w:r>
          </w:p>
        </w:tc>
        <w:tc>
          <w:tcPr>
            <w:tcW w:type="dxa" w:w="3456"/>
            <w:vAlign w:val="top"/>
          </w:tcPr>
          <w:p>
            <w:pPr>
              <w:spacing w:after="0" w:before="0"/>
            </w:pPr>
            <w:r/>
            <w:r>
              <w:rPr>
                <w:b w:val="0"/>
                <w:sz w:val="14"/>
              </w:rPr>
              <w:t>Shows whether schedule risk is consuming management reserve.</w:t>
            </w:r>
          </w:p>
        </w:tc>
      </w:tr>
      <w:tr>
        <w:tc>
          <w:tcPr>
            <w:tcW w:type="dxa" w:w="3456"/>
            <w:vAlign w:val="top"/>
          </w:tcPr>
          <w:p>
            <w:pPr>
              <w:spacing w:after="0" w:before="0"/>
            </w:pPr>
            <w:r/>
            <w:r>
              <w:rPr>
                <w:b w:val="0"/>
                <w:sz w:val="14"/>
              </w:rPr>
              <w:t>Protected reserve status</w:t>
            </w:r>
          </w:p>
        </w:tc>
        <w:tc>
          <w:tcPr>
            <w:tcW w:type="dxa" w:w="3456"/>
            <w:vAlign w:val="top"/>
          </w:tcPr>
          <w:p>
            <w:pPr>
              <w:spacing w:after="0" w:before="0"/>
            </w:pPr>
            <w:r/>
            <w:r>
              <w:rPr>
                <w:b w:val="0"/>
                <w:sz w:val="14"/>
              </w:rPr>
              <w:t>Water, oxygen, hydrogen, medical, food, and emergency power reserve calculations.</w:t>
            </w:r>
          </w:p>
        </w:tc>
        <w:tc>
          <w:tcPr>
            <w:tcW w:type="dxa" w:w="3456"/>
            <w:vAlign w:val="top"/>
          </w:tcPr>
          <w:p>
            <w:pPr>
              <w:spacing w:after="0" w:before="0"/>
            </w:pPr>
            <w:r/>
            <w:r>
              <w:rPr>
                <w:b w:val="0"/>
                <w:sz w:val="14"/>
              </w:rPr>
              <w:t>Confirms that revenue and export activity do not erode survival margins.</w:t>
            </w:r>
          </w:p>
        </w:tc>
      </w:tr>
      <w:tr>
        <w:tc>
          <w:tcPr>
            <w:tcW w:type="dxa" w:w="3456"/>
            <w:vAlign w:val="top"/>
          </w:tcPr>
          <w:p>
            <w:pPr>
              <w:spacing w:after="0" w:before="0"/>
            </w:pPr>
            <w:r/>
            <w:r>
              <w:rPr>
                <w:b w:val="0"/>
                <w:sz w:val="14"/>
              </w:rPr>
              <w:t>Certified refuge capacity</w:t>
            </w:r>
          </w:p>
        </w:tc>
        <w:tc>
          <w:tcPr>
            <w:tcW w:type="dxa" w:w="3456"/>
            <w:vAlign w:val="top"/>
          </w:tcPr>
          <w:p>
            <w:pPr>
              <w:spacing w:after="0" w:before="0"/>
            </w:pPr>
            <w:r/>
            <w:r>
              <w:rPr>
                <w:b w:val="0"/>
                <w:sz w:val="14"/>
              </w:rPr>
              <w:t>R1 through R4 test status and occupancy model.</w:t>
            </w:r>
          </w:p>
        </w:tc>
        <w:tc>
          <w:tcPr>
            <w:tcW w:type="dxa" w:w="3456"/>
            <w:vAlign w:val="top"/>
          </w:tcPr>
          <w:p>
            <w:pPr>
              <w:spacing w:after="0" w:before="0"/>
            </w:pPr>
            <w:r/>
            <w:r>
              <w:rPr>
                <w:b w:val="0"/>
                <w:sz w:val="14"/>
              </w:rPr>
              <w:t>Confirms one lunar night protected capacity for 1200 persons.</w:t>
            </w:r>
          </w:p>
        </w:tc>
      </w:tr>
      <w:tr>
        <w:tc>
          <w:tcPr>
            <w:tcW w:type="dxa" w:w="3456"/>
            <w:vAlign w:val="top"/>
          </w:tcPr>
          <w:p>
            <w:pPr>
              <w:spacing w:after="0" w:before="0"/>
            </w:pPr>
            <w:r/>
            <w:r>
              <w:rPr>
                <w:b w:val="0"/>
                <w:sz w:val="14"/>
              </w:rPr>
              <w:t>Certified evacuation capacity</w:t>
            </w:r>
          </w:p>
        </w:tc>
        <w:tc>
          <w:tcPr>
            <w:tcW w:type="dxa" w:w="3456"/>
            <w:vAlign w:val="top"/>
          </w:tcPr>
          <w:p>
            <w:pPr>
              <w:spacing w:after="0" w:before="0"/>
            </w:pPr>
            <w:r/>
            <w:r>
              <w:rPr>
                <w:b w:val="0"/>
                <w:sz w:val="14"/>
              </w:rPr>
              <w:t>Vehicle availability, pad status, shaft throughput, manifest model.</w:t>
            </w:r>
          </w:p>
        </w:tc>
        <w:tc>
          <w:tcPr>
            <w:tcW w:type="dxa" w:w="3456"/>
            <w:vAlign w:val="top"/>
          </w:tcPr>
          <w:p>
            <w:pPr>
              <w:spacing w:after="0" w:before="0"/>
            </w:pPr>
            <w:r/>
            <w:r>
              <w:rPr>
                <w:b w:val="0"/>
                <w:sz w:val="14"/>
              </w:rPr>
              <w:t>Confirms 72 hour evacuation compliance.</w:t>
            </w:r>
          </w:p>
        </w:tc>
      </w:tr>
      <w:tr>
        <w:tc>
          <w:tcPr>
            <w:tcW w:type="dxa" w:w="3456"/>
            <w:vAlign w:val="top"/>
          </w:tcPr>
          <w:p>
            <w:pPr>
              <w:spacing w:after="0" w:before="0"/>
            </w:pPr>
            <w:r/>
            <w:r>
              <w:rPr>
                <w:b w:val="0"/>
                <w:sz w:val="14"/>
              </w:rPr>
              <w:t>Capital committed versus gate</w:t>
            </w:r>
          </w:p>
        </w:tc>
        <w:tc>
          <w:tcPr>
            <w:tcW w:type="dxa" w:w="3456"/>
            <w:vAlign w:val="top"/>
          </w:tcPr>
          <w:p>
            <w:pPr>
              <w:spacing w:after="0" w:before="0"/>
            </w:pPr>
            <w:r/>
            <w:r>
              <w:rPr>
                <w:b w:val="0"/>
                <w:sz w:val="14"/>
              </w:rPr>
              <w:t>Finance controls and work package commitment register.</w:t>
            </w:r>
          </w:p>
        </w:tc>
        <w:tc>
          <w:tcPr>
            <w:tcW w:type="dxa" w:w="3456"/>
            <w:vAlign w:val="top"/>
          </w:tcPr>
          <w:p>
            <w:pPr>
              <w:spacing w:after="0" w:before="0"/>
            </w:pPr>
            <w:r/>
            <w:r>
              <w:rPr>
                <w:b w:val="0"/>
                <w:sz w:val="14"/>
              </w:rPr>
              <w:t>Prevents premature full-build spending.</w:t>
            </w:r>
          </w:p>
        </w:tc>
      </w:tr>
      <w:tr>
        <w:tc>
          <w:tcPr>
            <w:tcW w:type="dxa" w:w="3456"/>
            <w:vAlign w:val="top"/>
          </w:tcPr>
          <w:p>
            <w:pPr>
              <w:spacing w:after="0" w:before="0"/>
            </w:pPr>
            <w:r/>
            <w:r>
              <w:rPr>
                <w:b w:val="0"/>
                <w:sz w:val="14"/>
              </w:rPr>
              <w:t>Customer commitment coverage</w:t>
            </w:r>
          </w:p>
        </w:tc>
        <w:tc>
          <w:tcPr>
            <w:tcW w:type="dxa" w:w="3456"/>
            <w:vAlign w:val="top"/>
          </w:tcPr>
          <w:p>
            <w:pPr>
              <w:spacing w:after="0" w:before="0"/>
            </w:pPr>
            <w:r/>
            <w:r>
              <w:rPr>
                <w:b w:val="0"/>
                <w:sz w:val="14"/>
              </w:rPr>
              <w:t>Offtake, availability, tenancy, cost share, and partner agreements.</w:t>
            </w:r>
          </w:p>
        </w:tc>
        <w:tc>
          <w:tcPr>
            <w:tcW w:type="dxa" w:w="3456"/>
            <w:vAlign w:val="top"/>
          </w:tcPr>
          <w:p>
            <w:pPr>
              <w:spacing w:after="0" w:before="0"/>
            </w:pPr>
            <w:r/>
            <w:r>
              <w:rPr>
                <w:b w:val="0"/>
                <w:sz w:val="14"/>
              </w:rPr>
              <w:t>Tests whether commercial evidence supports capital release.</w:t>
            </w:r>
          </w:p>
        </w:tc>
      </w:tr>
      <w:tr>
        <w:tc>
          <w:tcPr>
            <w:tcW w:type="dxa" w:w="3456"/>
            <w:vAlign w:val="top"/>
          </w:tcPr>
          <w:p>
            <w:pPr>
              <w:spacing w:after="0" w:before="0"/>
            </w:pPr>
            <w:r/>
            <w:r>
              <w:rPr>
                <w:b w:val="0"/>
                <w:sz w:val="14"/>
              </w:rPr>
              <w:t>Interface closure</w:t>
            </w:r>
          </w:p>
        </w:tc>
        <w:tc>
          <w:tcPr>
            <w:tcW w:type="dxa" w:w="3456"/>
            <w:vAlign w:val="top"/>
          </w:tcPr>
          <w:p>
            <w:pPr>
              <w:spacing w:after="0" w:before="0"/>
            </w:pPr>
            <w:r/>
            <w:r>
              <w:rPr>
                <w:b w:val="0"/>
                <w:sz w:val="14"/>
              </w:rPr>
              <w:t>Interface control documents for WP1 through WP31.</w:t>
            </w:r>
          </w:p>
        </w:tc>
        <w:tc>
          <w:tcPr>
            <w:tcW w:type="dxa" w:w="3456"/>
            <w:vAlign w:val="top"/>
          </w:tcPr>
          <w:p>
            <w:pPr>
              <w:spacing w:after="0" w:before="0"/>
            </w:pPr>
            <w:r/>
            <w:r>
              <w:rPr>
                <w:b w:val="0"/>
                <w:sz w:val="14"/>
              </w:rPr>
              <w:t>Finds cross-system integration risk before procurement.</w:t>
            </w:r>
          </w:p>
        </w:tc>
      </w:tr>
    </w:tbl>
    <w:p/>
    <w:p>
      <w:pPr>
        <w:pStyle w:val="Heading2"/>
      </w:pPr>
      <w:r>
        <w:t>21.6 Ninety Day Action Package</w:t>
      </w:r>
    </w:p>
    <w:p>
      <w:pPr>
        <w:spacing w:after="120"/>
      </w:pPr>
      <w:r>
        <w:t>The board deck recommends approval of the next action package. Rev 3.1 converts that recommendation into a controlled 90 day work plan.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before="0"/>
            </w:pPr>
            <w:r/>
            <w:r>
              <w:rPr>
                <w:b/>
                <w:sz w:val="14"/>
              </w:rPr>
              <w:t>Action</w:t>
            </w:r>
          </w:p>
        </w:tc>
        <w:tc>
          <w:tcPr>
            <w:tcW w:type="dxa" w:w="2592"/>
            <w:vAlign w:val="top"/>
            <w:shd w:fill="D9EAF7"/>
          </w:tcPr>
          <w:p>
            <w:pPr>
              <w:spacing w:after="0" w:before="0"/>
            </w:pPr>
            <w:r/>
            <w:r>
              <w:rPr>
                <w:b/>
                <w:sz w:val="14"/>
              </w:rPr>
              <w:t>Owner Function</w:t>
            </w:r>
          </w:p>
        </w:tc>
        <w:tc>
          <w:tcPr>
            <w:tcW w:type="dxa" w:w="2592"/>
            <w:vAlign w:val="top"/>
            <w:shd w:fill="D9EAF7"/>
          </w:tcPr>
          <w:p>
            <w:pPr>
              <w:spacing w:after="0" w:before="0"/>
            </w:pPr>
            <w:r/>
            <w:r>
              <w:rPr>
                <w:b/>
                <w:sz w:val="14"/>
              </w:rPr>
              <w:t>Output</w:t>
            </w:r>
          </w:p>
        </w:tc>
        <w:tc>
          <w:tcPr>
            <w:tcW w:type="dxa" w:w="2592"/>
            <w:vAlign w:val="top"/>
            <w:shd w:fill="D9EAF7"/>
          </w:tcPr>
          <w:p>
            <w:pPr>
              <w:spacing w:after="0" w:before="0"/>
            </w:pPr>
            <w:r/>
            <w:r>
              <w:rPr>
                <w:b/>
                <w:sz w:val="14"/>
              </w:rPr>
              <w:t>Gate Link</w:t>
            </w:r>
          </w:p>
        </w:tc>
      </w:tr>
      <w:tr>
        <w:tc>
          <w:tcPr>
            <w:tcW w:type="dxa" w:w="2592"/>
            <w:vAlign w:val="top"/>
          </w:tcPr>
          <w:p>
            <w:pPr>
              <w:spacing w:after="0" w:before="0"/>
            </w:pPr>
            <w:r/>
            <w:r>
              <w:rPr>
                <w:b w:val="0"/>
                <w:sz w:val="14"/>
              </w:rPr>
              <w:t>Site confirmation campaign plan</w:t>
            </w:r>
          </w:p>
        </w:tc>
        <w:tc>
          <w:tcPr>
            <w:tcW w:type="dxa" w:w="2592"/>
            <w:vAlign w:val="top"/>
          </w:tcPr>
          <w:p>
            <w:pPr>
              <w:spacing w:after="0" w:before="0"/>
            </w:pPr>
            <w:r/>
            <w:r>
              <w:rPr>
                <w:b w:val="0"/>
                <w:sz w:val="14"/>
              </w:rPr>
              <w:t>Engineering and geotechnical</w:t>
            </w:r>
          </w:p>
        </w:tc>
        <w:tc>
          <w:tcPr>
            <w:tcW w:type="dxa" w:w="2592"/>
            <w:vAlign w:val="top"/>
          </w:tcPr>
          <w:p>
            <w:pPr>
              <w:spacing w:after="0" w:before="0"/>
            </w:pPr>
            <w:r/>
            <w:r>
              <w:rPr>
                <w:b w:val="0"/>
                <w:sz w:val="14"/>
              </w:rPr>
              <w:t>Survey plan, sensor list, drilling logic, data acceptance criteria.</w:t>
            </w:r>
          </w:p>
        </w:tc>
        <w:tc>
          <w:tcPr>
            <w:tcW w:type="dxa" w:w="2592"/>
            <w:vAlign w:val="top"/>
          </w:tcPr>
          <w:p>
            <w:pPr>
              <w:spacing w:after="0" w:before="0"/>
            </w:pPr>
            <w:r/>
            <w:r>
              <w:rPr>
                <w:b w:val="0"/>
                <w:sz w:val="14"/>
              </w:rPr>
              <w:t>G1 site confirmation gate</w:t>
            </w:r>
          </w:p>
        </w:tc>
      </w:tr>
      <w:tr>
        <w:tc>
          <w:tcPr>
            <w:tcW w:type="dxa" w:w="2592"/>
            <w:vAlign w:val="top"/>
          </w:tcPr>
          <w:p>
            <w:pPr>
              <w:spacing w:after="0" w:before="0"/>
            </w:pPr>
            <w:r/>
            <w:r>
              <w:rPr>
                <w:b w:val="0"/>
                <w:sz w:val="14"/>
              </w:rPr>
              <w:t>Seismic starter network definition</w:t>
            </w:r>
          </w:p>
        </w:tc>
        <w:tc>
          <w:tcPr>
            <w:tcW w:type="dxa" w:w="2592"/>
            <w:vAlign w:val="top"/>
          </w:tcPr>
          <w:p>
            <w:pPr>
              <w:spacing w:after="0" w:before="0"/>
            </w:pPr>
            <w:r/>
            <w:r>
              <w:rPr>
                <w:b w:val="0"/>
                <w:sz w:val="14"/>
              </w:rPr>
              <w:t>Infrastructure monitoring</w:t>
            </w:r>
          </w:p>
        </w:tc>
        <w:tc>
          <w:tcPr>
            <w:tcW w:type="dxa" w:w="2592"/>
            <w:vAlign w:val="top"/>
          </w:tcPr>
          <w:p>
            <w:pPr>
              <w:spacing w:after="0" w:before="0"/>
            </w:pPr>
            <w:r/>
            <w:r>
              <w:rPr>
                <w:b w:val="0"/>
                <w:sz w:val="14"/>
              </w:rPr>
              <w:t>Initial station layout, power and data interfaces, structural monitoring logic.</w:t>
            </w:r>
          </w:p>
        </w:tc>
        <w:tc>
          <w:tcPr>
            <w:tcW w:type="dxa" w:w="2592"/>
            <w:vAlign w:val="top"/>
          </w:tcPr>
          <w:p>
            <w:pPr>
              <w:spacing w:after="0" w:before="0"/>
            </w:pPr>
            <w:r/>
            <w:r>
              <w:rPr>
                <w:b w:val="0"/>
                <w:sz w:val="14"/>
              </w:rPr>
              <w:t>WP24 and G1</w:t>
            </w:r>
          </w:p>
        </w:tc>
      </w:tr>
      <w:tr>
        <w:tc>
          <w:tcPr>
            <w:tcW w:type="dxa" w:w="2592"/>
            <w:vAlign w:val="top"/>
          </w:tcPr>
          <w:p>
            <w:pPr>
              <w:spacing w:after="0" w:before="0"/>
            </w:pPr>
            <w:r/>
            <w:r>
              <w:rPr>
                <w:b w:val="0"/>
                <w:sz w:val="14"/>
              </w:rPr>
              <w:t>Interface-control package kickoff</w:t>
            </w:r>
          </w:p>
        </w:tc>
        <w:tc>
          <w:tcPr>
            <w:tcW w:type="dxa" w:w="2592"/>
            <w:vAlign w:val="top"/>
          </w:tcPr>
          <w:p>
            <w:pPr>
              <w:spacing w:after="0" w:before="0"/>
            </w:pPr>
            <w:r/>
            <w:r>
              <w:rPr>
                <w:b w:val="0"/>
                <w:sz w:val="14"/>
              </w:rPr>
              <w:t>Systems engineering</w:t>
            </w:r>
          </w:p>
        </w:tc>
        <w:tc>
          <w:tcPr>
            <w:tcW w:type="dxa" w:w="2592"/>
            <w:vAlign w:val="top"/>
          </w:tcPr>
          <w:p>
            <w:pPr>
              <w:spacing w:after="0" w:before="0"/>
            </w:pPr>
            <w:r/>
            <w:r>
              <w:rPr>
                <w:b w:val="0"/>
                <w:sz w:val="14"/>
              </w:rPr>
              <w:t>ICD template and first interface list for WP1 through WP31.</w:t>
            </w:r>
          </w:p>
        </w:tc>
        <w:tc>
          <w:tcPr>
            <w:tcW w:type="dxa" w:w="2592"/>
            <w:vAlign w:val="top"/>
          </w:tcPr>
          <w:p>
            <w:pPr>
              <w:spacing w:after="0" w:before="0"/>
            </w:pPr>
            <w:r/>
            <w:r>
              <w:rPr>
                <w:b w:val="0"/>
                <w:sz w:val="14"/>
              </w:rPr>
              <w:t>Configuration control hierarchy</w:t>
            </w:r>
          </w:p>
        </w:tc>
      </w:tr>
      <w:tr>
        <w:tc>
          <w:tcPr>
            <w:tcW w:type="dxa" w:w="2592"/>
            <w:vAlign w:val="top"/>
          </w:tcPr>
          <w:p>
            <w:pPr>
              <w:spacing w:after="0" w:before="0"/>
            </w:pPr>
            <w:r/>
            <w:r>
              <w:rPr>
                <w:b w:val="0"/>
                <w:sz w:val="14"/>
              </w:rPr>
              <w:t>Financial workbook refresh</w:t>
            </w:r>
          </w:p>
        </w:tc>
        <w:tc>
          <w:tcPr>
            <w:tcW w:type="dxa" w:w="2592"/>
            <w:vAlign w:val="top"/>
          </w:tcPr>
          <w:p>
            <w:pPr>
              <w:spacing w:after="0" w:before="0"/>
            </w:pPr>
            <w:r/>
            <w:r>
              <w:rPr>
                <w:b w:val="0"/>
                <w:sz w:val="14"/>
              </w:rPr>
              <w:t>Program finance</w:t>
            </w:r>
          </w:p>
        </w:tc>
        <w:tc>
          <w:tcPr>
            <w:tcW w:type="dxa" w:w="2592"/>
            <w:vAlign w:val="top"/>
          </w:tcPr>
          <w:p>
            <w:pPr>
              <w:spacing w:after="0" w:before="0"/>
            </w:pPr>
            <w:r/>
            <w:r>
              <w:rPr>
                <w:b w:val="0"/>
                <w:sz w:val="14"/>
              </w:rPr>
              <w:t>CapEx, OpEx, revenue, dilution, debt capacity, and reserve dashboard updated to Rev 3.1.</w:t>
            </w:r>
          </w:p>
        </w:tc>
        <w:tc>
          <w:tcPr>
            <w:tcW w:type="dxa" w:w="2592"/>
            <w:vAlign w:val="top"/>
          </w:tcPr>
          <w:p>
            <w:pPr>
              <w:spacing w:after="0" w:before="0"/>
            </w:pPr>
            <w:r/>
            <w:r>
              <w:rPr>
                <w:b w:val="0"/>
                <w:sz w:val="14"/>
              </w:rPr>
              <w:t>Funding Gate F1</w:t>
            </w:r>
          </w:p>
        </w:tc>
      </w:tr>
      <w:tr>
        <w:tc>
          <w:tcPr>
            <w:tcW w:type="dxa" w:w="2592"/>
            <w:vAlign w:val="top"/>
          </w:tcPr>
          <w:p>
            <w:pPr>
              <w:spacing w:after="0" w:before="0"/>
            </w:pPr>
            <w:r/>
            <w:r>
              <w:rPr>
                <w:b w:val="0"/>
                <w:sz w:val="14"/>
              </w:rPr>
              <w:t>Anchor customer term sheet model</w:t>
            </w:r>
          </w:p>
        </w:tc>
        <w:tc>
          <w:tcPr>
            <w:tcW w:type="dxa" w:w="2592"/>
            <w:vAlign w:val="top"/>
          </w:tcPr>
          <w:p>
            <w:pPr>
              <w:spacing w:after="0" w:before="0"/>
            </w:pPr>
            <w:r/>
            <w:r>
              <w:rPr>
                <w:b w:val="0"/>
                <w:sz w:val="14"/>
              </w:rPr>
              <w:t>Commercial and legal</w:t>
            </w:r>
          </w:p>
        </w:tc>
        <w:tc>
          <w:tcPr>
            <w:tcW w:type="dxa" w:w="2592"/>
            <w:vAlign w:val="top"/>
          </w:tcPr>
          <w:p>
            <w:pPr>
              <w:spacing w:after="0" w:before="0"/>
            </w:pPr>
            <w:r/>
            <w:r>
              <w:rPr>
                <w:b w:val="0"/>
                <w:sz w:val="14"/>
              </w:rPr>
              <w:t>Draft structures for offtake, availability, tenancy, and logistics support agreements.</w:t>
            </w:r>
          </w:p>
        </w:tc>
        <w:tc>
          <w:tcPr>
            <w:tcW w:type="dxa" w:w="2592"/>
            <w:vAlign w:val="top"/>
          </w:tcPr>
          <w:p>
            <w:pPr>
              <w:spacing w:after="0" w:before="0"/>
            </w:pPr>
            <w:r/>
            <w:r>
              <w:rPr>
                <w:b w:val="0"/>
                <w:sz w:val="14"/>
              </w:rPr>
              <w:t>Commercial approval conditions</w:t>
            </w:r>
          </w:p>
        </w:tc>
      </w:tr>
      <w:tr>
        <w:tc>
          <w:tcPr>
            <w:tcW w:type="dxa" w:w="2592"/>
            <w:vAlign w:val="top"/>
          </w:tcPr>
          <w:p>
            <w:pPr>
              <w:spacing w:after="0" w:before="0"/>
            </w:pPr>
            <w:r/>
            <w:r>
              <w:rPr>
                <w:b w:val="0"/>
                <w:sz w:val="14"/>
              </w:rPr>
              <w:t>Board dashboard prototype</w:t>
            </w:r>
          </w:p>
        </w:tc>
        <w:tc>
          <w:tcPr>
            <w:tcW w:type="dxa" w:w="2592"/>
            <w:vAlign w:val="top"/>
          </w:tcPr>
          <w:p>
            <w:pPr>
              <w:spacing w:after="0" w:before="0"/>
            </w:pPr>
            <w:r/>
            <w:r>
              <w:rPr>
                <w:b w:val="0"/>
                <w:sz w:val="14"/>
              </w:rPr>
              <w:t>Program controls</w:t>
            </w:r>
          </w:p>
        </w:tc>
        <w:tc>
          <w:tcPr>
            <w:tcW w:type="dxa" w:w="2592"/>
            <w:vAlign w:val="top"/>
          </w:tcPr>
          <w:p>
            <w:pPr>
              <w:spacing w:after="0" w:before="0"/>
            </w:pPr>
            <w:r/>
            <w:r>
              <w:rPr>
                <w:b w:val="0"/>
                <w:sz w:val="14"/>
              </w:rPr>
              <w:t>Gate status, risk, reserve, cost, schedule, and commitment dashboard.</w:t>
            </w:r>
          </w:p>
        </w:tc>
        <w:tc>
          <w:tcPr>
            <w:tcW w:type="dxa" w:w="2592"/>
            <w:vAlign w:val="top"/>
          </w:tcPr>
          <w:p>
            <w:pPr>
              <w:spacing w:after="0" w:before="0"/>
            </w:pPr>
            <w:r/>
            <w:r>
              <w:rPr>
                <w:b w:val="0"/>
                <w:sz w:val="14"/>
              </w:rPr>
              <w:t>Board Review B1 preparation</w:t>
            </w:r>
          </w:p>
        </w:tc>
      </w:tr>
      <w:tr>
        <w:tc>
          <w:tcPr>
            <w:tcW w:type="dxa" w:w="2592"/>
            <w:vAlign w:val="top"/>
          </w:tcPr>
          <w:p>
            <w:pPr>
              <w:spacing w:after="0" w:before="0"/>
            </w:pPr>
            <w:r/>
            <w:r>
              <w:rPr>
                <w:b w:val="0"/>
                <w:sz w:val="14"/>
              </w:rPr>
              <w:t>Deck control protocol</w:t>
            </w:r>
          </w:p>
        </w:tc>
        <w:tc>
          <w:tcPr>
            <w:tcW w:type="dxa" w:w="2592"/>
            <w:vAlign w:val="top"/>
          </w:tcPr>
          <w:p>
            <w:pPr>
              <w:spacing w:after="0" w:before="0"/>
            </w:pPr>
            <w:r/>
            <w:r>
              <w:rPr>
                <w:b w:val="0"/>
                <w:sz w:val="14"/>
              </w:rPr>
              <w:t>Program office</w:t>
            </w:r>
          </w:p>
        </w:tc>
        <w:tc>
          <w:tcPr>
            <w:tcW w:type="dxa" w:w="2592"/>
            <w:vAlign w:val="top"/>
          </w:tcPr>
          <w:p>
            <w:pPr>
              <w:spacing w:after="0" w:before="0"/>
            </w:pPr>
            <w:r/>
            <w:r>
              <w:rPr>
                <w:b w:val="0"/>
                <w:sz w:val="14"/>
              </w:rPr>
              <w:t>Slide traceability and approval checklist for future board releases.</w:t>
            </w:r>
          </w:p>
        </w:tc>
        <w:tc>
          <w:tcPr>
            <w:tcW w:type="dxa" w:w="2592"/>
            <w:vAlign w:val="top"/>
          </w:tcPr>
          <w:p>
            <w:pPr>
              <w:spacing w:after="0" w:before="0"/>
            </w:pPr>
            <w:r/>
            <w:r>
              <w:rPr>
                <w:b w:val="0"/>
                <w:sz w:val="14"/>
              </w:rPr>
              <w:t>Rev 3.1 presentation control</w:t>
            </w:r>
          </w:p>
        </w:tc>
      </w:tr>
    </w:tbl>
    <w:p/>
    <w:p>
      <w:pPr>
        <w:pStyle w:val="Heading2"/>
      </w:pPr>
      <w:r>
        <w:t>21.7 Updated WBS and Deliverable Control</w:t>
      </w:r>
    </w:p>
    <w:p>
      <w:pPr>
        <w:spacing w:after="120"/>
      </w:pPr>
      <w:r>
        <w:t>Rev 3.1 does not add new physical work packages. It adds a program controls deliverable set that governs how WP1 through WP31 are presented, funded, and released.</w:t>
      </w:r>
    </w:p>
    <w:p>
      <w:pPr>
        <w:pStyle w:val="ListBullet"/>
        <w:spacing w:after="40"/>
      </w:pPr>
      <w:r>
        <w:t>Program controls deliverable PC-01: Board dashboard and gate evidence package.</w:t>
      </w:r>
    </w:p>
    <w:p>
      <w:pPr>
        <w:pStyle w:val="ListBullet"/>
        <w:spacing w:after="40"/>
      </w:pPr>
      <w:r>
        <w:t>Program controls deliverable PC-02: Slide traceability and executive communications control procedure.</w:t>
      </w:r>
    </w:p>
    <w:p>
      <w:pPr>
        <w:pStyle w:val="ListBullet"/>
        <w:spacing w:after="40"/>
      </w:pPr>
      <w:r>
        <w:t>Program controls deliverable PC-03: Rev 3.1 financial workbook refresh and funding gate control sheet.</w:t>
      </w:r>
    </w:p>
    <w:p>
      <w:pPr>
        <w:pStyle w:val="ListBullet"/>
        <w:spacing w:after="40"/>
      </w:pPr>
      <w:r>
        <w:t>Program controls deliverable PC-04: Customer commitment and cost-share pipeline register.</w:t>
      </w:r>
    </w:p>
    <w:p>
      <w:pPr>
        <w:pStyle w:val="ListBullet"/>
        <w:spacing w:after="40"/>
      </w:pPr>
      <w:r>
        <w:t>Program controls deliverable PC-05: Rev 3.1 master reference package and document change log.</w:t>
      </w:r>
    </w:p>
    <w:p>
      <w:pPr>
        <w:pStyle w:val="Heading2"/>
      </w:pPr>
      <w:r>
        <w:t>21.8 Rev 3.1 Risk Register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Risk</w:t>
            </w:r>
          </w:p>
        </w:tc>
        <w:tc>
          <w:tcPr>
            <w:tcW w:type="dxa" w:w="3456"/>
            <w:vAlign w:val="top"/>
            <w:shd w:fill="D9EAF7"/>
          </w:tcPr>
          <w:p>
            <w:pPr>
              <w:spacing w:after="0" w:before="0"/>
            </w:pPr>
            <w:r/>
            <w:r>
              <w:rPr>
                <w:b/>
                <w:sz w:val="14"/>
              </w:rPr>
              <w:t>Impact</w:t>
            </w:r>
          </w:p>
        </w:tc>
        <w:tc>
          <w:tcPr>
            <w:tcW w:type="dxa" w:w="3456"/>
            <w:vAlign w:val="top"/>
            <w:shd w:fill="D9EAF7"/>
          </w:tcPr>
          <w:p>
            <w:pPr>
              <w:spacing w:after="0" w:before="0"/>
            </w:pPr>
            <w:r/>
            <w:r>
              <w:rPr>
                <w:b/>
                <w:sz w:val="14"/>
              </w:rPr>
              <w:t>Control</w:t>
            </w:r>
          </w:p>
        </w:tc>
      </w:tr>
      <w:tr>
        <w:tc>
          <w:tcPr>
            <w:tcW w:type="dxa" w:w="3456"/>
            <w:vAlign w:val="top"/>
          </w:tcPr>
          <w:p>
            <w:pPr>
              <w:spacing w:after="0" w:before="0"/>
            </w:pPr>
            <w:r/>
            <w:r>
              <w:rPr>
                <w:b w:val="0"/>
                <w:sz w:val="14"/>
              </w:rPr>
              <w:t>Presentation drift risk</w:t>
            </w:r>
          </w:p>
        </w:tc>
        <w:tc>
          <w:tcPr>
            <w:tcW w:type="dxa" w:w="3456"/>
            <w:vAlign w:val="top"/>
          </w:tcPr>
          <w:p>
            <w:pPr>
              <w:spacing w:after="0" w:before="0"/>
            </w:pPr>
            <w:r/>
            <w:r>
              <w:rPr>
                <w:b w:val="0"/>
                <w:sz w:val="14"/>
              </w:rPr>
              <w:t>Board or partner decks may simplify the architecture enough to create false assumptions.</w:t>
            </w:r>
          </w:p>
        </w:tc>
        <w:tc>
          <w:tcPr>
            <w:tcW w:type="dxa" w:w="3456"/>
            <w:vAlign w:val="top"/>
          </w:tcPr>
          <w:p>
            <w:pPr>
              <w:spacing w:after="0" w:before="0"/>
            </w:pPr>
            <w:r/>
            <w:r>
              <w:rPr>
                <w:b w:val="0"/>
                <w:sz w:val="14"/>
              </w:rPr>
              <w:t>Require slide-to-master traceability and release approval.</w:t>
            </w:r>
          </w:p>
        </w:tc>
      </w:tr>
      <w:tr>
        <w:tc>
          <w:tcPr>
            <w:tcW w:type="dxa" w:w="3456"/>
            <w:vAlign w:val="top"/>
          </w:tcPr>
          <w:p>
            <w:pPr>
              <w:spacing w:after="0" w:before="0"/>
            </w:pPr>
            <w:r/>
            <w:r>
              <w:rPr>
                <w:b w:val="0"/>
                <w:sz w:val="14"/>
              </w:rPr>
              <w:t>Premature capital release risk</w:t>
            </w:r>
          </w:p>
        </w:tc>
        <w:tc>
          <w:tcPr>
            <w:tcW w:type="dxa" w:w="3456"/>
            <w:vAlign w:val="top"/>
          </w:tcPr>
          <w:p>
            <w:pPr>
              <w:spacing w:after="0" w:before="0"/>
            </w:pPr>
            <w:r/>
            <w:r>
              <w:rPr>
                <w:b w:val="0"/>
                <w:sz w:val="14"/>
              </w:rPr>
              <w:t>A persuasive deck could accelerate spending before gate evidence exists.</w:t>
            </w:r>
          </w:p>
        </w:tc>
        <w:tc>
          <w:tcPr>
            <w:tcW w:type="dxa" w:w="3456"/>
            <w:vAlign w:val="top"/>
          </w:tcPr>
          <w:p>
            <w:pPr>
              <w:spacing w:after="0" w:before="0"/>
            </w:pPr>
            <w:r/>
            <w:r>
              <w:rPr>
                <w:b w:val="0"/>
                <w:sz w:val="14"/>
              </w:rPr>
              <w:t>Tie every funding action to gate criteria, reserve status, and risk retirement.</w:t>
            </w:r>
          </w:p>
        </w:tc>
      </w:tr>
      <w:tr>
        <w:tc>
          <w:tcPr>
            <w:tcW w:type="dxa" w:w="3456"/>
            <w:vAlign w:val="top"/>
          </w:tcPr>
          <w:p>
            <w:pPr>
              <w:spacing w:after="0" w:before="0"/>
            </w:pPr>
            <w:r/>
            <w:r>
              <w:rPr>
                <w:b w:val="0"/>
                <w:sz w:val="14"/>
              </w:rPr>
              <w:t>Visual concept overinterpretation risk</w:t>
            </w:r>
          </w:p>
        </w:tc>
        <w:tc>
          <w:tcPr>
            <w:tcW w:type="dxa" w:w="3456"/>
            <w:vAlign w:val="top"/>
          </w:tcPr>
          <w:p>
            <w:pPr>
              <w:spacing w:after="0" w:before="0"/>
            </w:pPr>
            <w:r/>
            <w:r>
              <w:rPr>
                <w:b w:val="0"/>
                <w:sz w:val="14"/>
              </w:rPr>
              <w:t>Illustrative images may be mistaken for approved layouts or CAD designs.</w:t>
            </w:r>
          </w:p>
        </w:tc>
        <w:tc>
          <w:tcPr>
            <w:tcW w:type="dxa" w:w="3456"/>
            <w:vAlign w:val="top"/>
          </w:tcPr>
          <w:p>
            <w:pPr>
              <w:spacing w:after="0" w:before="0"/>
            </w:pPr>
            <w:r/>
            <w:r>
              <w:rPr>
                <w:b w:val="0"/>
                <w:sz w:val="14"/>
              </w:rPr>
              <w:t>Label visuals as illustrative unless configuration controlled.</w:t>
            </w:r>
          </w:p>
        </w:tc>
      </w:tr>
      <w:tr>
        <w:tc>
          <w:tcPr>
            <w:tcW w:type="dxa" w:w="3456"/>
            <w:vAlign w:val="top"/>
          </w:tcPr>
          <w:p>
            <w:pPr>
              <w:spacing w:after="0" w:before="0"/>
            </w:pPr>
            <w:r/>
            <w:r>
              <w:rPr>
                <w:b w:val="0"/>
                <w:sz w:val="14"/>
              </w:rPr>
              <w:t>Economic compression risk</w:t>
            </w:r>
          </w:p>
        </w:tc>
        <w:tc>
          <w:tcPr>
            <w:tcW w:type="dxa" w:w="3456"/>
            <w:vAlign w:val="top"/>
          </w:tcPr>
          <w:p>
            <w:pPr>
              <w:spacing w:after="0" w:before="0"/>
            </w:pPr>
            <w:r/>
            <w:r>
              <w:rPr>
                <w:b w:val="0"/>
                <w:sz w:val="14"/>
              </w:rPr>
              <w:t>Concept economics may be repeated without uncertainty bands.</w:t>
            </w:r>
          </w:p>
        </w:tc>
        <w:tc>
          <w:tcPr>
            <w:tcW w:type="dxa" w:w="3456"/>
            <w:vAlign w:val="top"/>
          </w:tcPr>
          <w:p>
            <w:pPr>
              <w:spacing w:after="0" w:before="0"/>
            </w:pPr>
            <w:r/>
            <w:r>
              <w:rPr>
                <w:b w:val="0"/>
                <w:sz w:val="14"/>
              </w:rPr>
              <w:t>Require low, base, high cases and source notes in all board materials.</w:t>
            </w:r>
          </w:p>
        </w:tc>
      </w:tr>
      <w:tr>
        <w:tc>
          <w:tcPr>
            <w:tcW w:type="dxa" w:w="3456"/>
            <w:vAlign w:val="top"/>
          </w:tcPr>
          <w:p>
            <w:pPr>
              <w:spacing w:after="0" w:before="0"/>
            </w:pPr>
            <w:r/>
            <w:r>
              <w:rPr>
                <w:b w:val="0"/>
                <w:sz w:val="14"/>
              </w:rPr>
              <w:t>Portfolio scope creep risk</w:t>
            </w:r>
          </w:p>
        </w:tc>
        <w:tc>
          <w:tcPr>
            <w:tcW w:type="dxa" w:w="3456"/>
            <w:vAlign w:val="top"/>
          </w:tcPr>
          <w:p>
            <w:pPr>
              <w:spacing w:after="0" w:before="0"/>
            </w:pPr>
            <w:r/>
            <w:r>
              <w:rPr>
                <w:b w:val="0"/>
                <w:sz w:val="14"/>
              </w:rPr>
              <w:t>Mars, Ceres, Venus, launch rail, and expansion assets may compete with lunar life-safety completion.</w:t>
            </w:r>
          </w:p>
        </w:tc>
        <w:tc>
          <w:tcPr>
            <w:tcW w:type="dxa" w:w="3456"/>
            <w:vAlign w:val="top"/>
          </w:tcPr>
          <w:p>
            <w:pPr>
              <w:spacing w:after="0" w:before="0"/>
            </w:pPr>
            <w:r/>
            <w:r>
              <w:rPr>
                <w:b w:val="0"/>
                <w:sz w:val="14"/>
              </w:rPr>
              <w:t>Maintain core, parallel, and deferred package separation.</w:t>
            </w:r>
          </w:p>
        </w:tc>
      </w:tr>
    </w:tbl>
    <w:p/>
    <w:p>
      <w:pPr>
        <w:pStyle w:val="Heading2"/>
      </w:pPr>
      <w:r>
        <w:t>21.9 Rev 3.1 Governing Statement</w:t>
      </w:r>
    </w:p>
    <w:p>
      <w:pPr>
        <w:pStyle w:val="ListBullet"/>
        <w:spacing w:after="40"/>
      </w:pPr>
      <w:r>
        <w:t>The master document remains the controlling baseline for the ISRU program.</w:t>
      </w:r>
    </w:p>
    <w:p>
      <w:pPr>
        <w:pStyle w:val="ListBullet"/>
        <w:spacing w:after="40"/>
      </w:pPr>
      <w:r>
        <w:t>The board presentation is a derivative executive artifact and shall not override master requirements.</w:t>
      </w:r>
    </w:p>
    <w:p>
      <w:pPr>
        <w:pStyle w:val="ListBullet"/>
        <w:spacing w:after="40"/>
      </w:pPr>
      <w:r>
        <w:t>The next board action is limited to Funding Gate F1 and the 90 day action package unless additional gate evidence is accepted.</w:t>
      </w:r>
    </w:p>
    <w:p>
      <w:pPr>
        <w:pStyle w:val="ListBullet"/>
        <w:spacing w:after="40"/>
      </w:pPr>
      <w:r>
        <w:t>No life-safety, refuge, evacuation, reserve, planetary protection, or contamination-control requirement is changed by Rev 3.1.</w:t>
      </w:r>
    </w:p>
    <w:p>
      <w:pPr>
        <w:pStyle w:val="ListBullet"/>
        <w:spacing w:after="40"/>
      </w:pPr>
      <w:r>
        <w:t>All future presentation updates shall include revision traceability, financial workbook alignment, source basis, and configuration-control review.</w:t>
      </w:r>
    </w:p>
    <w:p>
      <w:r>
        <w:br w:type="page"/>
      </w:r>
    </w:p>
    <w:p>
      <w:pPr>
        <w:pStyle w:val="Heading1"/>
      </w:pPr>
      <w:r>
        <w:t>22. Rev 3.2 Treaty, Exploration Technology, Mineral Survey, and Extraction Systems Compliance Update</w:t>
      </w:r>
    </w:p>
    <w:p>
      <w:r>
        <w:rPr>
          <w:b/>
          <w:i w:val="0"/>
        </w:rPr>
        <w:t xml:space="preserve">Review outcome: </w:t>
      </w:r>
    </w:p>
    <w:p>
      <w:r>
        <w:rPr>
          <w:b w:val="0"/>
          <w:i w:val="0"/>
        </w:rPr>
        <w:t>Rev 3.2 updates the master ISRU baseline against the current space law, policy, treaty, planetary protection, spectrum, nuclear power, exploration technology, mineral survey, and extraction technology environment available as of 2 June 2026. The update preserves the Moon as the primary control asset while tightening compliance controls for lunar, Mars, Venus, Ceres, and asteroid belt operations.</w:t>
      </w:r>
    </w:p>
    <w:p>
      <w:r>
        <w:rPr>
          <w:b/>
          <w:i w:val="0"/>
        </w:rPr>
        <w:t xml:space="preserve">Configuration decision: </w:t>
      </w:r>
    </w:p>
    <w:p>
      <w:pPr>
        <w:pStyle w:val="ListBullet"/>
      </w:pPr>
      <w:r>
        <w:t>Treat space resource utilization as licensed, supervised, registered, safety reviewed, and transparently coordinated activity under the jurisdiction of the launching and operating states.</w:t>
      </w:r>
    </w:p>
    <w:p>
      <w:pPr>
        <w:pStyle w:val="ListBullet"/>
      </w:pPr>
      <w:r>
        <w:t>Separate resource ownership of extracted material from any claim of sovereignty, territory, or exclusive property over lunar or planetary surface areas.</w:t>
      </w:r>
    </w:p>
    <w:p>
      <w:pPr>
        <w:pStyle w:val="ListBullet"/>
      </w:pPr>
      <w:r>
        <w:t>Place mineral grade, ice concentration, recoverability, and environmental impact in the resource uncertainty register until verified by in situ assay and pilot extraction.</w:t>
      </w:r>
    </w:p>
    <w:p>
      <w:pPr>
        <w:pStyle w:val="ListBullet"/>
      </w:pPr>
      <w:r>
        <w:t>Maintain Mars, Ceres, Venus, and returned sample operations under target specific planetary protection and biosecurity controls.</w:t>
      </w:r>
    </w:p>
    <w:p>
      <w:pPr>
        <w:pStyle w:val="ListBullet"/>
      </w:pPr>
      <w:r>
        <w:t>Move metallic asteroid value claims, especially Psyche class targets, to survey dependent upside until direct mission data and sampling confirm composition, texture, and recoverable grade.</w:t>
      </w:r>
    </w:p>
    <w:p>
      <w:pPr>
        <w:pStyle w:val="Heading2"/>
      </w:pPr>
      <w:r>
        <w:t>22.1 Current Space Treaty and Governance Baseline</w:t>
      </w:r>
    </w:p>
    <w:p>
      <w:r>
        <w:rPr>
          <w:b w:val="0"/>
          <w:i w:val="0"/>
        </w:rPr>
        <w:t>The controlling treaty stack remains the Outer Space Treaty, Rescue Agreement, Liability Convention, Registration Convention, and Moon Agreement status record. The program must also track COPUOS space resource draft principles, Artemis Accords transparency norms, COSPAR planetary protection policy, long term sustainability guidelines, ITU spectrum filings, national licensing regimes, and nuclear power source safety processes.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Instrument or regime</w:t>
            </w:r>
          </w:p>
        </w:tc>
        <w:tc>
          <w:tcPr>
            <w:tcW w:type="dxa" w:w="3456"/>
            <w:vAlign w:val="top"/>
          </w:tcPr>
          <w:p>
            <w:r>
              <w:rPr>
                <w:sz w:val="17"/>
              </w:rPr>
            </w:r>
            <w:r>
              <w:rPr>
                <w:b/>
                <w:sz w:val="17"/>
              </w:rPr>
              <w:t>Current relevance</w:t>
            </w:r>
          </w:p>
        </w:tc>
        <w:tc>
          <w:tcPr>
            <w:tcW w:type="dxa" w:w="3456"/>
            <w:vAlign w:val="top"/>
          </w:tcPr>
          <w:p>
            <w:r>
              <w:rPr>
                <w:sz w:val="17"/>
              </w:rPr>
            </w:r>
            <w:r>
              <w:rPr>
                <w:b/>
                <w:sz w:val="17"/>
              </w:rPr>
              <w:t>Master document control action</w:t>
            </w:r>
          </w:p>
        </w:tc>
      </w:tr>
      <w:tr>
        <w:tc>
          <w:tcPr>
            <w:tcW w:type="dxa" w:w="3456"/>
            <w:vAlign w:val="top"/>
          </w:tcPr>
          <w:p>
            <w:r>
              <w:rPr>
                <w:sz w:val="17"/>
              </w:rPr>
            </w:r>
            <w:r>
              <w:rPr>
                <w:b w:val="0"/>
                <w:sz w:val="17"/>
              </w:rPr>
              <w:t>Outer Space Treaty</w:t>
            </w:r>
          </w:p>
        </w:tc>
        <w:tc>
          <w:tcPr>
            <w:tcW w:type="dxa" w:w="3456"/>
            <w:vAlign w:val="top"/>
          </w:tcPr>
          <w:p>
            <w:r>
              <w:rPr>
                <w:sz w:val="17"/>
              </w:rPr>
            </w:r>
            <w:r>
              <w:rPr>
                <w:b w:val="0"/>
                <w:sz w:val="17"/>
              </w:rPr>
              <w:t>Core baseline for freedom of exploration and use, non appropriation, due regard, harmful contamination avoidance, responsibility for national activities, and liability for space objects.</w:t>
            </w:r>
          </w:p>
        </w:tc>
        <w:tc>
          <w:tcPr>
            <w:tcW w:type="dxa" w:w="3456"/>
            <w:vAlign w:val="top"/>
          </w:tcPr>
          <w:p>
            <w:r>
              <w:rPr>
                <w:sz w:val="17"/>
              </w:rPr>
            </w:r>
            <w:r>
              <w:rPr>
                <w:b w:val="0"/>
                <w:sz w:val="17"/>
              </w:rPr>
              <w:t>All surface districts, orbital platforms, spaceport corridors, hyperloop launch corridors, Ceres worksites, and Venus platforms must be documented as operational safety zones, not sovereign or territorial claims.</w:t>
            </w:r>
          </w:p>
        </w:tc>
      </w:tr>
      <w:tr>
        <w:tc>
          <w:tcPr>
            <w:tcW w:type="dxa" w:w="3456"/>
            <w:vAlign w:val="top"/>
          </w:tcPr>
          <w:p>
            <w:r>
              <w:rPr>
                <w:sz w:val="17"/>
              </w:rPr>
            </w:r>
            <w:r>
              <w:rPr>
                <w:b w:val="0"/>
                <w:sz w:val="17"/>
              </w:rPr>
              <w:t>Rescue Agreement</w:t>
            </w:r>
          </w:p>
        </w:tc>
        <w:tc>
          <w:tcPr>
            <w:tcW w:type="dxa" w:w="3456"/>
            <w:vAlign w:val="top"/>
          </w:tcPr>
          <w:p>
            <w:r>
              <w:rPr>
                <w:sz w:val="17"/>
              </w:rPr>
            </w:r>
            <w:r>
              <w:rPr>
                <w:b w:val="0"/>
                <w:sz w:val="17"/>
              </w:rPr>
              <w:t>Astronaut rescue and return obligations remain relevant for the 1000 resident lunar installation, 1200 surge capacity, Mars derivative installation, Venus afloat platform, and evacuation architecture.</w:t>
            </w:r>
          </w:p>
        </w:tc>
        <w:tc>
          <w:tcPr>
            <w:tcW w:type="dxa" w:w="3456"/>
            <w:vAlign w:val="top"/>
          </w:tcPr>
          <w:p>
            <w:r>
              <w:rPr>
                <w:sz w:val="17"/>
              </w:rPr>
            </w:r>
            <w:r>
              <w:rPr>
                <w:b w:val="0"/>
                <w:sz w:val="17"/>
              </w:rPr>
              <w:t>Emergency refuge, medical stabilization, and 72 hour mass evacuation planning must interoperate with state rescue and return obligations.</w:t>
            </w:r>
          </w:p>
        </w:tc>
      </w:tr>
      <w:tr>
        <w:tc>
          <w:tcPr>
            <w:tcW w:type="dxa" w:w="3456"/>
            <w:vAlign w:val="top"/>
          </w:tcPr>
          <w:p>
            <w:r>
              <w:rPr>
                <w:sz w:val="17"/>
              </w:rPr>
            </w:r>
            <w:r>
              <w:rPr>
                <w:b w:val="0"/>
                <w:sz w:val="17"/>
              </w:rPr>
              <w:t>Liability Convention</w:t>
            </w:r>
          </w:p>
        </w:tc>
        <w:tc>
          <w:tcPr>
            <w:tcW w:type="dxa" w:w="3456"/>
            <w:vAlign w:val="top"/>
          </w:tcPr>
          <w:p>
            <w:r>
              <w:rPr>
                <w:sz w:val="17"/>
              </w:rPr>
            </w:r>
            <w:r>
              <w:rPr>
                <w:b w:val="0"/>
                <w:sz w:val="17"/>
              </w:rPr>
              <w:t>Launching states remain exposed to liability for damage caused by space objects.</w:t>
            </w:r>
          </w:p>
        </w:tc>
        <w:tc>
          <w:tcPr>
            <w:tcW w:type="dxa" w:w="3456"/>
            <w:vAlign w:val="top"/>
          </w:tcPr>
          <w:p>
            <w:r>
              <w:rPr>
                <w:sz w:val="17"/>
              </w:rPr>
            </w:r>
            <w:r>
              <w:rPr>
                <w:b w:val="0"/>
                <w:sz w:val="17"/>
              </w:rPr>
              <w:t>Spaceport, EM launch rail, orbital insertion platform, microwave power receiver, and traffic control systems require conservative hazard analysis and event reconstruction logging.</w:t>
            </w:r>
          </w:p>
        </w:tc>
      </w:tr>
      <w:tr>
        <w:tc>
          <w:tcPr>
            <w:tcW w:type="dxa" w:w="3456"/>
            <w:vAlign w:val="top"/>
          </w:tcPr>
          <w:p>
            <w:r>
              <w:rPr>
                <w:sz w:val="17"/>
              </w:rPr>
            </w:r>
            <w:r>
              <w:rPr>
                <w:b w:val="0"/>
                <w:sz w:val="17"/>
              </w:rPr>
              <w:t>Registration Convention</w:t>
            </w:r>
          </w:p>
        </w:tc>
        <w:tc>
          <w:tcPr>
            <w:tcW w:type="dxa" w:w="3456"/>
            <w:vAlign w:val="top"/>
          </w:tcPr>
          <w:p>
            <w:r>
              <w:rPr>
                <w:sz w:val="17"/>
              </w:rPr>
            </w:r>
            <w:r>
              <w:rPr>
                <w:b w:val="0"/>
                <w:sz w:val="17"/>
              </w:rPr>
              <w:t>Space objects must be registered through the responsible state process.</w:t>
            </w:r>
          </w:p>
        </w:tc>
        <w:tc>
          <w:tcPr>
            <w:tcW w:type="dxa" w:w="3456"/>
            <w:vAlign w:val="top"/>
          </w:tcPr>
          <w:p>
            <w:r>
              <w:rPr>
                <w:sz w:val="17"/>
              </w:rPr>
            </w:r>
            <w:r>
              <w:rPr>
                <w:b w:val="0"/>
                <w:sz w:val="17"/>
              </w:rPr>
              <w:t>Every orbital platform, autonomous tug, launch sled payload that becomes a space object, relay, microwave power satellite, and Venus traffic insertion asset needs registry classification.</w:t>
            </w:r>
          </w:p>
        </w:tc>
      </w:tr>
      <w:tr>
        <w:tc>
          <w:tcPr>
            <w:tcW w:type="dxa" w:w="3456"/>
            <w:vAlign w:val="top"/>
          </w:tcPr>
          <w:p>
            <w:r>
              <w:rPr>
                <w:sz w:val="17"/>
              </w:rPr>
            </w:r>
            <w:r>
              <w:rPr>
                <w:b w:val="0"/>
                <w:sz w:val="17"/>
              </w:rPr>
              <w:t>Moon Agreement</w:t>
            </w:r>
          </w:p>
        </w:tc>
        <w:tc>
          <w:tcPr>
            <w:tcW w:type="dxa" w:w="3456"/>
            <w:vAlign w:val="top"/>
          </w:tcPr>
          <w:p>
            <w:r>
              <w:rPr>
                <w:sz w:val="17"/>
              </w:rPr>
            </w:r>
            <w:r>
              <w:rPr>
                <w:b w:val="0"/>
                <w:sz w:val="17"/>
              </w:rPr>
              <w:t>Applies directly only where the relevant state is party, but it remains important to international expectations around lunar resource governance.</w:t>
            </w:r>
          </w:p>
        </w:tc>
        <w:tc>
          <w:tcPr>
            <w:tcW w:type="dxa" w:w="3456"/>
            <w:vAlign w:val="top"/>
          </w:tcPr>
          <w:p>
            <w:r>
              <w:rPr>
                <w:sz w:val="17"/>
              </w:rPr>
            </w:r>
            <w:r>
              <w:rPr>
                <w:b w:val="0"/>
                <w:sz w:val="17"/>
              </w:rPr>
              <w:t>Legal counsel must map each operating entity and launch jurisdiction before commercialization of lunar resources.</w:t>
            </w:r>
          </w:p>
        </w:tc>
      </w:tr>
      <w:tr>
        <w:tc>
          <w:tcPr>
            <w:tcW w:type="dxa" w:w="3456"/>
            <w:vAlign w:val="top"/>
          </w:tcPr>
          <w:p>
            <w:r>
              <w:rPr>
                <w:sz w:val="17"/>
              </w:rPr>
            </w:r>
            <w:r>
              <w:rPr>
                <w:b w:val="0"/>
                <w:sz w:val="17"/>
              </w:rPr>
              <w:t>COPUOS space resource workstream</w:t>
            </w:r>
          </w:p>
        </w:tc>
        <w:tc>
          <w:tcPr>
            <w:tcW w:type="dxa" w:w="3456"/>
            <w:vAlign w:val="top"/>
          </w:tcPr>
          <w:p>
            <w:r>
              <w:rPr>
                <w:sz w:val="17"/>
              </w:rPr>
            </w:r>
            <w:r>
              <w:rPr>
                <w:b w:val="0"/>
                <w:sz w:val="17"/>
              </w:rPr>
              <w:t>The Legal Subcommittee working group has published evolving draft principles and conference room papers, including 2026 materials.</w:t>
            </w:r>
          </w:p>
        </w:tc>
        <w:tc>
          <w:tcPr>
            <w:tcW w:type="dxa" w:w="3456"/>
            <w:vAlign w:val="top"/>
          </w:tcPr>
          <w:p>
            <w:r>
              <w:rPr>
                <w:sz w:val="17"/>
              </w:rPr>
            </w:r>
            <w:r>
              <w:rPr>
                <w:b w:val="0"/>
                <w:sz w:val="17"/>
              </w:rPr>
              <w:t>Maintain a live compliance tracker and align operational language with transparency, international cooperation, due regard, conflict avoidance, and benefit sharing expectations.</w:t>
            </w:r>
          </w:p>
        </w:tc>
      </w:tr>
      <w:tr>
        <w:tc>
          <w:tcPr>
            <w:tcW w:type="dxa" w:w="3456"/>
            <w:vAlign w:val="top"/>
          </w:tcPr>
          <w:p>
            <w:r>
              <w:rPr>
                <w:sz w:val="17"/>
              </w:rPr>
            </w:r>
            <w:r>
              <w:rPr>
                <w:b w:val="0"/>
                <w:sz w:val="17"/>
              </w:rPr>
              <w:t>Artemis Accords</w:t>
            </w:r>
          </w:p>
        </w:tc>
        <w:tc>
          <w:tcPr>
            <w:tcW w:type="dxa" w:w="3456"/>
            <w:vAlign w:val="top"/>
          </w:tcPr>
          <w:p>
            <w:r>
              <w:rPr>
                <w:sz w:val="17"/>
              </w:rPr>
            </w:r>
            <w:r>
              <w:rPr>
                <w:b w:val="0"/>
                <w:sz w:val="17"/>
              </w:rPr>
              <w:t>Non binding principles influence partner expectations for transparency, interoperability, emergency assistance, registration, release of scientific data, deconfliction, orbital debris, and resource use.</w:t>
            </w:r>
          </w:p>
        </w:tc>
        <w:tc>
          <w:tcPr>
            <w:tcW w:type="dxa" w:w="3456"/>
            <w:vAlign w:val="top"/>
          </w:tcPr>
          <w:p>
            <w:r>
              <w:rPr>
                <w:sz w:val="17"/>
              </w:rPr>
            </w:r>
            <w:r>
              <w:rPr>
                <w:b w:val="0"/>
                <w:sz w:val="17"/>
              </w:rPr>
              <w:t>Use Artemis compatible public coordination packages for sites, safety zones, landing corridors, and resource prospecting campaigns.</w:t>
            </w:r>
          </w:p>
        </w:tc>
      </w:tr>
      <w:tr>
        <w:tc>
          <w:tcPr>
            <w:tcW w:type="dxa" w:w="3456"/>
            <w:vAlign w:val="top"/>
          </w:tcPr>
          <w:p>
            <w:r>
              <w:rPr>
                <w:sz w:val="17"/>
              </w:rPr>
            </w:r>
            <w:r>
              <w:rPr>
                <w:b w:val="0"/>
                <w:sz w:val="17"/>
              </w:rPr>
              <w:t>National space resource laws</w:t>
            </w:r>
          </w:p>
        </w:tc>
        <w:tc>
          <w:tcPr>
            <w:tcW w:type="dxa" w:w="3456"/>
            <w:vAlign w:val="top"/>
          </w:tcPr>
          <w:p>
            <w:r>
              <w:rPr>
                <w:sz w:val="17"/>
              </w:rPr>
            </w:r>
            <w:r>
              <w:rPr>
                <w:b w:val="0"/>
                <w:sz w:val="17"/>
              </w:rPr>
              <w:t>United States, Luxembourg, Japan, UAE, and other jurisdictions provide licensing or ownership frameworks for extracted resources under national law and international obligations.</w:t>
            </w:r>
          </w:p>
        </w:tc>
        <w:tc>
          <w:tcPr>
            <w:tcW w:type="dxa" w:w="3456"/>
            <w:vAlign w:val="top"/>
          </w:tcPr>
          <w:p>
            <w:r>
              <w:rPr>
                <w:sz w:val="17"/>
              </w:rPr>
            </w:r>
            <w:r>
              <w:rPr>
                <w:b w:val="0"/>
                <w:sz w:val="17"/>
              </w:rPr>
              <w:t>Pick operating jurisdiction by mission class. Do not assume one license covers all resources, locations, vehicles, or partner entities.</w:t>
            </w:r>
          </w:p>
        </w:tc>
      </w:tr>
      <w:tr>
        <w:tc>
          <w:tcPr>
            <w:tcW w:type="dxa" w:w="3456"/>
            <w:vAlign w:val="top"/>
          </w:tcPr>
          <w:p>
            <w:r>
              <w:rPr>
                <w:sz w:val="17"/>
              </w:rPr>
            </w:r>
            <w:r>
              <w:rPr>
                <w:b w:val="0"/>
                <w:sz w:val="17"/>
              </w:rPr>
              <w:t>COSPAR planetary protection</w:t>
            </w:r>
          </w:p>
        </w:tc>
        <w:tc>
          <w:tcPr>
            <w:tcW w:type="dxa" w:w="3456"/>
            <w:vAlign w:val="top"/>
          </w:tcPr>
          <w:p>
            <w:r>
              <w:rPr>
                <w:sz w:val="17"/>
              </w:rPr>
            </w:r>
            <w:r>
              <w:rPr>
                <w:b w:val="0"/>
                <w:sz w:val="17"/>
              </w:rPr>
              <w:t>COSPAR 2025 policy basis confirms strong constraints for Mars and returned samples, and documentation plus organic inventory expectations for lunar polar and PSR missions.</w:t>
            </w:r>
          </w:p>
        </w:tc>
        <w:tc>
          <w:tcPr>
            <w:tcW w:type="dxa" w:w="3456"/>
            <w:vAlign w:val="top"/>
          </w:tcPr>
          <w:p>
            <w:r>
              <w:rPr>
                <w:sz w:val="17"/>
              </w:rPr>
            </w:r>
            <w:r>
              <w:rPr>
                <w:b w:val="0"/>
                <w:sz w:val="17"/>
              </w:rPr>
              <w:t>Apply Moon polar documentation, Mars special region exclusion, Ceres organics and brine caution, Venus atmospheric biosecurity, and restricted sample return planning where applicable.</w:t>
            </w:r>
          </w:p>
        </w:tc>
      </w:tr>
      <w:tr>
        <w:tc>
          <w:tcPr>
            <w:tcW w:type="dxa" w:w="3456"/>
            <w:vAlign w:val="top"/>
          </w:tcPr>
          <w:p>
            <w:r>
              <w:rPr>
                <w:sz w:val="17"/>
              </w:rPr>
            </w:r>
            <w:r>
              <w:rPr>
                <w:b w:val="0"/>
                <w:sz w:val="17"/>
              </w:rPr>
              <w:t>ITU and spectrum governance</w:t>
            </w:r>
          </w:p>
        </w:tc>
        <w:tc>
          <w:tcPr>
            <w:tcW w:type="dxa" w:w="3456"/>
            <w:vAlign w:val="top"/>
          </w:tcPr>
          <w:p>
            <w:r>
              <w:rPr>
                <w:sz w:val="17"/>
              </w:rPr>
            </w:r>
            <w:r>
              <w:rPr>
                <w:b w:val="0"/>
                <w:sz w:val="17"/>
              </w:rPr>
              <w:t>Frequency assignments, service filings, orbital radiocommunication, lunar surface communications, microwave power control links, and traffic insertion platform links require regulatory coordination.</w:t>
            </w:r>
          </w:p>
        </w:tc>
        <w:tc>
          <w:tcPr>
            <w:tcW w:type="dxa" w:w="3456"/>
            <w:vAlign w:val="top"/>
          </w:tcPr>
          <w:p>
            <w:r>
              <w:rPr>
                <w:sz w:val="17"/>
              </w:rPr>
            </w:r>
            <w:r>
              <w:rPr>
                <w:b w:val="0"/>
                <w:sz w:val="17"/>
              </w:rPr>
              <w:t>Create a spectrum and RF safety package for lunar site, microwave receiver, surface spaceport, Mars installation, Ceres worksite, and Venus platforms.</w:t>
            </w:r>
          </w:p>
        </w:tc>
      </w:tr>
      <w:tr>
        <w:tc>
          <w:tcPr>
            <w:tcW w:type="dxa" w:w="3456"/>
            <w:vAlign w:val="top"/>
          </w:tcPr>
          <w:p>
            <w:r>
              <w:rPr>
                <w:sz w:val="17"/>
              </w:rPr>
            </w:r>
            <w:r>
              <w:rPr>
                <w:b w:val="0"/>
                <w:sz w:val="17"/>
              </w:rPr>
              <w:t>Nuclear power sources</w:t>
            </w:r>
          </w:p>
        </w:tc>
        <w:tc>
          <w:tcPr>
            <w:tcW w:type="dxa" w:w="3456"/>
            <w:vAlign w:val="top"/>
          </w:tcPr>
          <w:p>
            <w:r>
              <w:rPr>
                <w:sz w:val="17"/>
              </w:rPr>
            </w:r>
            <w:r>
              <w:rPr>
                <w:b w:val="0"/>
                <w:sz w:val="17"/>
              </w:rPr>
              <w:t>UN principles and the 2009 Safety Framework are voluntary but operationally central for nuclear power source risk review and notification practices.</w:t>
            </w:r>
          </w:p>
        </w:tc>
        <w:tc>
          <w:tcPr>
            <w:tcW w:type="dxa" w:w="3456"/>
            <w:vAlign w:val="top"/>
          </w:tcPr>
          <w:p>
            <w:r>
              <w:rPr>
                <w:sz w:val="17"/>
              </w:rPr>
            </w:r>
            <w:r>
              <w:rPr>
                <w:b w:val="0"/>
                <w:sz w:val="17"/>
              </w:rPr>
              <w:t>Any fission surface power, nuclear electric propulsion, or nuclear cargo system must include launch approval, safety analysis, mission phase risk controls, and end of life disposition.</w:t>
            </w:r>
          </w:p>
        </w:tc>
      </w:tr>
    </w:tbl>
    <w:p/>
    <w:p>
      <w:pPr>
        <w:pStyle w:val="Heading2"/>
      </w:pPr>
      <w:r>
        <w:t>22.2 Legal Control Rules for ISRU and Mining</w:t>
      </w:r>
    </w:p>
    <w:p>
      <w:pPr>
        <w:pStyle w:val="ListBullet"/>
      </w:pPr>
      <w:r>
        <w:t>All extracted resource title assumptions are conditional on operator licensing, launch state supervision, applicable national law, and international obligations.</w:t>
      </w:r>
    </w:p>
    <w:p>
      <w:pPr>
        <w:pStyle w:val="ListBullet"/>
      </w:pPr>
      <w:r>
        <w:t>Safety zones may be used for operational deconfliction, dust, plume, blast, radiation, and traffic risk. They must not be described as territorial exclusion or sovereignty zones.</w:t>
      </w:r>
    </w:p>
    <w:p>
      <w:pPr>
        <w:pStyle w:val="ListBullet"/>
      </w:pPr>
      <w:r>
        <w:t>Commercial reserve statements must distinguish detected resource, inferred resource, demonstrated recoverable resource, and booked economic reserve.</w:t>
      </w:r>
    </w:p>
    <w:p>
      <w:pPr>
        <w:pStyle w:val="ListBullet"/>
      </w:pPr>
      <w:r>
        <w:t>No Earth return of unrestricted samples from Mars, Ceres organics zones, Venus aerosols, or other biologically sensitive material is allowed without planetary protection review.</w:t>
      </w:r>
    </w:p>
    <w:p>
      <w:pPr>
        <w:pStyle w:val="ListBullet"/>
      </w:pPr>
      <w:r>
        <w:t>Public notification packages should be prepared for site coordinates, hazardous launch corridors, microwave reception zones, nuclear systems, and high energy EM launch rail operations.</w:t>
      </w:r>
    </w:p>
    <w:p>
      <w:pPr>
        <w:pStyle w:val="ListBullet"/>
      </w:pPr>
      <w:r>
        <w:t>The program shall maintain a treaty status and national licensing register updated before each board gate and before each resource extraction campaign.</w:t>
      </w:r>
    </w:p>
    <w:p>
      <w:pPr>
        <w:pStyle w:val="Heading2"/>
      </w:pPr>
      <w:r>
        <w:t>22.3 Exploration Technology Update</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Technology area</w:t>
            </w:r>
          </w:p>
        </w:tc>
        <w:tc>
          <w:tcPr>
            <w:tcW w:type="dxa" w:w="3456"/>
            <w:vAlign w:val="top"/>
          </w:tcPr>
          <w:p>
            <w:r>
              <w:rPr>
                <w:sz w:val="17"/>
              </w:rPr>
            </w:r>
            <w:r>
              <w:rPr>
                <w:b/>
                <w:sz w:val="17"/>
              </w:rPr>
              <w:t>Current status signal</w:t>
            </w:r>
          </w:p>
        </w:tc>
        <w:tc>
          <w:tcPr>
            <w:tcW w:type="dxa" w:w="3456"/>
            <w:vAlign w:val="top"/>
          </w:tcPr>
          <w:p>
            <w:r>
              <w:rPr>
                <w:sz w:val="17"/>
              </w:rPr>
            </w:r>
            <w:r>
              <w:rPr>
                <w:b/>
                <w:sz w:val="17"/>
              </w:rPr>
              <w:t>Update to master baseline</w:t>
            </w:r>
          </w:p>
        </w:tc>
      </w:tr>
      <w:tr>
        <w:tc>
          <w:tcPr>
            <w:tcW w:type="dxa" w:w="3456"/>
            <w:vAlign w:val="top"/>
          </w:tcPr>
          <w:p>
            <w:r>
              <w:rPr>
                <w:sz w:val="17"/>
              </w:rPr>
            </w:r>
            <w:r>
              <w:rPr>
                <w:b w:val="0"/>
                <w:sz w:val="17"/>
              </w:rPr>
              <w:t>Moon Base and CLPS evolution</w:t>
            </w:r>
          </w:p>
        </w:tc>
        <w:tc>
          <w:tcPr>
            <w:tcW w:type="dxa" w:w="3456"/>
            <w:vAlign w:val="top"/>
          </w:tcPr>
          <w:p>
            <w:r>
              <w:rPr>
                <w:sz w:val="17"/>
              </w:rPr>
            </w:r>
            <w:r>
              <w:rPr>
                <w:b w:val="0"/>
                <w:sz w:val="17"/>
              </w:rPr>
              <w:t>NASA has moved toward phased lunar base infrastructure, early south pole missions, enhanced cargo delivery pathways, rovers, drones, plume interaction studies, and surface logistics maturation.</w:t>
            </w:r>
          </w:p>
        </w:tc>
        <w:tc>
          <w:tcPr>
            <w:tcW w:type="dxa" w:w="3456"/>
            <w:vAlign w:val="top"/>
          </w:tcPr>
          <w:p>
            <w:r>
              <w:rPr>
                <w:sz w:val="17"/>
              </w:rPr>
            </w:r>
            <w:r>
              <w:rPr>
                <w:b w:val="0"/>
                <w:sz w:val="17"/>
              </w:rPr>
              <w:t>The lunar surface spaceport, seismic network, pad hardening, MoonFall style scouting, and rover based survey assumptions are retained and elevated to controlled planning inputs.</w:t>
            </w:r>
          </w:p>
        </w:tc>
      </w:tr>
      <w:tr>
        <w:tc>
          <w:tcPr>
            <w:tcW w:type="dxa" w:w="3456"/>
            <w:vAlign w:val="top"/>
          </w:tcPr>
          <w:p>
            <w:r>
              <w:rPr>
                <w:sz w:val="17"/>
              </w:rPr>
            </w:r>
            <w:r>
              <w:rPr>
                <w:b w:val="0"/>
                <w:sz w:val="17"/>
              </w:rPr>
              <w:t>Lunar terrain vehicles and autonomous mobility</w:t>
            </w:r>
          </w:p>
        </w:tc>
        <w:tc>
          <w:tcPr>
            <w:tcW w:type="dxa" w:w="3456"/>
            <w:vAlign w:val="top"/>
          </w:tcPr>
          <w:p>
            <w:r>
              <w:rPr>
                <w:sz w:val="17"/>
              </w:rPr>
            </w:r>
            <w:r>
              <w:rPr>
                <w:b w:val="0"/>
                <w:sz w:val="17"/>
              </w:rPr>
              <w:t>Multiple LTVs and autonomous or teleoperated surface mobility services are now a current exploration technology pathway.</w:t>
            </w:r>
          </w:p>
        </w:tc>
        <w:tc>
          <w:tcPr>
            <w:tcW w:type="dxa" w:w="3456"/>
            <w:vAlign w:val="top"/>
          </w:tcPr>
          <w:p>
            <w:r>
              <w:rPr>
                <w:sz w:val="17"/>
              </w:rPr>
            </w:r>
            <w:r>
              <w:rPr>
                <w:b w:val="0"/>
                <w:sz w:val="17"/>
              </w:rPr>
              <w:t>Increase the robotic and crew surface mobility interface in District F and add standard docking, charging, dust shedding, and rescue support for heterogeneous rover fleets.</w:t>
            </w:r>
          </w:p>
        </w:tc>
      </w:tr>
      <w:tr>
        <w:tc>
          <w:tcPr>
            <w:tcW w:type="dxa" w:w="3456"/>
            <w:vAlign w:val="top"/>
          </w:tcPr>
          <w:p>
            <w:r>
              <w:rPr>
                <w:sz w:val="17"/>
              </w:rPr>
            </w:r>
            <w:r>
              <w:rPr>
                <w:b w:val="0"/>
                <w:sz w:val="17"/>
              </w:rPr>
              <w:t>Lunar Surface Innovation Initiative</w:t>
            </w:r>
          </w:p>
        </w:tc>
        <w:tc>
          <w:tcPr>
            <w:tcW w:type="dxa" w:w="3456"/>
            <w:vAlign w:val="top"/>
          </w:tcPr>
          <w:p>
            <w:r>
              <w:rPr>
                <w:sz w:val="17"/>
              </w:rPr>
            </w:r>
            <w:r>
              <w:rPr>
                <w:b w:val="0"/>
                <w:sz w:val="17"/>
              </w:rPr>
              <w:t>Current NASA priority areas include power and thermal management, autonomous robotics, excavation and construction, dust mitigation, logistics, environments, ISRU, and autonomy.</w:t>
            </w:r>
          </w:p>
        </w:tc>
        <w:tc>
          <w:tcPr>
            <w:tcW w:type="dxa" w:w="3456"/>
            <w:vAlign w:val="top"/>
          </w:tcPr>
          <w:p>
            <w:r>
              <w:rPr>
                <w:sz w:val="17"/>
              </w:rPr>
            </w:r>
            <w:r>
              <w:rPr>
                <w:b w:val="0"/>
                <w:sz w:val="17"/>
              </w:rPr>
              <w:t>Keep LSII domains as the technical maturity framework for Phase 1 technology gates.</w:t>
            </w:r>
          </w:p>
        </w:tc>
      </w:tr>
      <w:tr>
        <w:tc>
          <w:tcPr>
            <w:tcW w:type="dxa" w:w="3456"/>
            <w:vAlign w:val="top"/>
          </w:tcPr>
          <w:p>
            <w:r>
              <w:rPr>
                <w:sz w:val="17"/>
              </w:rPr>
            </w:r>
            <w:r>
              <w:rPr>
                <w:b w:val="0"/>
                <w:sz w:val="17"/>
              </w:rPr>
              <w:t>Fission surface power</w:t>
            </w:r>
          </w:p>
        </w:tc>
        <w:tc>
          <w:tcPr>
            <w:tcW w:type="dxa" w:w="3456"/>
            <w:vAlign w:val="top"/>
          </w:tcPr>
          <w:p>
            <w:r>
              <w:rPr>
                <w:sz w:val="17"/>
              </w:rPr>
            </w:r>
            <w:r>
              <w:rPr>
                <w:b w:val="0"/>
                <w:sz w:val="17"/>
              </w:rPr>
              <w:t>NASA and DOE anticipate lunar fission surface power able to operate for years without refueling and independent of sunlight or temperature.</w:t>
            </w:r>
          </w:p>
        </w:tc>
        <w:tc>
          <w:tcPr>
            <w:tcW w:type="dxa" w:w="3456"/>
            <w:vAlign w:val="top"/>
          </w:tcPr>
          <w:p>
            <w:r>
              <w:rPr>
                <w:sz w:val="17"/>
              </w:rPr>
            </w:r>
            <w:r>
              <w:rPr>
                <w:b w:val="0"/>
                <w:sz w:val="17"/>
              </w:rPr>
              <w:t>Keep reactor power island as primary dependable power, but update licensing, safety, and public notification packages.</w:t>
            </w:r>
          </w:p>
        </w:tc>
      </w:tr>
      <w:tr>
        <w:tc>
          <w:tcPr>
            <w:tcW w:type="dxa" w:w="3456"/>
            <w:vAlign w:val="top"/>
          </w:tcPr>
          <w:p>
            <w:r>
              <w:rPr>
                <w:sz w:val="17"/>
              </w:rPr>
            </w:r>
            <w:r>
              <w:rPr>
                <w:b w:val="0"/>
                <w:sz w:val="17"/>
              </w:rPr>
              <w:t>Mars atmospheric oxygen</w:t>
            </w:r>
          </w:p>
        </w:tc>
        <w:tc>
          <w:tcPr>
            <w:tcW w:type="dxa" w:w="3456"/>
            <w:vAlign w:val="top"/>
          </w:tcPr>
          <w:p>
            <w:r>
              <w:rPr>
                <w:sz w:val="17"/>
              </w:rPr>
            </w:r>
            <w:r>
              <w:rPr>
                <w:b w:val="0"/>
                <w:sz w:val="17"/>
              </w:rPr>
              <w:t>MOXIE demonstrated oxygen production from Mars CO2 at small scale and completed technical requirements across a full Mars year.</w:t>
            </w:r>
          </w:p>
        </w:tc>
        <w:tc>
          <w:tcPr>
            <w:tcW w:type="dxa" w:w="3456"/>
            <w:vAlign w:val="top"/>
          </w:tcPr>
          <w:p>
            <w:r>
              <w:rPr>
                <w:sz w:val="17"/>
              </w:rPr>
            </w:r>
            <w:r>
              <w:rPr>
                <w:b w:val="0"/>
                <w:sz w:val="17"/>
              </w:rPr>
              <w:t>Mars installation shall use scaled solid oxide electrolysis as the first proven atmospheric ISRU pathway, with Sabatier methane only after hydrogen source closure.</w:t>
            </w:r>
          </w:p>
        </w:tc>
      </w:tr>
      <w:tr>
        <w:tc>
          <w:tcPr>
            <w:tcW w:type="dxa" w:w="3456"/>
            <w:vAlign w:val="top"/>
          </w:tcPr>
          <w:p>
            <w:r>
              <w:rPr>
                <w:sz w:val="17"/>
              </w:rPr>
            </w:r>
            <w:r>
              <w:rPr>
                <w:b w:val="0"/>
                <w:sz w:val="17"/>
              </w:rPr>
              <w:t>Venus afloat architecture</w:t>
            </w:r>
          </w:p>
        </w:tc>
        <w:tc>
          <w:tcPr>
            <w:tcW w:type="dxa" w:w="3456"/>
            <w:vAlign w:val="top"/>
          </w:tcPr>
          <w:p>
            <w:r>
              <w:rPr>
                <w:sz w:val="17"/>
              </w:rPr>
            </w:r>
            <w:r>
              <w:rPr>
                <w:b w:val="0"/>
                <w:sz w:val="17"/>
              </w:rPr>
              <w:t>NASA HAVOC remains a concept study, but validates the engineering class of upper atmospheric airship operations for analysis purposes.</w:t>
            </w:r>
          </w:p>
        </w:tc>
        <w:tc>
          <w:tcPr>
            <w:tcW w:type="dxa" w:w="3456"/>
            <w:vAlign w:val="top"/>
          </w:tcPr>
          <w:p>
            <w:r>
              <w:rPr>
                <w:sz w:val="17"/>
              </w:rPr>
            </w:r>
            <w:r>
              <w:rPr>
                <w:b w:val="0"/>
                <w:sz w:val="17"/>
              </w:rPr>
              <w:t>Venus gas processing afloat module remains robotic first and crew deferred. Sulfuric acid tolerance, buoyancy, corrosion, and traffic insertion become the main technology gates.</w:t>
            </w:r>
          </w:p>
        </w:tc>
      </w:tr>
      <w:tr>
        <w:tc>
          <w:tcPr>
            <w:tcW w:type="dxa" w:w="3456"/>
            <w:vAlign w:val="top"/>
          </w:tcPr>
          <w:p>
            <w:r>
              <w:rPr>
                <w:sz w:val="17"/>
              </w:rPr>
            </w:r>
            <w:r>
              <w:rPr>
                <w:b w:val="0"/>
                <w:sz w:val="17"/>
              </w:rPr>
              <w:t>Ceres and asteroid robotics</w:t>
            </w:r>
          </w:p>
        </w:tc>
        <w:tc>
          <w:tcPr>
            <w:tcW w:type="dxa" w:w="3456"/>
            <w:vAlign w:val="top"/>
          </w:tcPr>
          <w:p>
            <w:r>
              <w:rPr>
                <w:sz w:val="17"/>
              </w:rPr>
            </w:r>
            <w:r>
              <w:rPr>
                <w:b w:val="0"/>
                <w:sz w:val="17"/>
              </w:rPr>
              <w:t>Low gravity anchoring, teleoperation, sealed volatile capture, and dry beneficiation remain enabling but require higher ground truth.</w:t>
            </w:r>
          </w:p>
        </w:tc>
        <w:tc>
          <w:tcPr>
            <w:tcW w:type="dxa" w:w="3456"/>
            <w:vAlign w:val="top"/>
          </w:tcPr>
          <w:p>
            <w:r>
              <w:rPr>
                <w:sz w:val="17"/>
              </w:rPr>
            </w:r>
            <w:r>
              <w:rPr>
                <w:b w:val="0"/>
                <w:sz w:val="17"/>
              </w:rPr>
              <w:t>Ceres modification worksite remains autonomous first with anchoring tests, closed dust management, and volatile preservation before scale up.</w:t>
            </w:r>
          </w:p>
        </w:tc>
      </w:tr>
      <w:tr>
        <w:tc>
          <w:tcPr>
            <w:tcW w:type="dxa" w:w="3456"/>
            <w:vAlign w:val="top"/>
          </w:tcPr>
          <w:p>
            <w:r>
              <w:rPr>
                <w:sz w:val="17"/>
              </w:rPr>
            </w:r>
            <w:r>
              <w:rPr>
                <w:b w:val="0"/>
                <w:sz w:val="17"/>
              </w:rPr>
              <w:t>Seismic and structural monitoring</w:t>
            </w:r>
          </w:p>
        </w:tc>
        <w:tc>
          <w:tcPr>
            <w:tcW w:type="dxa" w:w="3456"/>
            <w:vAlign w:val="top"/>
          </w:tcPr>
          <w:p>
            <w:r>
              <w:rPr>
                <w:sz w:val="17"/>
              </w:rPr>
            </w:r>
            <w:r>
              <w:rPr>
                <w:b w:val="0"/>
                <w:sz w:val="17"/>
              </w:rPr>
              <w:t>NASA LEMS and other geophysical payloads reinforce continuous seismic monitoring as a useful lunar infrastructure layer.</w:t>
            </w:r>
          </w:p>
        </w:tc>
        <w:tc>
          <w:tcPr>
            <w:tcW w:type="dxa" w:w="3456"/>
            <w:vAlign w:val="top"/>
          </w:tcPr>
          <w:p>
            <w:r>
              <w:rPr>
                <w:sz w:val="17"/>
              </w:rPr>
            </w:r>
            <w:r>
              <w:rPr>
                <w:b w:val="0"/>
                <w:sz w:val="17"/>
              </w:rPr>
              <w:t>Keep the lunar seismic network and add structural health monitoring for shafts, rail alignment, spaceport pads, mineral plant foundations, and reactor standoff zones.</w:t>
            </w:r>
          </w:p>
        </w:tc>
      </w:tr>
    </w:tbl>
    <w:p/>
    <w:p>
      <w:pPr>
        <w:pStyle w:val="Heading2"/>
      </w:pPr>
      <w:r>
        <w:t>22.4 Mineral Composition Survey Update by Body</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Body or target class</w:t>
            </w:r>
          </w:p>
        </w:tc>
        <w:tc>
          <w:tcPr>
            <w:tcW w:type="dxa" w:w="3456"/>
            <w:vAlign w:val="top"/>
          </w:tcPr>
          <w:p>
            <w:r>
              <w:rPr>
                <w:sz w:val="17"/>
              </w:rPr>
            </w:r>
            <w:r>
              <w:rPr>
                <w:b/>
                <w:sz w:val="17"/>
              </w:rPr>
              <w:t>Current mineral or volatile survey signal</w:t>
            </w:r>
          </w:p>
        </w:tc>
        <w:tc>
          <w:tcPr>
            <w:tcW w:type="dxa" w:w="3456"/>
            <w:vAlign w:val="top"/>
          </w:tcPr>
          <w:p>
            <w:r>
              <w:rPr>
                <w:sz w:val="17"/>
              </w:rPr>
            </w:r>
            <w:r>
              <w:rPr>
                <w:b/>
                <w:sz w:val="17"/>
              </w:rPr>
              <w:t>Program decision</w:t>
            </w:r>
          </w:p>
        </w:tc>
      </w:tr>
      <w:tr>
        <w:tc>
          <w:tcPr>
            <w:tcW w:type="dxa" w:w="3456"/>
            <w:vAlign w:val="top"/>
          </w:tcPr>
          <w:p>
            <w:r>
              <w:rPr>
                <w:sz w:val="17"/>
              </w:rPr>
            </w:r>
            <w:r>
              <w:rPr>
                <w:b w:val="0"/>
                <w:sz w:val="17"/>
              </w:rPr>
              <w:t>Moon, south pole and highlands</w:t>
            </w:r>
          </w:p>
        </w:tc>
        <w:tc>
          <w:tcPr>
            <w:tcW w:type="dxa" w:w="3456"/>
            <w:vAlign w:val="top"/>
          </w:tcPr>
          <w:p>
            <w:r>
              <w:rPr>
                <w:sz w:val="17"/>
              </w:rPr>
            </w:r>
            <w:r>
              <w:rPr>
                <w:b w:val="0"/>
                <w:sz w:val="17"/>
              </w:rPr>
              <w:t>Water ice and hydrogen in permanently shadowed regions, confirmed water ice locations from M3, LRO and LCROSS evidence, sunlit water evidence, anorthite rich highlands, mare ilmenite, pyroxene, olivine, KREEP phosphates.</w:t>
            </w:r>
          </w:p>
        </w:tc>
        <w:tc>
          <w:tcPr>
            <w:tcW w:type="dxa" w:w="3456"/>
            <w:vAlign w:val="top"/>
          </w:tcPr>
          <w:p>
            <w:r>
              <w:rPr>
                <w:sz w:val="17"/>
              </w:rPr>
            </w:r>
            <w:r>
              <w:rPr>
                <w:b w:val="0"/>
                <w:sz w:val="17"/>
              </w:rPr>
              <w:t>Primary ISRU body. Keep water, oxygen, shielding, construction regolith, and ilmenite based oxygen pathways. Require PSR organic inventory and chain of custody before excavation.</w:t>
            </w:r>
          </w:p>
        </w:tc>
      </w:tr>
      <w:tr>
        <w:tc>
          <w:tcPr>
            <w:tcW w:type="dxa" w:w="3456"/>
            <w:vAlign w:val="top"/>
          </w:tcPr>
          <w:p>
            <w:r>
              <w:rPr>
                <w:sz w:val="17"/>
              </w:rPr>
            </w:r>
            <w:r>
              <w:rPr>
                <w:b w:val="0"/>
                <w:sz w:val="17"/>
              </w:rPr>
              <w:t>Mercury</w:t>
            </w:r>
          </w:p>
        </w:tc>
        <w:tc>
          <w:tcPr>
            <w:tcW w:type="dxa" w:w="3456"/>
            <w:vAlign w:val="top"/>
          </w:tcPr>
          <w:p>
            <w:r>
              <w:rPr>
                <w:sz w:val="17"/>
              </w:rPr>
            </w:r>
            <w:r>
              <w:rPr>
                <w:b w:val="0"/>
                <w:sz w:val="17"/>
              </w:rPr>
              <w:t>MESSENGER evidence supports water ice as a major constituent of polar deposits, with some ice exposed and some buried under dark material, likely complex organics.</w:t>
            </w:r>
          </w:p>
        </w:tc>
        <w:tc>
          <w:tcPr>
            <w:tcW w:type="dxa" w:w="3456"/>
            <w:vAlign w:val="top"/>
          </w:tcPr>
          <w:p>
            <w:r>
              <w:rPr>
                <w:sz w:val="17"/>
              </w:rPr>
            </w:r>
            <w:r>
              <w:rPr>
                <w:b w:val="0"/>
                <w:sz w:val="17"/>
              </w:rPr>
              <w:t>Future asset only. Maintain polar volatile prospecting in long term architecture, but defer mining until thermal protection, power rejection, and legal safety case mature.</w:t>
            </w:r>
          </w:p>
        </w:tc>
      </w:tr>
      <w:tr>
        <w:tc>
          <w:tcPr>
            <w:tcW w:type="dxa" w:w="3456"/>
            <w:vAlign w:val="top"/>
          </w:tcPr>
          <w:p>
            <w:r>
              <w:rPr>
                <w:sz w:val="17"/>
              </w:rPr>
            </w:r>
            <w:r>
              <w:rPr>
                <w:b w:val="0"/>
                <w:sz w:val="17"/>
              </w:rPr>
              <w:t>Venus</w:t>
            </w:r>
          </w:p>
        </w:tc>
        <w:tc>
          <w:tcPr>
            <w:tcW w:type="dxa" w:w="3456"/>
            <w:vAlign w:val="top"/>
          </w:tcPr>
          <w:p>
            <w:r>
              <w:rPr>
                <w:sz w:val="17"/>
              </w:rPr>
            </w:r>
            <w:r>
              <w:rPr>
                <w:b w:val="0"/>
                <w:sz w:val="17"/>
              </w:rPr>
              <w:t>Atmosphere dominated by CO2 with sulfuric acid cloud environment. About 50 km altitude has temperature and pressure closer to Earth surface conditions. Surface has extreme pressure, heat, and corrosion.</w:t>
            </w:r>
          </w:p>
        </w:tc>
        <w:tc>
          <w:tcPr>
            <w:tcW w:type="dxa" w:w="3456"/>
            <w:vAlign w:val="top"/>
          </w:tcPr>
          <w:p>
            <w:r>
              <w:rPr>
                <w:sz w:val="17"/>
              </w:rPr>
            </w:r>
            <w:r>
              <w:rPr>
                <w:b w:val="0"/>
                <w:sz w:val="17"/>
              </w:rPr>
              <w:t>Upper atmosphere gas processing only. Surface mineral mining remains deferred. Afloat module shall target CO2, sulfur chemistry, nitrogen, noble trace gases where practical, and orbital traffic insertion support.</w:t>
            </w:r>
          </w:p>
        </w:tc>
      </w:tr>
      <w:tr>
        <w:tc>
          <w:tcPr>
            <w:tcW w:type="dxa" w:w="3456"/>
            <w:vAlign w:val="top"/>
          </w:tcPr>
          <w:p>
            <w:r>
              <w:rPr>
                <w:sz w:val="17"/>
              </w:rPr>
            </w:r>
            <w:r>
              <w:rPr>
                <w:b w:val="0"/>
                <w:sz w:val="17"/>
              </w:rPr>
              <w:t>Mars</w:t>
            </w:r>
          </w:p>
        </w:tc>
        <w:tc>
          <w:tcPr>
            <w:tcW w:type="dxa" w:w="3456"/>
            <w:vAlign w:val="top"/>
          </w:tcPr>
          <w:p>
            <w:r>
              <w:rPr>
                <w:sz w:val="17"/>
              </w:rPr>
            </w:r>
            <w:r>
              <w:rPr>
                <w:b w:val="0"/>
                <w:sz w:val="17"/>
              </w:rPr>
              <w:t>Water ice, hydrated minerals, basaltic silicates, sulfates, chlorides, carbonates, clays, hematite, perchlorates, and silica are mission relevant. Current carbonate and possible biosignature discoveries strengthen the need for protected science exclusion zones.</w:t>
            </w:r>
          </w:p>
        </w:tc>
        <w:tc>
          <w:tcPr>
            <w:tcW w:type="dxa" w:w="3456"/>
            <w:vAlign w:val="top"/>
          </w:tcPr>
          <w:p>
            <w:r>
              <w:rPr>
                <w:sz w:val="17"/>
              </w:rPr>
            </w:r>
            <w:r>
              <w:rPr>
                <w:b w:val="0"/>
                <w:sz w:val="17"/>
              </w:rPr>
              <w:t>Copy lunar settlement and mineral facility patterns but adapt for atmosphere, perchlorates, dust storms, ice distribution, and planetary protection. Do not mine astrobiology priority zones without approved protocol.</w:t>
            </w:r>
          </w:p>
        </w:tc>
      </w:tr>
      <w:tr>
        <w:tc>
          <w:tcPr>
            <w:tcW w:type="dxa" w:w="3456"/>
            <w:vAlign w:val="top"/>
          </w:tcPr>
          <w:p>
            <w:r>
              <w:rPr>
                <w:sz w:val="17"/>
              </w:rPr>
            </w:r>
            <w:r>
              <w:rPr>
                <w:b w:val="0"/>
                <w:sz w:val="17"/>
              </w:rPr>
              <w:t>Phobos and Deimos</w:t>
            </w:r>
          </w:p>
        </w:tc>
        <w:tc>
          <w:tcPr>
            <w:tcW w:type="dxa" w:w="3456"/>
            <w:vAlign w:val="top"/>
          </w:tcPr>
          <w:p>
            <w:r>
              <w:rPr>
                <w:sz w:val="17"/>
              </w:rPr>
            </w:r>
            <w:r>
              <w:rPr>
                <w:b w:val="0"/>
                <w:sz w:val="17"/>
              </w:rPr>
              <w:t>Likely primitive or carbonaceous like material remains lower confidence until sample return and direct assay.</w:t>
            </w:r>
          </w:p>
        </w:tc>
        <w:tc>
          <w:tcPr>
            <w:tcW w:type="dxa" w:w="3456"/>
            <w:vAlign w:val="top"/>
          </w:tcPr>
          <w:p>
            <w:r>
              <w:rPr>
                <w:sz w:val="17"/>
              </w:rPr>
            </w:r>
            <w:r>
              <w:rPr>
                <w:b w:val="0"/>
                <w:sz w:val="17"/>
              </w:rPr>
              <w:t>Treat as staging and survey bodies. Do not book mineral value beyond regolith handling, shielding, and possible volatile feedstock until sample confirmation.</w:t>
            </w:r>
          </w:p>
        </w:tc>
      </w:tr>
      <w:tr>
        <w:tc>
          <w:tcPr>
            <w:tcW w:type="dxa" w:w="3456"/>
            <w:vAlign w:val="top"/>
          </w:tcPr>
          <w:p>
            <w:r>
              <w:rPr>
                <w:sz w:val="17"/>
              </w:rPr>
            </w:r>
            <w:r>
              <w:rPr>
                <w:b w:val="0"/>
                <w:sz w:val="17"/>
              </w:rPr>
              <w:t>Ceres</w:t>
            </w:r>
          </w:p>
        </w:tc>
        <w:tc>
          <w:tcPr>
            <w:tcW w:type="dxa" w:w="3456"/>
            <w:vAlign w:val="top"/>
          </w:tcPr>
          <w:p>
            <w:r>
              <w:rPr>
                <w:sz w:val="17"/>
              </w:rPr>
            </w:r>
            <w:r>
              <w:rPr>
                <w:b w:val="0"/>
                <w:sz w:val="17"/>
              </w:rPr>
              <w:t>Dawn identified organics, carbonates, clays, hydrated minerals, ammoniated clays, water ice, salts, sodium carbonate, and evidence of water related alteration.</w:t>
            </w:r>
          </w:p>
        </w:tc>
        <w:tc>
          <w:tcPr>
            <w:tcW w:type="dxa" w:w="3456"/>
            <w:vAlign w:val="top"/>
          </w:tcPr>
          <w:p>
            <w:r>
              <w:rPr>
                <w:sz w:val="17"/>
              </w:rPr>
            </w:r>
            <w:r>
              <w:rPr>
                <w:b w:val="0"/>
                <w:sz w:val="17"/>
              </w:rPr>
              <w:t>Ceres worksite must be sealed, low gravity anchored, volatile conserving, and planetary protection aware. Brine salt chemistry and water extraction are prime targets.</w:t>
            </w:r>
          </w:p>
        </w:tc>
      </w:tr>
      <w:tr>
        <w:tc>
          <w:tcPr>
            <w:tcW w:type="dxa" w:w="3456"/>
            <w:vAlign w:val="top"/>
          </w:tcPr>
          <w:p>
            <w:r>
              <w:rPr>
                <w:sz w:val="17"/>
              </w:rPr>
            </w:r>
            <w:r>
              <w:rPr>
                <w:b w:val="0"/>
                <w:sz w:val="17"/>
              </w:rPr>
              <w:t>Bennu and Ryugu analog class</w:t>
            </w:r>
          </w:p>
        </w:tc>
        <w:tc>
          <w:tcPr>
            <w:tcW w:type="dxa" w:w="3456"/>
            <w:vAlign w:val="top"/>
          </w:tcPr>
          <w:p>
            <w:r>
              <w:rPr>
                <w:sz w:val="17"/>
              </w:rPr>
            </w:r>
            <w:r>
              <w:rPr>
                <w:b w:val="0"/>
                <w:sz w:val="17"/>
              </w:rPr>
              <w:t>Returned samples show hydrated carbonaceous material, salts, sodium phosphates, sodium rich carbonates, sulfates, chlorides, fluorides, halite, and evidence of brine evolution.</w:t>
            </w:r>
          </w:p>
        </w:tc>
        <w:tc>
          <w:tcPr>
            <w:tcW w:type="dxa" w:w="3456"/>
            <w:vAlign w:val="top"/>
          </w:tcPr>
          <w:p>
            <w:r>
              <w:rPr>
                <w:sz w:val="17"/>
              </w:rPr>
            </w:r>
            <w:r>
              <w:rPr>
                <w:b w:val="0"/>
                <w:sz w:val="17"/>
              </w:rPr>
              <w:t>Use as analog basis for carbonaceous asteroid processing. Prioritize curation style handling for salt and volatile bearing material that can degrade in terrestrial exposure.</w:t>
            </w:r>
          </w:p>
        </w:tc>
      </w:tr>
      <w:tr>
        <w:tc>
          <w:tcPr>
            <w:tcW w:type="dxa" w:w="3456"/>
            <w:vAlign w:val="top"/>
          </w:tcPr>
          <w:p>
            <w:r>
              <w:rPr>
                <w:sz w:val="17"/>
              </w:rPr>
            </w:r>
            <w:r>
              <w:rPr>
                <w:b w:val="0"/>
                <w:sz w:val="17"/>
              </w:rPr>
              <w:t>S type asteroids</w:t>
            </w:r>
          </w:p>
        </w:tc>
        <w:tc>
          <w:tcPr>
            <w:tcW w:type="dxa" w:w="3456"/>
            <w:vAlign w:val="top"/>
          </w:tcPr>
          <w:p>
            <w:r>
              <w:rPr>
                <w:sz w:val="17"/>
              </w:rPr>
            </w:r>
            <w:r>
              <w:rPr>
                <w:b w:val="0"/>
                <w:sz w:val="17"/>
              </w:rPr>
              <w:t>Silicate materials and nickel iron are expected.</w:t>
            </w:r>
          </w:p>
        </w:tc>
        <w:tc>
          <w:tcPr>
            <w:tcW w:type="dxa" w:w="3456"/>
            <w:vAlign w:val="top"/>
          </w:tcPr>
          <w:p>
            <w:r>
              <w:rPr>
                <w:sz w:val="17"/>
              </w:rPr>
            </w:r>
            <w:r>
              <w:rPr>
                <w:b w:val="0"/>
                <w:sz w:val="17"/>
              </w:rPr>
              <w:t>Good for construction aggregate, oxygen bearing silicates, and nickel iron feedstock. Require spectral to sample correlation before extraction scale.</w:t>
            </w:r>
          </w:p>
        </w:tc>
      </w:tr>
      <w:tr>
        <w:tc>
          <w:tcPr>
            <w:tcW w:type="dxa" w:w="3456"/>
            <w:vAlign w:val="top"/>
          </w:tcPr>
          <w:p>
            <w:r>
              <w:rPr>
                <w:sz w:val="17"/>
              </w:rPr>
            </w:r>
            <w:r>
              <w:rPr>
                <w:b w:val="0"/>
                <w:sz w:val="17"/>
              </w:rPr>
              <w:t>M type asteroids and Psyche class targets</w:t>
            </w:r>
          </w:p>
        </w:tc>
        <w:tc>
          <w:tcPr>
            <w:tcW w:type="dxa" w:w="3456"/>
            <w:vAlign w:val="top"/>
          </w:tcPr>
          <w:p>
            <w:r>
              <w:rPr>
                <w:sz w:val="17"/>
              </w:rPr>
            </w:r>
            <w:r>
              <w:rPr>
                <w:b w:val="0"/>
                <w:sz w:val="17"/>
              </w:rPr>
              <w:t>M types are metallic nickel iron. Psyche is currently best interpreted as rock plus metal with metal about 30 to 60 percent by volume, but direct mission data are pending.</w:t>
            </w:r>
          </w:p>
        </w:tc>
        <w:tc>
          <w:tcPr>
            <w:tcW w:type="dxa" w:w="3456"/>
            <w:vAlign w:val="top"/>
          </w:tcPr>
          <w:p>
            <w:r>
              <w:rPr>
                <w:sz w:val="17"/>
              </w:rPr>
            </w:r>
            <w:r>
              <w:rPr>
                <w:b w:val="0"/>
                <w:sz w:val="17"/>
              </w:rPr>
              <w:t>Treat as strategic metallurgy upside, not near term revenue basis. Require rendezvous survey, regolith mechanics, metal texture, and beneficiation validation.</w:t>
            </w:r>
          </w:p>
        </w:tc>
      </w:tr>
    </w:tbl>
    <w:p/>
    <w:p>
      <w:pPr>
        <w:pStyle w:val="Heading2"/>
      </w:pPr>
      <w:r>
        <w:t>22.5 Mining and Extraction Technology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Technique family</w:t>
            </w:r>
          </w:p>
        </w:tc>
        <w:tc>
          <w:tcPr>
            <w:tcW w:type="dxa" w:w="2592"/>
            <w:vAlign w:val="top"/>
          </w:tcPr>
          <w:p>
            <w:r>
              <w:rPr>
                <w:sz w:val="17"/>
              </w:rPr>
            </w:r>
            <w:r>
              <w:rPr>
                <w:b/>
                <w:sz w:val="17"/>
              </w:rPr>
              <w:t>Technology options</w:t>
            </w:r>
          </w:p>
        </w:tc>
        <w:tc>
          <w:tcPr>
            <w:tcW w:type="dxa" w:w="2592"/>
            <w:vAlign w:val="top"/>
          </w:tcPr>
          <w:p>
            <w:r>
              <w:rPr>
                <w:sz w:val="17"/>
              </w:rPr>
            </w:r>
            <w:r>
              <w:rPr>
                <w:b/>
                <w:sz w:val="17"/>
              </w:rPr>
              <w:t>Best targets</w:t>
            </w:r>
          </w:p>
        </w:tc>
        <w:tc>
          <w:tcPr>
            <w:tcW w:type="dxa" w:w="2592"/>
            <w:vAlign w:val="top"/>
          </w:tcPr>
          <w:p>
            <w:r>
              <w:rPr>
                <w:sz w:val="17"/>
              </w:rPr>
            </w:r>
            <w:r>
              <w:rPr>
                <w:b/>
                <w:sz w:val="17"/>
              </w:rPr>
              <w:t>Control decision</w:t>
            </w:r>
          </w:p>
        </w:tc>
      </w:tr>
      <w:tr>
        <w:tc>
          <w:tcPr>
            <w:tcW w:type="dxa" w:w="2592"/>
            <w:vAlign w:val="top"/>
          </w:tcPr>
          <w:p>
            <w:r>
              <w:rPr>
                <w:sz w:val="17"/>
              </w:rPr>
            </w:r>
            <w:r>
              <w:rPr>
                <w:b w:val="0"/>
                <w:sz w:val="17"/>
              </w:rPr>
              <w:t>Prospecting and assay</w:t>
            </w:r>
          </w:p>
        </w:tc>
        <w:tc>
          <w:tcPr>
            <w:tcW w:type="dxa" w:w="2592"/>
            <w:vAlign w:val="top"/>
          </w:tcPr>
          <w:p>
            <w:r>
              <w:rPr>
                <w:sz w:val="17"/>
              </w:rPr>
            </w:r>
            <w:r>
              <w:rPr>
                <w:b w:val="0"/>
                <w:sz w:val="17"/>
              </w:rPr>
              <w:t>Orbital spectroscopy, radar, neutron and gamma mapping, thermal mapping, drill cores, volatile traps, seismic tomography, rover mounted mineralogy.</w:t>
            </w:r>
          </w:p>
        </w:tc>
        <w:tc>
          <w:tcPr>
            <w:tcW w:type="dxa" w:w="2592"/>
            <w:vAlign w:val="top"/>
          </w:tcPr>
          <w:p>
            <w:r>
              <w:rPr>
                <w:sz w:val="17"/>
              </w:rPr>
            </w:r>
            <w:r>
              <w:rPr>
                <w:b w:val="0"/>
                <w:sz w:val="17"/>
              </w:rPr>
              <w:t>All bodies</w:t>
            </w:r>
          </w:p>
        </w:tc>
        <w:tc>
          <w:tcPr>
            <w:tcW w:type="dxa" w:w="2592"/>
            <w:vAlign w:val="top"/>
          </w:tcPr>
          <w:p>
            <w:r>
              <w:rPr>
                <w:sz w:val="17"/>
              </w:rPr>
            </w:r>
            <w:r>
              <w:rPr>
                <w:b w:val="0"/>
                <w:sz w:val="17"/>
              </w:rPr>
              <w:t>Mandatory before any reserve booking. Supports mine planning, protected zone definition, and environmental control.</w:t>
            </w:r>
          </w:p>
        </w:tc>
      </w:tr>
      <w:tr>
        <w:tc>
          <w:tcPr>
            <w:tcW w:type="dxa" w:w="2592"/>
            <w:vAlign w:val="top"/>
          </w:tcPr>
          <w:p>
            <w:r>
              <w:rPr>
                <w:sz w:val="17"/>
              </w:rPr>
            </w:r>
            <w:r>
              <w:rPr>
                <w:b w:val="0"/>
                <w:sz w:val="17"/>
              </w:rPr>
              <w:t>Lunar PSR water extraction</w:t>
            </w:r>
          </w:p>
        </w:tc>
        <w:tc>
          <w:tcPr>
            <w:tcW w:type="dxa" w:w="2592"/>
            <w:vAlign w:val="top"/>
          </w:tcPr>
          <w:p>
            <w:r>
              <w:rPr>
                <w:sz w:val="17"/>
              </w:rPr>
            </w:r>
            <w:r>
              <w:rPr>
                <w:b w:val="0"/>
                <w:sz w:val="17"/>
              </w:rPr>
              <w:t>Robotic excavation, sealed haulage, borehole heating, thermal mining, sublimation capture, cold trap transfer, low contamination storage.</w:t>
            </w:r>
          </w:p>
        </w:tc>
        <w:tc>
          <w:tcPr>
            <w:tcW w:type="dxa" w:w="2592"/>
            <w:vAlign w:val="top"/>
          </w:tcPr>
          <w:p>
            <w:r>
              <w:rPr>
                <w:sz w:val="17"/>
              </w:rPr>
            </w:r>
            <w:r>
              <w:rPr>
                <w:b w:val="0"/>
                <w:sz w:val="17"/>
              </w:rPr>
              <w:t>Moon</w:t>
            </w:r>
          </w:p>
        </w:tc>
        <w:tc>
          <w:tcPr>
            <w:tcW w:type="dxa" w:w="2592"/>
            <w:vAlign w:val="top"/>
          </w:tcPr>
          <w:p>
            <w:r>
              <w:rPr>
                <w:sz w:val="17"/>
              </w:rPr>
            </w:r>
            <w:r>
              <w:rPr>
                <w:b w:val="0"/>
                <w:sz w:val="17"/>
              </w:rPr>
              <w:t>Pilot first. Protect PSR organics and volatile stratigraphy. Do not scale until grade and thermal losses are measured.</w:t>
            </w:r>
          </w:p>
        </w:tc>
      </w:tr>
      <w:tr>
        <w:tc>
          <w:tcPr>
            <w:tcW w:type="dxa" w:w="2592"/>
            <w:vAlign w:val="top"/>
          </w:tcPr>
          <w:p>
            <w:r>
              <w:rPr>
                <w:sz w:val="17"/>
              </w:rPr>
            </w:r>
            <w:r>
              <w:rPr>
                <w:b w:val="0"/>
                <w:sz w:val="17"/>
              </w:rPr>
              <w:t>Dry regolith beneficiation</w:t>
            </w:r>
          </w:p>
        </w:tc>
        <w:tc>
          <w:tcPr>
            <w:tcW w:type="dxa" w:w="2592"/>
            <w:vAlign w:val="top"/>
          </w:tcPr>
          <w:p>
            <w:r>
              <w:rPr>
                <w:sz w:val="17"/>
              </w:rPr>
            </w:r>
            <w:r>
              <w:rPr>
                <w:b w:val="0"/>
                <w:sz w:val="17"/>
              </w:rPr>
              <w:t>Crushing, screening, particle sizing, magnetic separation, electrostatic separation, optical sorting, dust sealed conveyors.</w:t>
            </w:r>
          </w:p>
        </w:tc>
        <w:tc>
          <w:tcPr>
            <w:tcW w:type="dxa" w:w="2592"/>
            <w:vAlign w:val="top"/>
          </w:tcPr>
          <w:p>
            <w:r>
              <w:rPr>
                <w:sz w:val="17"/>
              </w:rPr>
            </w:r>
            <w:r>
              <w:rPr>
                <w:b w:val="0"/>
                <w:sz w:val="17"/>
              </w:rPr>
              <w:t>Moon, Mars, asteroids, Ceres</w:t>
            </w:r>
          </w:p>
        </w:tc>
        <w:tc>
          <w:tcPr>
            <w:tcW w:type="dxa" w:w="2592"/>
            <w:vAlign w:val="top"/>
          </w:tcPr>
          <w:p>
            <w:r>
              <w:rPr>
                <w:sz w:val="17"/>
              </w:rPr>
            </w:r>
            <w:r>
              <w:rPr>
                <w:b w:val="0"/>
                <w:sz w:val="17"/>
              </w:rPr>
              <w:t>Primary front end method because it minimizes water use and supports mineral plant separation from life support systems.</w:t>
            </w:r>
          </w:p>
        </w:tc>
      </w:tr>
      <w:tr>
        <w:tc>
          <w:tcPr>
            <w:tcW w:type="dxa" w:w="2592"/>
            <w:vAlign w:val="top"/>
          </w:tcPr>
          <w:p>
            <w:r>
              <w:rPr>
                <w:sz w:val="17"/>
              </w:rPr>
            </w:r>
            <w:r>
              <w:rPr>
                <w:b w:val="0"/>
                <w:sz w:val="17"/>
              </w:rPr>
              <w:t>Oxygen from lunar regolith</w:t>
            </w:r>
          </w:p>
        </w:tc>
        <w:tc>
          <w:tcPr>
            <w:tcW w:type="dxa" w:w="2592"/>
            <w:vAlign w:val="top"/>
          </w:tcPr>
          <w:p>
            <w:r>
              <w:rPr>
                <w:sz w:val="17"/>
              </w:rPr>
            </w:r>
            <w:r>
              <w:rPr>
                <w:b w:val="0"/>
                <w:sz w:val="17"/>
              </w:rPr>
              <w:t>Molten regolith electrolysis, hydrogen reduction of ilmenite, carbothermal reduction, plasma and electrochemical variants.</w:t>
            </w:r>
          </w:p>
        </w:tc>
        <w:tc>
          <w:tcPr>
            <w:tcW w:type="dxa" w:w="2592"/>
            <w:vAlign w:val="top"/>
          </w:tcPr>
          <w:p>
            <w:r>
              <w:rPr>
                <w:sz w:val="17"/>
              </w:rPr>
            </w:r>
            <w:r>
              <w:rPr>
                <w:b w:val="0"/>
                <w:sz w:val="17"/>
              </w:rPr>
              <w:t>Moon and Mars analog streams</w:t>
            </w:r>
          </w:p>
        </w:tc>
        <w:tc>
          <w:tcPr>
            <w:tcW w:type="dxa" w:w="2592"/>
            <w:vAlign w:val="top"/>
          </w:tcPr>
          <w:p>
            <w:r>
              <w:rPr>
                <w:sz w:val="17"/>
              </w:rPr>
            </w:r>
            <w:r>
              <w:rPr>
                <w:b w:val="0"/>
                <w:sz w:val="17"/>
              </w:rPr>
              <w:t>Use staged demonstration. Industrial scale requires power, electrode life, slag handling, dust control, and gas purity validation.</w:t>
            </w:r>
          </w:p>
        </w:tc>
      </w:tr>
      <w:tr>
        <w:tc>
          <w:tcPr>
            <w:tcW w:type="dxa" w:w="2592"/>
            <w:vAlign w:val="top"/>
          </w:tcPr>
          <w:p>
            <w:r>
              <w:rPr>
                <w:sz w:val="17"/>
              </w:rPr>
            </w:r>
            <w:r>
              <w:rPr>
                <w:b w:val="0"/>
                <w:sz w:val="17"/>
              </w:rPr>
              <w:t>Mars atmospheric oxygen</w:t>
            </w:r>
          </w:p>
        </w:tc>
        <w:tc>
          <w:tcPr>
            <w:tcW w:type="dxa" w:w="2592"/>
            <w:vAlign w:val="top"/>
          </w:tcPr>
          <w:p>
            <w:r>
              <w:rPr>
                <w:sz w:val="17"/>
              </w:rPr>
            </w:r>
            <w:r>
              <w:rPr>
                <w:b w:val="0"/>
                <w:sz w:val="17"/>
              </w:rPr>
              <w:t>Solid oxide electrolysis of CO2 based on MOXIE class technology.</w:t>
            </w:r>
          </w:p>
        </w:tc>
        <w:tc>
          <w:tcPr>
            <w:tcW w:type="dxa" w:w="2592"/>
            <w:vAlign w:val="top"/>
          </w:tcPr>
          <w:p>
            <w:r>
              <w:rPr>
                <w:sz w:val="17"/>
              </w:rPr>
            </w:r>
            <w:r>
              <w:rPr>
                <w:b w:val="0"/>
                <w:sz w:val="17"/>
              </w:rPr>
              <w:t>Mars</w:t>
            </w:r>
          </w:p>
        </w:tc>
        <w:tc>
          <w:tcPr>
            <w:tcW w:type="dxa" w:w="2592"/>
            <w:vAlign w:val="top"/>
          </w:tcPr>
          <w:p>
            <w:r>
              <w:rPr>
                <w:sz w:val="17"/>
              </w:rPr>
            </w:r>
            <w:r>
              <w:rPr>
                <w:b w:val="0"/>
                <w:sz w:val="17"/>
              </w:rPr>
              <w:t>Most mature Mars ISRU technology path. Scale toward ascent oxidizer, life support oxygen, and industrial oxygen.</w:t>
            </w:r>
          </w:p>
        </w:tc>
      </w:tr>
      <w:tr>
        <w:tc>
          <w:tcPr>
            <w:tcW w:type="dxa" w:w="2592"/>
            <w:vAlign w:val="top"/>
          </w:tcPr>
          <w:p>
            <w:r>
              <w:rPr>
                <w:sz w:val="17"/>
              </w:rPr>
            </w:r>
            <w:r>
              <w:rPr>
                <w:b w:val="0"/>
                <w:sz w:val="17"/>
              </w:rPr>
              <w:t>Sabatier methane production</w:t>
            </w:r>
          </w:p>
        </w:tc>
        <w:tc>
          <w:tcPr>
            <w:tcW w:type="dxa" w:w="2592"/>
            <w:vAlign w:val="top"/>
          </w:tcPr>
          <w:p>
            <w:r>
              <w:rPr>
                <w:sz w:val="17"/>
              </w:rPr>
            </w:r>
            <w:r>
              <w:rPr>
                <w:b w:val="0"/>
                <w:sz w:val="17"/>
              </w:rPr>
              <w:t>CO2 plus hydrogen to methane and water, with electrolysis loop closure.</w:t>
            </w:r>
          </w:p>
        </w:tc>
        <w:tc>
          <w:tcPr>
            <w:tcW w:type="dxa" w:w="2592"/>
            <w:vAlign w:val="top"/>
          </w:tcPr>
          <w:p>
            <w:r>
              <w:rPr>
                <w:sz w:val="17"/>
              </w:rPr>
            </w:r>
            <w:r>
              <w:rPr>
                <w:b w:val="0"/>
                <w:sz w:val="17"/>
              </w:rPr>
              <w:t>Mars, imported carbon systems, future Venus links</w:t>
            </w:r>
          </w:p>
        </w:tc>
        <w:tc>
          <w:tcPr>
            <w:tcW w:type="dxa" w:w="2592"/>
            <w:vAlign w:val="top"/>
          </w:tcPr>
          <w:p>
            <w:r>
              <w:rPr>
                <w:sz w:val="17"/>
              </w:rPr>
            </w:r>
            <w:r>
              <w:rPr>
                <w:b w:val="0"/>
                <w:sz w:val="17"/>
              </w:rPr>
              <w:t>Hydrogen source is the pacing constraint. Use only after water extraction and hydrogen reserve are closed.</w:t>
            </w:r>
          </w:p>
        </w:tc>
      </w:tr>
      <w:tr>
        <w:tc>
          <w:tcPr>
            <w:tcW w:type="dxa" w:w="2592"/>
            <w:vAlign w:val="top"/>
          </w:tcPr>
          <w:p>
            <w:r>
              <w:rPr>
                <w:sz w:val="17"/>
              </w:rPr>
            </w:r>
            <w:r>
              <w:rPr>
                <w:b w:val="0"/>
                <w:sz w:val="17"/>
              </w:rPr>
              <w:t>Ceres volatile extraction</w:t>
            </w:r>
          </w:p>
        </w:tc>
        <w:tc>
          <w:tcPr>
            <w:tcW w:type="dxa" w:w="2592"/>
            <w:vAlign w:val="top"/>
          </w:tcPr>
          <w:p>
            <w:r>
              <w:rPr>
                <w:sz w:val="17"/>
              </w:rPr>
            </w:r>
            <w:r>
              <w:rPr>
                <w:b w:val="0"/>
                <w:sz w:val="17"/>
              </w:rPr>
              <w:t>Low gravity anchoring, enclosed excavation, heated bins, ice sublimation capture, brine salt separation, ammoniated mineral processing.</w:t>
            </w:r>
          </w:p>
        </w:tc>
        <w:tc>
          <w:tcPr>
            <w:tcW w:type="dxa" w:w="2592"/>
            <w:vAlign w:val="top"/>
          </w:tcPr>
          <w:p>
            <w:r>
              <w:rPr>
                <w:sz w:val="17"/>
              </w:rPr>
            </w:r>
            <w:r>
              <w:rPr>
                <w:b w:val="0"/>
                <w:sz w:val="17"/>
              </w:rPr>
              <w:t>Ceres and carbonaceous bodies</w:t>
            </w:r>
          </w:p>
        </w:tc>
        <w:tc>
          <w:tcPr>
            <w:tcW w:type="dxa" w:w="2592"/>
            <w:vAlign w:val="top"/>
          </w:tcPr>
          <w:p>
            <w:r>
              <w:rPr>
                <w:sz w:val="17"/>
              </w:rPr>
            </w:r>
            <w:r>
              <w:rPr>
                <w:b w:val="0"/>
                <w:sz w:val="17"/>
              </w:rPr>
              <w:t>Autonomous first. Preserve volatile and organics context. Apply strict contamination and sample curation logic.</w:t>
            </w:r>
          </w:p>
        </w:tc>
      </w:tr>
      <w:tr>
        <w:tc>
          <w:tcPr>
            <w:tcW w:type="dxa" w:w="2592"/>
            <w:vAlign w:val="top"/>
          </w:tcPr>
          <w:p>
            <w:r>
              <w:rPr>
                <w:sz w:val="17"/>
              </w:rPr>
            </w:r>
            <w:r>
              <w:rPr>
                <w:b w:val="0"/>
                <w:sz w:val="17"/>
              </w:rPr>
              <w:t>Metallic asteroid processing</w:t>
            </w:r>
          </w:p>
        </w:tc>
        <w:tc>
          <w:tcPr>
            <w:tcW w:type="dxa" w:w="2592"/>
            <w:vAlign w:val="top"/>
          </w:tcPr>
          <w:p>
            <w:r>
              <w:rPr>
                <w:sz w:val="17"/>
              </w:rPr>
            </w:r>
            <w:r>
              <w:rPr>
                <w:b w:val="0"/>
                <w:sz w:val="17"/>
              </w:rPr>
              <w:t>Anchored cutting, magnetic concentration, microwave or induction heating, electrorefining, direct metal part production.</w:t>
            </w:r>
          </w:p>
        </w:tc>
        <w:tc>
          <w:tcPr>
            <w:tcW w:type="dxa" w:w="2592"/>
            <w:vAlign w:val="top"/>
          </w:tcPr>
          <w:p>
            <w:r>
              <w:rPr>
                <w:sz w:val="17"/>
              </w:rPr>
            </w:r>
            <w:r>
              <w:rPr>
                <w:b w:val="0"/>
                <w:sz w:val="17"/>
              </w:rPr>
              <w:t>M type and S type asteroids</w:t>
            </w:r>
          </w:p>
        </w:tc>
        <w:tc>
          <w:tcPr>
            <w:tcW w:type="dxa" w:w="2592"/>
            <w:vAlign w:val="top"/>
          </w:tcPr>
          <w:p>
            <w:r>
              <w:rPr>
                <w:sz w:val="17"/>
              </w:rPr>
            </w:r>
            <w:r>
              <w:rPr>
                <w:b w:val="0"/>
                <w:sz w:val="17"/>
              </w:rPr>
              <w:t>Survey dependent. Avoid economics based on PGM return until direct grades, texture, and handling are proven.</w:t>
            </w:r>
          </w:p>
        </w:tc>
      </w:tr>
      <w:tr>
        <w:tc>
          <w:tcPr>
            <w:tcW w:type="dxa" w:w="2592"/>
            <w:vAlign w:val="top"/>
          </w:tcPr>
          <w:p>
            <w:r>
              <w:rPr>
                <w:sz w:val="17"/>
              </w:rPr>
            </w:r>
            <w:r>
              <w:rPr>
                <w:b w:val="0"/>
                <w:sz w:val="17"/>
              </w:rPr>
              <w:t>Venus upper atmosphere gas processing</w:t>
            </w:r>
          </w:p>
        </w:tc>
        <w:tc>
          <w:tcPr>
            <w:tcW w:type="dxa" w:w="2592"/>
            <w:vAlign w:val="top"/>
          </w:tcPr>
          <w:p>
            <w:r>
              <w:rPr>
                <w:sz w:val="17"/>
              </w:rPr>
            </w:r>
            <w:r>
              <w:rPr>
                <w:b w:val="0"/>
                <w:sz w:val="17"/>
              </w:rPr>
              <w:t>CO2 compression, sulfuric acid aerosol capture, sulfur chemistry, trace gas separation, buoyant platform handling.</w:t>
            </w:r>
          </w:p>
        </w:tc>
        <w:tc>
          <w:tcPr>
            <w:tcW w:type="dxa" w:w="2592"/>
            <w:vAlign w:val="top"/>
          </w:tcPr>
          <w:p>
            <w:r>
              <w:rPr>
                <w:sz w:val="17"/>
              </w:rPr>
            </w:r>
            <w:r>
              <w:rPr>
                <w:b w:val="0"/>
                <w:sz w:val="17"/>
              </w:rPr>
              <w:t>Venus</w:t>
            </w:r>
          </w:p>
        </w:tc>
        <w:tc>
          <w:tcPr>
            <w:tcW w:type="dxa" w:w="2592"/>
            <w:vAlign w:val="top"/>
          </w:tcPr>
          <w:p>
            <w:r>
              <w:rPr>
                <w:sz w:val="17"/>
              </w:rPr>
            </w:r>
            <w:r>
              <w:rPr>
                <w:b w:val="0"/>
                <w:sz w:val="17"/>
              </w:rPr>
              <w:t>Afloat module only. Corrosion, buoyancy, acid handling, energy, and orbital insertion are the gating risks.</w:t>
            </w:r>
          </w:p>
        </w:tc>
      </w:tr>
      <w:tr>
        <w:tc>
          <w:tcPr>
            <w:tcW w:type="dxa" w:w="2592"/>
            <w:vAlign w:val="top"/>
          </w:tcPr>
          <w:p>
            <w:r>
              <w:rPr>
                <w:sz w:val="17"/>
              </w:rPr>
            </w:r>
            <w:r>
              <w:rPr>
                <w:b w:val="0"/>
                <w:sz w:val="17"/>
              </w:rPr>
              <w:t>Construction materials</w:t>
            </w:r>
          </w:p>
        </w:tc>
        <w:tc>
          <w:tcPr>
            <w:tcW w:type="dxa" w:w="2592"/>
            <w:vAlign w:val="top"/>
          </w:tcPr>
          <w:p>
            <w:r>
              <w:rPr>
                <w:sz w:val="17"/>
              </w:rPr>
            </w:r>
            <w:r>
              <w:rPr>
                <w:b w:val="0"/>
                <w:sz w:val="17"/>
              </w:rPr>
              <w:t>Microwave sintering, solar sintering, regolith brick, basalt glass fiber, sulfur concrete where feedstock is available, additive manufacturing with local feedstock.</w:t>
            </w:r>
          </w:p>
        </w:tc>
        <w:tc>
          <w:tcPr>
            <w:tcW w:type="dxa" w:w="2592"/>
            <w:vAlign w:val="top"/>
          </w:tcPr>
          <w:p>
            <w:r>
              <w:rPr>
                <w:sz w:val="17"/>
              </w:rPr>
            </w:r>
            <w:r>
              <w:rPr>
                <w:b w:val="0"/>
                <w:sz w:val="17"/>
              </w:rPr>
              <w:t>Moon, Mars, Ceres</w:t>
            </w:r>
          </w:p>
        </w:tc>
        <w:tc>
          <w:tcPr>
            <w:tcW w:type="dxa" w:w="2592"/>
            <w:vAlign w:val="top"/>
          </w:tcPr>
          <w:p>
            <w:r>
              <w:rPr>
                <w:sz w:val="17"/>
              </w:rPr>
            </w:r>
            <w:r>
              <w:rPr>
                <w:b w:val="0"/>
                <w:sz w:val="17"/>
              </w:rPr>
              <w:t>Use for pads, berms, shielding, low pressure civil works, rail foundations, and noncritical housings.</w:t>
            </w:r>
          </w:p>
        </w:tc>
      </w:tr>
      <w:tr>
        <w:tc>
          <w:tcPr>
            <w:tcW w:type="dxa" w:w="2592"/>
            <w:vAlign w:val="top"/>
          </w:tcPr>
          <w:p>
            <w:r>
              <w:rPr>
                <w:sz w:val="17"/>
              </w:rPr>
            </w:r>
            <w:r>
              <w:rPr>
                <w:b w:val="0"/>
                <w:sz w:val="17"/>
              </w:rPr>
              <w:t>Dust mitigation</w:t>
            </w:r>
          </w:p>
        </w:tc>
        <w:tc>
          <w:tcPr>
            <w:tcW w:type="dxa" w:w="2592"/>
            <w:vAlign w:val="top"/>
          </w:tcPr>
          <w:p>
            <w:r>
              <w:rPr>
                <w:sz w:val="17"/>
              </w:rPr>
            </w:r>
            <w:r>
              <w:rPr>
                <w:b w:val="0"/>
                <w:sz w:val="17"/>
              </w:rPr>
              <w:t>Electrostatic removal, sealed hoppers, positive pressure maintenance bays, suitports, sacrificial seals, dust tolerant mechanisms.</w:t>
            </w:r>
          </w:p>
        </w:tc>
        <w:tc>
          <w:tcPr>
            <w:tcW w:type="dxa" w:w="2592"/>
            <w:vAlign w:val="top"/>
          </w:tcPr>
          <w:p>
            <w:r>
              <w:rPr>
                <w:sz w:val="17"/>
              </w:rPr>
            </w:r>
            <w:r>
              <w:rPr>
                <w:b w:val="0"/>
                <w:sz w:val="17"/>
              </w:rPr>
              <w:t>Moon, Mars, asteroid worksites</w:t>
            </w:r>
          </w:p>
        </w:tc>
        <w:tc>
          <w:tcPr>
            <w:tcW w:type="dxa" w:w="2592"/>
            <w:vAlign w:val="top"/>
          </w:tcPr>
          <w:p>
            <w:r>
              <w:rPr>
                <w:sz w:val="17"/>
              </w:rPr>
            </w:r>
            <w:r>
              <w:rPr>
                <w:b w:val="0"/>
                <w:sz w:val="17"/>
              </w:rPr>
              <w:t>Must be treated as a life safety and reliability system, not housekeeping.</w:t>
            </w:r>
          </w:p>
        </w:tc>
      </w:tr>
      <w:tr>
        <w:tc>
          <w:tcPr>
            <w:tcW w:type="dxa" w:w="2592"/>
            <w:vAlign w:val="top"/>
          </w:tcPr>
          <w:p>
            <w:r>
              <w:rPr>
                <w:sz w:val="17"/>
              </w:rPr>
            </w:r>
            <w:r>
              <w:rPr>
                <w:b w:val="0"/>
                <w:sz w:val="17"/>
              </w:rPr>
              <w:t>Environmental and cultural controls</w:t>
            </w:r>
          </w:p>
        </w:tc>
        <w:tc>
          <w:tcPr>
            <w:tcW w:type="dxa" w:w="2592"/>
            <w:vAlign w:val="top"/>
          </w:tcPr>
          <w:p>
            <w:r>
              <w:rPr>
                <w:sz w:val="17"/>
              </w:rPr>
            </w:r>
            <w:r>
              <w:rPr>
                <w:b w:val="0"/>
                <w:sz w:val="17"/>
              </w:rPr>
              <w:t>Site exclusion, scientific sample preservation, heritage standoff, orbital debris prevention, impact avoidance, remote monitoring.</w:t>
            </w:r>
          </w:p>
        </w:tc>
        <w:tc>
          <w:tcPr>
            <w:tcW w:type="dxa" w:w="2592"/>
            <w:vAlign w:val="top"/>
          </w:tcPr>
          <w:p>
            <w:r>
              <w:rPr>
                <w:sz w:val="17"/>
              </w:rPr>
            </w:r>
            <w:r>
              <w:rPr>
                <w:b w:val="0"/>
                <w:sz w:val="17"/>
              </w:rPr>
              <w:t>Moon, Mars, Venus, Ceres, asteroids</w:t>
            </w:r>
          </w:p>
        </w:tc>
        <w:tc>
          <w:tcPr>
            <w:tcW w:type="dxa" w:w="2592"/>
            <w:vAlign w:val="top"/>
          </w:tcPr>
          <w:p>
            <w:r>
              <w:rPr>
                <w:sz w:val="17"/>
              </w:rPr>
            </w:r>
            <w:r>
              <w:rPr>
                <w:b w:val="0"/>
                <w:sz w:val="17"/>
              </w:rPr>
              <w:t>Add to each work package and board gate. No production milestone closes without environmental and legal closure.</w:t>
            </w:r>
          </w:p>
        </w:tc>
      </w:tr>
    </w:tbl>
    <w:p/>
    <w:p>
      <w:pPr>
        <w:pStyle w:val="Heading2"/>
      </w:pPr>
      <w:r>
        <w:t>22.6 Architecture Changes Required by Rev 3.2</w:t>
      </w:r>
    </w:p>
    <w:p>
      <w:pPr>
        <w:pStyle w:val="ListBullet"/>
      </w:pPr>
      <w:r>
        <w:t>Add WP32, Treaty, Licensing, Registration, Spectrum, and Safety Filing Control.</w:t>
      </w:r>
    </w:p>
    <w:p>
      <w:pPr>
        <w:pStyle w:val="ListBullet"/>
      </w:pPr>
      <w:r>
        <w:t>Add WP33, Mineral Survey, Ground Truth, Resource Classification, and Reserve Booking Control.</w:t>
      </w:r>
    </w:p>
    <w:p>
      <w:pPr>
        <w:pStyle w:val="ListBullet"/>
      </w:pPr>
      <w:r>
        <w:t>Add WP34, Extraction Technology Demonstration and TRL Qualification Control.</w:t>
      </w:r>
    </w:p>
    <w:p>
      <w:pPr>
        <w:pStyle w:val="ListBullet"/>
      </w:pPr>
      <w:r>
        <w:t>Add WP35, Planetary Protection, Biosecurity, Organic Inventory, and Sample Curation Control.</w:t>
      </w:r>
    </w:p>
    <w:p>
      <w:pPr>
        <w:pStyle w:val="ListBullet"/>
      </w:pPr>
      <w:r>
        <w:t>Add a standing legal and policy board review before each resource extraction pilot, each permanent surface installation, each orbital traffic insertion platform, and each exported commodity sale.</w:t>
      </w:r>
    </w:p>
    <w:p>
      <w:pPr>
        <w:pStyle w:val="ListBullet"/>
      </w:pPr>
      <w:r>
        <w:t>Add a spectrum and RF safety package for lunar communications, microwave power reception, Venus orbital traffic insertion, Mars relays, and Ceres autonomous operations.</w:t>
      </w:r>
    </w:p>
    <w:p>
      <w:pPr>
        <w:pStyle w:val="ListBullet"/>
      </w:pPr>
      <w:r>
        <w:t>Add a mineral resource classification ladder: detected, inferred, indicated, demonstrated recoverable, economic reserve, and operating stockpile.</w:t>
      </w:r>
    </w:p>
    <w:p>
      <w:pPr>
        <w:pStyle w:val="ListBullet"/>
      </w:pPr>
      <w:r>
        <w:t>Update the risk model so mineral grade uncertainty, treaty interpretation, sample contamination, spectrum conflict, and extraction technology maturity cannot be closed by narrative only.</w:t>
      </w:r>
    </w:p>
    <w:p>
      <w:pPr>
        <w:pStyle w:val="Heading2"/>
      </w:pPr>
      <w:r>
        <w:t>22.7 Requirements Traceability Update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ID</w:t>
            </w:r>
          </w:p>
        </w:tc>
        <w:tc>
          <w:tcPr>
            <w:tcW w:type="dxa" w:w="2592"/>
            <w:vAlign w:val="top"/>
          </w:tcPr>
          <w:p>
            <w:r>
              <w:rPr>
                <w:sz w:val="17"/>
              </w:rPr>
            </w:r>
            <w:r>
              <w:rPr>
                <w:b/>
                <w:sz w:val="17"/>
              </w:rPr>
              <w:t>Requirement</w:t>
            </w:r>
          </w:p>
        </w:tc>
        <w:tc>
          <w:tcPr>
            <w:tcW w:type="dxa" w:w="2592"/>
            <w:vAlign w:val="top"/>
          </w:tcPr>
          <w:p>
            <w:r>
              <w:rPr>
                <w:sz w:val="17"/>
              </w:rPr>
            </w:r>
            <w:r>
              <w:rPr>
                <w:b/>
                <w:sz w:val="17"/>
              </w:rPr>
              <w:t>Owner</w:t>
            </w:r>
          </w:p>
        </w:tc>
        <w:tc>
          <w:tcPr>
            <w:tcW w:type="dxa" w:w="2592"/>
            <w:vAlign w:val="top"/>
          </w:tcPr>
          <w:p>
            <w:r>
              <w:rPr>
                <w:sz w:val="17"/>
              </w:rPr>
            </w:r>
            <w:r>
              <w:rPr>
                <w:b/>
                <w:sz w:val="17"/>
              </w:rPr>
              <w:t>Status</w:t>
            </w:r>
          </w:p>
        </w:tc>
      </w:tr>
      <w:tr>
        <w:tc>
          <w:tcPr>
            <w:tcW w:type="dxa" w:w="2592"/>
            <w:vAlign w:val="top"/>
          </w:tcPr>
          <w:p>
            <w:r>
              <w:rPr>
                <w:sz w:val="17"/>
              </w:rPr>
            </w:r>
            <w:r>
              <w:rPr>
                <w:b w:val="0"/>
                <w:sz w:val="17"/>
              </w:rPr>
              <w:t>R3.2-001</w:t>
            </w:r>
          </w:p>
        </w:tc>
        <w:tc>
          <w:tcPr>
            <w:tcW w:type="dxa" w:w="2592"/>
            <w:vAlign w:val="top"/>
          </w:tcPr>
          <w:p>
            <w:r>
              <w:rPr>
                <w:sz w:val="17"/>
              </w:rPr>
            </w:r>
            <w:r>
              <w:rPr>
                <w:b w:val="0"/>
                <w:sz w:val="17"/>
              </w:rPr>
              <w:t>The program shall maintain a live treaty and national licensing matrix for every operated body, vehicle class, platform, extraction method, and export pathway.</w:t>
            </w:r>
          </w:p>
        </w:tc>
        <w:tc>
          <w:tcPr>
            <w:tcW w:type="dxa" w:w="2592"/>
            <w:vAlign w:val="top"/>
          </w:tcPr>
          <w:p>
            <w:r>
              <w:rPr>
                <w:sz w:val="17"/>
              </w:rPr>
            </w:r>
            <w:r>
              <w:rPr>
                <w:b w:val="0"/>
                <w:sz w:val="17"/>
              </w:rPr>
              <w:t>General Counsel, Program Controls</w:t>
            </w:r>
          </w:p>
        </w:tc>
        <w:tc>
          <w:tcPr>
            <w:tcW w:type="dxa" w:w="2592"/>
            <w:vAlign w:val="top"/>
          </w:tcPr>
          <w:p>
            <w:r>
              <w:rPr>
                <w:sz w:val="17"/>
              </w:rPr>
            </w:r>
            <w:r>
              <w:rPr>
                <w:b w:val="0"/>
                <w:sz w:val="17"/>
              </w:rPr>
              <w:t>Open before next board gate</w:t>
            </w:r>
          </w:p>
        </w:tc>
      </w:tr>
      <w:tr>
        <w:tc>
          <w:tcPr>
            <w:tcW w:type="dxa" w:w="2592"/>
            <w:vAlign w:val="top"/>
          </w:tcPr>
          <w:p>
            <w:r>
              <w:rPr>
                <w:sz w:val="17"/>
              </w:rPr>
            </w:r>
            <w:r>
              <w:rPr>
                <w:b w:val="0"/>
                <w:sz w:val="17"/>
              </w:rPr>
              <w:t>R3.2-002</w:t>
            </w:r>
          </w:p>
        </w:tc>
        <w:tc>
          <w:tcPr>
            <w:tcW w:type="dxa" w:w="2592"/>
            <w:vAlign w:val="top"/>
          </w:tcPr>
          <w:p>
            <w:r>
              <w:rPr>
                <w:sz w:val="17"/>
              </w:rPr>
            </w:r>
            <w:r>
              <w:rPr>
                <w:b w:val="0"/>
                <w:sz w:val="17"/>
              </w:rPr>
              <w:t>The program shall register or support registration of all qualifying space objects and maintain launch state responsibility mapping.</w:t>
            </w:r>
          </w:p>
        </w:tc>
        <w:tc>
          <w:tcPr>
            <w:tcW w:type="dxa" w:w="2592"/>
            <w:vAlign w:val="top"/>
          </w:tcPr>
          <w:p>
            <w:r>
              <w:rPr>
                <w:sz w:val="17"/>
              </w:rPr>
            </w:r>
            <w:r>
              <w:rPr>
                <w:b w:val="0"/>
                <w:sz w:val="17"/>
              </w:rPr>
              <w:t>Mission Assurance</w:t>
            </w:r>
          </w:p>
        </w:tc>
        <w:tc>
          <w:tcPr>
            <w:tcW w:type="dxa" w:w="2592"/>
            <w:vAlign w:val="top"/>
          </w:tcPr>
          <w:p>
            <w:r>
              <w:rPr>
                <w:sz w:val="17"/>
              </w:rPr>
            </w:r>
            <w:r>
              <w:rPr>
                <w:b w:val="0"/>
                <w:sz w:val="17"/>
              </w:rPr>
              <w:t>Open</w:t>
            </w:r>
          </w:p>
        </w:tc>
      </w:tr>
      <w:tr>
        <w:tc>
          <w:tcPr>
            <w:tcW w:type="dxa" w:w="2592"/>
            <w:vAlign w:val="top"/>
          </w:tcPr>
          <w:p>
            <w:r>
              <w:rPr>
                <w:sz w:val="17"/>
              </w:rPr>
            </w:r>
            <w:r>
              <w:rPr>
                <w:b w:val="0"/>
                <w:sz w:val="17"/>
              </w:rPr>
              <w:t>R3.2-003</w:t>
            </w:r>
          </w:p>
        </w:tc>
        <w:tc>
          <w:tcPr>
            <w:tcW w:type="dxa" w:w="2592"/>
            <w:vAlign w:val="top"/>
          </w:tcPr>
          <w:p>
            <w:r>
              <w:rPr>
                <w:sz w:val="17"/>
              </w:rPr>
            </w:r>
            <w:r>
              <w:rPr>
                <w:b w:val="0"/>
                <w:sz w:val="17"/>
              </w:rPr>
              <w:t>The program shall establish safety zones only as operational deconfliction zones and shall avoid sovereignty or territorial language.</w:t>
            </w:r>
          </w:p>
        </w:tc>
        <w:tc>
          <w:tcPr>
            <w:tcW w:type="dxa" w:w="2592"/>
            <w:vAlign w:val="top"/>
          </w:tcPr>
          <w:p>
            <w:r>
              <w:rPr>
                <w:sz w:val="17"/>
              </w:rPr>
            </w:r>
            <w:r>
              <w:rPr>
                <w:b w:val="0"/>
                <w:sz w:val="17"/>
              </w:rPr>
              <w:t>Legal, Operations</w:t>
            </w:r>
          </w:p>
        </w:tc>
        <w:tc>
          <w:tcPr>
            <w:tcW w:type="dxa" w:w="2592"/>
            <w:vAlign w:val="top"/>
          </w:tcPr>
          <w:p>
            <w:r>
              <w:rPr>
                <w:sz w:val="17"/>
              </w:rPr>
            </w:r>
            <w:r>
              <w:rPr>
                <w:b w:val="0"/>
                <w:sz w:val="17"/>
              </w:rPr>
              <w:t>Open</w:t>
            </w:r>
          </w:p>
        </w:tc>
      </w:tr>
      <w:tr>
        <w:tc>
          <w:tcPr>
            <w:tcW w:type="dxa" w:w="2592"/>
            <w:vAlign w:val="top"/>
          </w:tcPr>
          <w:p>
            <w:r>
              <w:rPr>
                <w:sz w:val="17"/>
              </w:rPr>
            </w:r>
            <w:r>
              <w:rPr>
                <w:b w:val="0"/>
                <w:sz w:val="17"/>
              </w:rPr>
              <w:t>R3.2-004</w:t>
            </w:r>
          </w:p>
        </w:tc>
        <w:tc>
          <w:tcPr>
            <w:tcW w:type="dxa" w:w="2592"/>
            <w:vAlign w:val="top"/>
          </w:tcPr>
          <w:p>
            <w:r>
              <w:rPr>
                <w:sz w:val="17"/>
              </w:rPr>
            </w:r>
            <w:r>
              <w:rPr>
                <w:b w:val="0"/>
                <w:sz w:val="17"/>
              </w:rPr>
              <w:t>The program shall complete COSPAR based planetary protection assessment for Moon polar, Mars, Ceres, Venus, and sample return activities.</w:t>
            </w:r>
          </w:p>
        </w:tc>
        <w:tc>
          <w:tcPr>
            <w:tcW w:type="dxa" w:w="2592"/>
            <w:vAlign w:val="top"/>
          </w:tcPr>
          <w:p>
            <w:r>
              <w:rPr>
                <w:sz w:val="17"/>
              </w:rPr>
            </w:r>
            <w:r>
              <w:rPr>
                <w:b w:val="0"/>
                <w:sz w:val="17"/>
              </w:rPr>
              <w:t>Planetary Protection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R3.2-005</w:t>
            </w:r>
          </w:p>
        </w:tc>
        <w:tc>
          <w:tcPr>
            <w:tcW w:type="dxa" w:w="2592"/>
            <w:vAlign w:val="top"/>
          </w:tcPr>
          <w:p>
            <w:r>
              <w:rPr>
                <w:sz w:val="17"/>
              </w:rPr>
            </w:r>
            <w:r>
              <w:rPr>
                <w:b w:val="0"/>
                <w:sz w:val="17"/>
              </w:rPr>
              <w:t>No commercial reserve shall be booked until in situ assay, extraction test, recoverability model, and operating cost model are complete.</w:t>
            </w:r>
          </w:p>
        </w:tc>
        <w:tc>
          <w:tcPr>
            <w:tcW w:type="dxa" w:w="2592"/>
            <w:vAlign w:val="top"/>
          </w:tcPr>
          <w:p>
            <w:r>
              <w:rPr>
                <w:sz w:val="17"/>
              </w:rPr>
            </w:r>
            <w:r>
              <w:rPr>
                <w:b w:val="0"/>
                <w:sz w:val="17"/>
              </w:rPr>
              <w:t>Resource Economics, Mining Engineering</w:t>
            </w:r>
          </w:p>
        </w:tc>
        <w:tc>
          <w:tcPr>
            <w:tcW w:type="dxa" w:w="2592"/>
            <w:vAlign w:val="top"/>
          </w:tcPr>
          <w:p>
            <w:r>
              <w:rPr>
                <w:sz w:val="17"/>
              </w:rPr>
            </w:r>
            <w:r>
              <w:rPr>
                <w:b w:val="0"/>
                <w:sz w:val="17"/>
              </w:rPr>
              <w:t>Open</w:t>
            </w:r>
          </w:p>
        </w:tc>
      </w:tr>
      <w:tr>
        <w:tc>
          <w:tcPr>
            <w:tcW w:type="dxa" w:w="2592"/>
            <w:vAlign w:val="top"/>
          </w:tcPr>
          <w:p>
            <w:r>
              <w:rPr>
                <w:sz w:val="17"/>
              </w:rPr>
            </w:r>
            <w:r>
              <w:rPr>
                <w:b w:val="0"/>
                <w:sz w:val="17"/>
              </w:rPr>
              <w:t>R3.2-006</w:t>
            </w:r>
          </w:p>
        </w:tc>
        <w:tc>
          <w:tcPr>
            <w:tcW w:type="dxa" w:w="2592"/>
            <w:vAlign w:val="top"/>
          </w:tcPr>
          <w:p>
            <w:r>
              <w:rPr>
                <w:sz w:val="17"/>
              </w:rPr>
            </w:r>
            <w:r>
              <w:rPr>
                <w:b w:val="0"/>
                <w:sz w:val="17"/>
              </w:rPr>
              <w:t>The program shall classify extraction technologies by TRL and shall require pilot demonstration before industrial scale authorization.</w:t>
            </w:r>
          </w:p>
        </w:tc>
        <w:tc>
          <w:tcPr>
            <w:tcW w:type="dxa" w:w="2592"/>
            <w:vAlign w:val="top"/>
          </w:tcPr>
          <w:p>
            <w:r>
              <w:rPr>
                <w:sz w:val="17"/>
              </w:rPr>
            </w:r>
            <w:r>
              <w:rPr>
                <w:b w:val="0"/>
                <w:sz w:val="17"/>
              </w:rPr>
              <w:t>Engineering Review Board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R3.2-007</w:t>
            </w:r>
          </w:p>
        </w:tc>
        <w:tc>
          <w:tcPr>
            <w:tcW w:type="dxa" w:w="2592"/>
            <w:vAlign w:val="top"/>
          </w:tcPr>
          <w:p>
            <w:r>
              <w:rPr>
                <w:sz w:val="17"/>
              </w:rPr>
            </w:r>
            <w:r>
              <w:rPr>
                <w:b w:val="0"/>
                <w:sz w:val="17"/>
              </w:rPr>
              <w:t>The program shall create an ITU and national spectrum filing plan for all surface, orbital, microwave power, and traffic control systems.</w:t>
            </w:r>
          </w:p>
        </w:tc>
        <w:tc>
          <w:tcPr>
            <w:tcW w:type="dxa" w:w="2592"/>
            <w:vAlign w:val="top"/>
          </w:tcPr>
          <w:p>
            <w:r>
              <w:rPr>
                <w:sz w:val="17"/>
              </w:rPr>
            </w:r>
            <w:r>
              <w:rPr>
                <w:b w:val="0"/>
                <w:sz w:val="17"/>
              </w:rPr>
              <w:t>Communications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R3.2-008</w:t>
            </w:r>
          </w:p>
        </w:tc>
        <w:tc>
          <w:tcPr>
            <w:tcW w:type="dxa" w:w="2592"/>
            <w:vAlign w:val="top"/>
          </w:tcPr>
          <w:p>
            <w:r>
              <w:rPr>
                <w:sz w:val="17"/>
              </w:rPr>
            </w:r>
            <w:r>
              <w:rPr>
                <w:b w:val="0"/>
                <w:sz w:val="17"/>
              </w:rPr>
              <w:t>All nuclear systems shall include launch safety analysis, mission phase safety controls, Article XI style notification planning where applicable, and end of life disposition.</w:t>
            </w:r>
          </w:p>
        </w:tc>
        <w:tc>
          <w:tcPr>
            <w:tcW w:type="dxa" w:w="2592"/>
            <w:vAlign w:val="top"/>
          </w:tcPr>
          <w:p>
            <w:r>
              <w:rPr>
                <w:sz w:val="17"/>
              </w:rPr>
            </w:r>
            <w:r>
              <w:rPr>
                <w:b w:val="0"/>
                <w:sz w:val="17"/>
              </w:rPr>
              <w:t>Nuclear Safety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R3.2-009</w:t>
            </w:r>
          </w:p>
        </w:tc>
        <w:tc>
          <w:tcPr>
            <w:tcW w:type="dxa" w:w="2592"/>
            <w:vAlign w:val="top"/>
          </w:tcPr>
          <w:p>
            <w:r>
              <w:rPr>
                <w:sz w:val="17"/>
              </w:rPr>
            </w:r>
            <w:r>
              <w:rPr>
                <w:b w:val="0"/>
                <w:sz w:val="17"/>
              </w:rPr>
              <w:t>Mars mineral extraction shall exclude potential biosignature sites, special regions, and sample science priority zones unless an approved planetary protection plan exists.</w:t>
            </w:r>
          </w:p>
        </w:tc>
        <w:tc>
          <w:tcPr>
            <w:tcW w:type="dxa" w:w="2592"/>
            <w:vAlign w:val="top"/>
          </w:tcPr>
          <w:p>
            <w:r>
              <w:rPr>
                <w:sz w:val="17"/>
              </w:rPr>
            </w:r>
            <w:r>
              <w:rPr>
                <w:b w:val="0"/>
                <w:sz w:val="17"/>
              </w:rPr>
              <w:t>Mars Program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R3.2-010</w:t>
            </w:r>
          </w:p>
        </w:tc>
        <w:tc>
          <w:tcPr>
            <w:tcW w:type="dxa" w:w="2592"/>
            <w:vAlign w:val="top"/>
          </w:tcPr>
          <w:p>
            <w:r>
              <w:rPr>
                <w:sz w:val="17"/>
              </w:rPr>
            </w:r>
            <w:r>
              <w:rPr>
                <w:b w:val="0"/>
                <w:sz w:val="17"/>
              </w:rPr>
              <w:t>Ceres autonomous worksites shall include organic and volatile preservation, brine salt handling controls, and low gravity containment.</w:t>
            </w:r>
          </w:p>
        </w:tc>
        <w:tc>
          <w:tcPr>
            <w:tcW w:type="dxa" w:w="2592"/>
            <w:vAlign w:val="top"/>
          </w:tcPr>
          <w:p>
            <w:r>
              <w:rPr>
                <w:sz w:val="17"/>
              </w:rPr>
            </w:r>
            <w:r>
              <w:rPr>
                <w:b w:val="0"/>
                <w:sz w:val="17"/>
              </w:rPr>
              <w:t>Ceres Program Lead</w:t>
            </w:r>
          </w:p>
        </w:tc>
        <w:tc>
          <w:tcPr>
            <w:tcW w:type="dxa" w:w="2592"/>
            <w:vAlign w:val="top"/>
          </w:tcPr>
          <w:p>
            <w:r>
              <w:rPr>
                <w:sz w:val="17"/>
              </w:rPr>
            </w:r>
            <w:r>
              <w:rPr>
                <w:b w:val="0"/>
                <w:sz w:val="17"/>
              </w:rPr>
              <w:t>Open</w:t>
            </w:r>
          </w:p>
        </w:tc>
      </w:tr>
    </w:tbl>
    <w:p/>
    <w:p>
      <w:pPr>
        <w:pStyle w:val="Heading2"/>
      </w:pPr>
      <w:r>
        <w:t>22.8 Risk Register Additions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Risk ID</w:t>
            </w:r>
          </w:p>
        </w:tc>
        <w:tc>
          <w:tcPr>
            <w:tcW w:type="dxa" w:w="2592"/>
            <w:vAlign w:val="top"/>
          </w:tcPr>
          <w:p>
            <w:r>
              <w:rPr>
                <w:sz w:val="17"/>
              </w:rPr>
            </w:r>
            <w:r>
              <w:rPr>
                <w:b/>
                <w:sz w:val="17"/>
              </w:rPr>
              <w:t>Risk</w:t>
            </w:r>
          </w:p>
        </w:tc>
        <w:tc>
          <w:tcPr>
            <w:tcW w:type="dxa" w:w="2592"/>
            <w:vAlign w:val="top"/>
          </w:tcPr>
          <w:p>
            <w:r>
              <w:rPr>
                <w:sz w:val="17"/>
              </w:rPr>
            </w:r>
            <w:r>
              <w:rPr>
                <w:b/>
                <w:sz w:val="17"/>
              </w:rPr>
              <w:t>Severity</w:t>
            </w:r>
          </w:p>
        </w:tc>
        <w:tc>
          <w:tcPr>
            <w:tcW w:type="dxa" w:w="2592"/>
            <w:vAlign w:val="top"/>
          </w:tcPr>
          <w:p>
            <w:r>
              <w:rPr>
                <w:sz w:val="17"/>
              </w:rPr>
            </w:r>
            <w:r>
              <w:rPr>
                <w:b/>
                <w:sz w:val="17"/>
              </w:rPr>
              <w:t>Mitigation</w:t>
            </w:r>
          </w:p>
        </w:tc>
      </w:tr>
      <w:tr>
        <w:tc>
          <w:tcPr>
            <w:tcW w:type="dxa" w:w="2592"/>
            <w:vAlign w:val="top"/>
          </w:tcPr>
          <w:p>
            <w:r>
              <w:rPr>
                <w:sz w:val="17"/>
              </w:rPr>
            </w:r>
            <w:r>
              <w:rPr>
                <w:b w:val="0"/>
                <w:sz w:val="17"/>
              </w:rPr>
              <w:t>RR3.2-001</w:t>
            </w:r>
          </w:p>
        </w:tc>
        <w:tc>
          <w:tcPr>
            <w:tcW w:type="dxa" w:w="2592"/>
            <w:vAlign w:val="top"/>
          </w:tcPr>
          <w:p>
            <w:r>
              <w:rPr>
                <w:sz w:val="17"/>
              </w:rPr>
            </w:r>
            <w:r>
              <w:rPr>
                <w:b w:val="0"/>
                <w:sz w:val="17"/>
              </w:rPr>
              <w:t>Treaty interpretation conflict or partner state objection</w:t>
            </w:r>
          </w:p>
        </w:tc>
        <w:tc>
          <w:tcPr>
            <w:tcW w:type="dxa" w:w="2592"/>
            <w:vAlign w:val="top"/>
          </w:tcPr>
          <w:p>
            <w:r>
              <w:rPr>
                <w:sz w:val="17"/>
              </w:rPr>
            </w:r>
            <w:r>
              <w:rPr>
                <w:b w:val="0"/>
                <w:sz w:val="17"/>
              </w:rPr>
              <w:t>High</w:t>
            </w:r>
          </w:p>
        </w:tc>
        <w:tc>
          <w:tcPr>
            <w:tcW w:type="dxa" w:w="2592"/>
            <w:vAlign w:val="top"/>
          </w:tcPr>
          <w:p>
            <w:r>
              <w:rPr>
                <w:sz w:val="17"/>
              </w:rPr>
            </w:r>
            <w:r>
              <w:rPr>
                <w:b w:val="0"/>
                <w:sz w:val="17"/>
              </w:rPr>
              <w:t>Use transparent coordination, due regard notices, license mapping, and public site safety packages.</w:t>
            </w:r>
          </w:p>
        </w:tc>
      </w:tr>
      <w:tr>
        <w:tc>
          <w:tcPr>
            <w:tcW w:type="dxa" w:w="2592"/>
            <w:vAlign w:val="top"/>
          </w:tcPr>
          <w:p>
            <w:r>
              <w:rPr>
                <w:sz w:val="17"/>
              </w:rPr>
            </w:r>
            <w:r>
              <w:rPr>
                <w:b w:val="0"/>
                <w:sz w:val="17"/>
              </w:rPr>
              <w:t>RR3.2-002</w:t>
            </w:r>
          </w:p>
        </w:tc>
        <w:tc>
          <w:tcPr>
            <w:tcW w:type="dxa" w:w="2592"/>
            <w:vAlign w:val="top"/>
          </w:tcPr>
          <w:p>
            <w:r>
              <w:rPr>
                <w:sz w:val="17"/>
              </w:rPr>
            </w:r>
            <w:r>
              <w:rPr>
                <w:b w:val="0"/>
                <w:sz w:val="17"/>
              </w:rPr>
              <w:t>Resource ownership mismatch across jurisdictions</w:t>
            </w:r>
          </w:p>
        </w:tc>
        <w:tc>
          <w:tcPr>
            <w:tcW w:type="dxa" w:w="2592"/>
            <w:vAlign w:val="top"/>
          </w:tcPr>
          <w:p>
            <w:r>
              <w:rPr>
                <w:sz w:val="17"/>
              </w:rPr>
            </w:r>
            <w:r>
              <w:rPr>
                <w:b w:val="0"/>
                <w:sz w:val="17"/>
              </w:rPr>
              <w:t>High</w:t>
            </w:r>
          </w:p>
        </w:tc>
        <w:tc>
          <w:tcPr>
            <w:tcW w:type="dxa" w:w="2592"/>
            <w:vAlign w:val="top"/>
          </w:tcPr>
          <w:p>
            <w:r>
              <w:rPr>
                <w:sz w:val="17"/>
              </w:rPr>
            </w:r>
            <w:r>
              <w:rPr>
                <w:b w:val="0"/>
                <w:sz w:val="17"/>
              </w:rPr>
              <w:t>Assign resource title chain by operator, launch state, extraction site, commodity, and customer contract.</w:t>
            </w:r>
          </w:p>
        </w:tc>
      </w:tr>
      <w:tr>
        <w:tc>
          <w:tcPr>
            <w:tcW w:type="dxa" w:w="2592"/>
            <w:vAlign w:val="top"/>
          </w:tcPr>
          <w:p>
            <w:r>
              <w:rPr>
                <w:sz w:val="17"/>
              </w:rPr>
            </w:r>
            <w:r>
              <w:rPr>
                <w:b w:val="0"/>
                <w:sz w:val="17"/>
              </w:rPr>
              <w:t>RR3.2-003</w:t>
            </w:r>
          </w:p>
        </w:tc>
        <w:tc>
          <w:tcPr>
            <w:tcW w:type="dxa" w:w="2592"/>
            <w:vAlign w:val="top"/>
          </w:tcPr>
          <w:p>
            <w:r>
              <w:rPr>
                <w:sz w:val="17"/>
              </w:rPr>
            </w:r>
            <w:r>
              <w:rPr>
                <w:b w:val="0"/>
                <w:sz w:val="17"/>
              </w:rPr>
              <w:t>Spectrum or microwave power interference</w:t>
            </w:r>
          </w:p>
        </w:tc>
        <w:tc>
          <w:tcPr>
            <w:tcW w:type="dxa" w:w="2592"/>
            <w:vAlign w:val="top"/>
          </w:tcPr>
          <w:p>
            <w:r>
              <w:rPr>
                <w:sz w:val="17"/>
              </w:rPr>
            </w:r>
            <w:r>
              <w:rPr>
                <w:b w:val="0"/>
                <w:sz w:val="17"/>
              </w:rPr>
              <w:t>High</w:t>
            </w:r>
          </w:p>
        </w:tc>
        <w:tc>
          <w:tcPr>
            <w:tcW w:type="dxa" w:w="2592"/>
            <w:vAlign w:val="top"/>
          </w:tcPr>
          <w:p>
            <w:r>
              <w:rPr>
                <w:sz w:val="17"/>
              </w:rPr>
            </w:r>
            <w:r>
              <w:rPr>
                <w:b w:val="0"/>
                <w:sz w:val="17"/>
              </w:rPr>
              <w:t>Start ITU and national coordination early. Create beam lockout, RF safety, and protected corridor rules.</w:t>
            </w:r>
          </w:p>
        </w:tc>
      </w:tr>
      <w:tr>
        <w:tc>
          <w:tcPr>
            <w:tcW w:type="dxa" w:w="2592"/>
            <w:vAlign w:val="top"/>
          </w:tcPr>
          <w:p>
            <w:r>
              <w:rPr>
                <w:sz w:val="17"/>
              </w:rPr>
            </w:r>
            <w:r>
              <w:rPr>
                <w:b w:val="0"/>
                <w:sz w:val="17"/>
              </w:rPr>
              <w:t>RR3.2-004</w:t>
            </w:r>
          </w:p>
        </w:tc>
        <w:tc>
          <w:tcPr>
            <w:tcW w:type="dxa" w:w="2592"/>
            <w:vAlign w:val="top"/>
          </w:tcPr>
          <w:p>
            <w:r>
              <w:rPr>
                <w:sz w:val="17"/>
              </w:rPr>
            </w:r>
            <w:r>
              <w:rPr>
                <w:b w:val="0"/>
                <w:sz w:val="17"/>
              </w:rPr>
              <w:t>Lunar PSR ice grade below design assumption</w:t>
            </w:r>
          </w:p>
        </w:tc>
        <w:tc>
          <w:tcPr>
            <w:tcW w:type="dxa" w:w="2592"/>
            <w:vAlign w:val="top"/>
          </w:tcPr>
          <w:p>
            <w:r>
              <w:rPr>
                <w:sz w:val="17"/>
              </w:rPr>
            </w:r>
            <w:r>
              <w:rPr>
                <w:b w:val="0"/>
                <w:sz w:val="17"/>
              </w:rPr>
              <w:t>High</w:t>
            </w:r>
          </w:p>
        </w:tc>
        <w:tc>
          <w:tcPr>
            <w:tcW w:type="dxa" w:w="2592"/>
            <w:vAlign w:val="top"/>
          </w:tcPr>
          <w:p>
            <w:r>
              <w:rPr>
                <w:sz w:val="17"/>
              </w:rPr>
            </w:r>
            <w:r>
              <w:rPr>
                <w:b w:val="0"/>
                <w:sz w:val="17"/>
              </w:rPr>
              <w:t>Use staged prospecting and pilot extraction. Delay full electrolysis scale until measured feed rate is proven.</w:t>
            </w:r>
          </w:p>
        </w:tc>
      </w:tr>
      <w:tr>
        <w:tc>
          <w:tcPr>
            <w:tcW w:type="dxa" w:w="2592"/>
            <w:vAlign w:val="top"/>
          </w:tcPr>
          <w:p>
            <w:r>
              <w:rPr>
                <w:sz w:val="17"/>
              </w:rPr>
            </w:r>
            <w:r>
              <w:rPr>
                <w:b w:val="0"/>
                <w:sz w:val="17"/>
              </w:rPr>
              <w:t>RR3.2-005</w:t>
            </w:r>
          </w:p>
        </w:tc>
        <w:tc>
          <w:tcPr>
            <w:tcW w:type="dxa" w:w="2592"/>
            <w:vAlign w:val="top"/>
          </w:tcPr>
          <w:p>
            <w:r>
              <w:rPr>
                <w:sz w:val="17"/>
              </w:rPr>
            </w:r>
            <w:r>
              <w:rPr>
                <w:b w:val="0"/>
                <w:sz w:val="17"/>
              </w:rPr>
              <w:t>Mars astrobiology or special region conflict</w:t>
            </w:r>
          </w:p>
        </w:tc>
        <w:tc>
          <w:tcPr>
            <w:tcW w:type="dxa" w:w="2592"/>
            <w:vAlign w:val="top"/>
          </w:tcPr>
          <w:p>
            <w:r>
              <w:rPr>
                <w:sz w:val="17"/>
              </w:rPr>
            </w:r>
            <w:r>
              <w:rPr>
                <w:b w:val="0"/>
                <w:sz w:val="17"/>
              </w:rPr>
              <w:t>High</w:t>
            </w:r>
          </w:p>
        </w:tc>
        <w:tc>
          <w:tcPr>
            <w:tcW w:type="dxa" w:w="2592"/>
            <w:vAlign w:val="top"/>
          </w:tcPr>
          <w:p>
            <w:r>
              <w:rPr>
                <w:sz w:val="17"/>
              </w:rPr>
            </w:r>
            <w:r>
              <w:rPr>
                <w:b w:val="0"/>
                <w:sz w:val="17"/>
              </w:rPr>
              <w:t>Use exclusion maps, science review, and planetary protection approval before civil works or mining.</w:t>
            </w:r>
          </w:p>
        </w:tc>
      </w:tr>
      <w:tr>
        <w:tc>
          <w:tcPr>
            <w:tcW w:type="dxa" w:w="2592"/>
            <w:vAlign w:val="top"/>
          </w:tcPr>
          <w:p>
            <w:r>
              <w:rPr>
                <w:sz w:val="17"/>
              </w:rPr>
            </w:r>
            <w:r>
              <w:rPr>
                <w:b w:val="0"/>
                <w:sz w:val="17"/>
              </w:rPr>
              <w:t>RR3.2-006</w:t>
            </w:r>
          </w:p>
        </w:tc>
        <w:tc>
          <w:tcPr>
            <w:tcW w:type="dxa" w:w="2592"/>
            <w:vAlign w:val="top"/>
          </w:tcPr>
          <w:p>
            <w:r>
              <w:rPr>
                <w:sz w:val="17"/>
              </w:rPr>
            </w:r>
            <w:r>
              <w:rPr>
                <w:b w:val="0"/>
                <w:sz w:val="17"/>
              </w:rPr>
              <w:t>Ceres organic or brine contamination</w:t>
            </w:r>
          </w:p>
        </w:tc>
        <w:tc>
          <w:tcPr>
            <w:tcW w:type="dxa" w:w="2592"/>
            <w:vAlign w:val="top"/>
          </w:tcPr>
          <w:p>
            <w:r>
              <w:rPr>
                <w:sz w:val="17"/>
              </w:rPr>
            </w:r>
            <w:r>
              <w:rPr>
                <w:b w:val="0"/>
                <w:sz w:val="17"/>
              </w:rPr>
              <w:t>Medium high</w:t>
            </w:r>
          </w:p>
        </w:tc>
        <w:tc>
          <w:tcPr>
            <w:tcW w:type="dxa" w:w="2592"/>
            <w:vAlign w:val="top"/>
          </w:tcPr>
          <w:p>
            <w:r>
              <w:rPr>
                <w:sz w:val="17"/>
              </w:rPr>
            </w:r>
            <w:r>
              <w:rPr>
                <w:b w:val="0"/>
                <w:sz w:val="17"/>
              </w:rPr>
              <w:t>Use sealed excavation, curation style handling, independent science sampling, and contamination logging.</w:t>
            </w:r>
          </w:p>
        </w:tc>
      </w:tr>
      <w:tr>
        <w:tc>
          <w:tcPr>
            <w:tcW w:type="dxa" w:w="2592"/>
            <w:vAlign w:val="top"/>
          </w:tcPr>
          <w:p>
            <w:r>
              <w:rPr>
                <w:sz w:val="17"/>
              </w:rPr>
            </w:r>
            <w:r>
              <w:rPr>
                <w:b w:val="0"/>
                <w:sz w:val="17"/>
              </w:rPr>
              <w:t>RR3.2-007</w:t>
            </w:r>
          </w:p>
        </w:tc>
        <w:tc>
          <w:tcPr>
            <w:tcW w:type="dxa" w:w="2592"/>
            <w:vAlign w:val="top"/>
          </w:tcPr>
          <w:p>
            <w:r>
              <w:rPr>
                <w:sz w:val="17"/>
              </w:rPr>
            </w:r>
            <w:r>
              <w:rPr>
                <w:b w:val="0"/>
                <w:sz w:val="17"/>
              </w:rPr>
              <w:t>Psyche class metal value overstatement</w:t>
            </w:r>
          </w:p>
        </w:tc>
        <w:tc>
          <w:tcPr>
            <w:tcW w:type="dxa" w:w="2592"/>
            <w:vAlign w:val="top"/>
          </w:tcPr>
          <w:p>
            <w:r>
              <w:rPr>
                <w:sz w:val="17"/>
              </w:rPr>
            </w:r>
            <w:r>
              <w:rPr>
                <w:b w:val="0"/>
                <w:sz w:val="17"/>
              </w:rPr>
              <w:t>Medium high</w:t>
            </w:r>
          </w:p>
        </w:tc>
        <w:tc>
          <w:tcPr>
            <w:tcW w:type="dxa" w:w="2592"/>
            <w:vAlign w:val="top"/>
          </w:tcPr>
          <w:p>
            <w:r>
              <w:rPr>
                <w:sz w:val="17"/>
              </w:rPr>
            </w:r>
            <w:r>
              <w:rPr>
                <w:b w:val="0"/>
                <w:sz w:val="17"/>
              </w:rPr>
              <w:t>Keep as strategic upside until direct mission data confirm composition and recoverability.</w:t>
            </w:r>
          </w:p>
        </w:tc>
      </w:tr>
      <w:tr>
        <w:tc>
          <w:tcPr>
            <w:tcW w:type="dxa" w:w="2592"/>
            <w:vAlign w:val="top"/>
          </w:tcPr>
          <w:p>
            <w:r>
              <w:rPr>
                <w:sz w:val="17"/>
              </w:rPr>
            </w:r>
            <w:r>
              <w:rPr>
                <w:b w:val="0"/>
                <w:sz w:val="17"/>
              </w:rPr>
              <w:t>RR3.2-008</w:t>
            </w:r>
          </w:p>
        </w:tc>
        <w:tc>
          <w:tcPr>
            <w:tcW w:type="dxa" w:w="2592"/>
            <w:vAlign w:val="top"/>
          </w:tcPr>
          <w:p>
            <w:r>
              <w:rPr>
                <w:sz w:val="17"/>
              </w:rPr>
            </w:r>
            <w:r>
              <w:rPr>
                <w:b w:val="0"/>
                <w:sz w:val="17"/>
              </w:rPr>
              <w:t>Extraction TRL overreach</w:t>
            </w:r>
          </w:p>
        </w:tc>
        <w:tc>
          <w:tcPr>
            <w:tcW w:type="dxa" w:w="2592"/>
            <w:vAlign w:val="top"/>
          </w:tcPr>
          <w:p>
            <w:r>
              <w:rPr>
                <w:sz w:val="17"/>
              </w:rPr>
            </w:r>
            <w:r>
              <w:rPr>
                <w:b w:val="0"/>
                <w:sz w:val="17"/>
              </w:rPr>
              <w:t>High</w:t>
            </w:r>
          </w:p>
        </w:tc>
        <w:tc>
          <w:tcPr>
            <w:tcW w:type="dxa" w:w="2592"/>
            <w:vAlign w:val="top"/>
          </w:tcPr>
          <w:p>
            <w:r>
              <w:rPr>
                <w:sz w:val="17"/>
              </w:rPr>
            </w:r>
            <w:r>
              <w:rPr>
                <w:b w:val="0"/>
                <w:sz w:val="17"/>
              </w:rPr>
              <w:t>Gate industrial scale systems behind pilot demonstrations and reliability growth.</w:t>
            </w:r>
          </w:p>
        </w:tc>
      </w:tr>
      <w:tr>
        <w:tc>
          <w:tcPr>
            <w:tcW w:type="dxa" w:w="2592"/>
            <w:vAlign w:val="top"/>
          </w:tcPr>
          <w:p>
            <w:r>
              <w:rPr>
                <w:sz w:val="17"/>
              </w:rPr>
            </w:r>
            <w:r>
              <w:rPr>
                <w:b w:val="0"/>
                <w:sz w:val="17"/>
              </w:rPr>
              <w:t>RR3.2-009</w:t>
            </w:r>
          </w:p>
        </w:tc>
        <w:tc>
          <w:tcPr>
            <w:tcW w:type="dxa" w:w="2592"/>
            <w:vAlign w:val="top"/>
          </w:tcPr>
          <w:p>
            <w:r>
              <w:rPr>
                <w:sz w:val="17"/>
              </w:rPr>
            </w:r>
            <w:r>
              <w:rPr>
                <w:b w:val="0"/>
                <w:sz w:val="17"/>
              </w:rPr>
              <w:t>Nuclear power approval or launch delay</w:t>
            </w:r>
          </w:p>
        </w:tc>
        <w:tc>
          <w:tcPr>
            <w:tcW w:type="dxa" w:w="2592"/>
            <w:vAlign w:val="top"/>
          </w:tcPr>
          <w:p>
            <w:r>
              <w:rPr>
                <w:sz w:val="17"/>
              </w:rPr>
            </w:r>
            <w:r>
              <w:rPr>
                <w:b w:val="0"/>
                <w:sz w:val="17"/>
              </w:rPr>
              <w:t>High</w:t>
            </w:r>
          </w:p>
        </w:tc>
        <w:tc>
          <w:tcPr>
            <w:tcW w:type="dxa" w:w="2592"/>
            <w:vAlign w:val="top"/>
          </w:tcPr>
          <w:p>
            <w:r>
              <w:rPr>
                <w:sz w:val="17"/>
              </w:rPr>
            </w:r>
            <w:r>
              <w:rPr>
                <w:b w:val="0"/>
                <w:sz w:val="17"/>
              </w:rPr>
              <w:t>Create non nuclear fallback power staging while preserving fission as primary mature power.</w:t>
            </w:r>
          </w:p>
        </w:tc>
      </w:tr>
      <w:tr>
        <w:tc>
          <w:tcPr>
            <w:tcW w:type="dxa" w:w="2592"/>
            <w:vAlign w:val="top"/>
          </w:tcPr>
          <w:p>
            <w:r>
              <w:rPr>
                <w:sz w:val="17"/>
              </w:rPr>
            </w:r>
            <w:r>
              <w:rPr>
                <w:b w:val="0"/>
                <w:sz w:val="17"/>
              </w:rPr>
              <w:t>RR3.2-010</w:t>
            </w:r>
          </w:p>
        </w:tc>
        <w:tc>
          <w:tcPr>
            <w:tcW w:type="dxa" w:w="2592"/>
            <w:vAlign w:val="top"/>
          </w:tcPr>
          <w:p>
            <w:r>
              <w:rPr>
                <w:sz w:val="17"/>
              </w:rPr>
            </w:r>
            <w:r>
              <w:rPr>
                <w:b w:val="0"/>
                <w:sz w:val="17"/>
              </w:rPr>
              <w:t>Dust and regolith abrasion under mining cadence</w:t>
            </w:r>
          </w:p>
        </w:tc>
        <w:tc>
          <w:tcPr>
            <w:tcW w:type="dxa" w:w="2592"/>
            <w:vAlign w:val="top"/>
          </w:tcPr>
          <w:p>
            <w:r>
              <w:rPr>
                <w:sz w:val="17"/>
              </w:rPr>
            </w:r>
            <w:r>
              <w:rPr>
                <w:b w:val="0"/>
                <w:sz w:val="17"/>
              </w:rPr>
              <w:t>High</w:t>
            </w:r>
          </w:p>
        </w:tc>
        <w:tc>
          <w:tcPr>
            <w:tcW w:type="dxa" w:w="2592"/>
            <w:vAlign w:val="top"/>
          </w:tcPr>
          <w:p>
            <w:r>
              <w:rPr>
                <w:sz w:val="17"/>
              </w:rPr>
            </w:r>
            <w:r>
              <w:rPr>
                <w:b w:val="0"/>
                <w:sz w:val="17"/>
              </w:rPr>
              <w:t>Increase dust tolerant design, electrostatic cleaning, sealed maintenance bays, and spares.</w:t>
            </w:r>
          </w:p>
        </w:tc>
      </w:tr>
    </w:tbl>
    <w:p/>
    <w:p>
      <w:pPr>
        <w:pStyle w:val="Heading2"/>
      </w:pPr>
      <w:r>
        <w:t>22.9 Updated Board Gate Controls</w:t>
      </w:r>
    </w:p>
    <w:p>
      <w:pPr>
        <w:pStyle w:val="ListBullet"/>
      </w:pPr>
      <w:r>
        <w:t>Gate B1 now requires treaty status, licensing jurisdiction, safety zone language, and public coordination draft before site freeze.</w:t>
      </w:r>
    </w:p>
    <w:p>
      <w:pPr>
        <w:pStyle w:val="ListBullet"/>
      </w:pPr>
      <w:r>
        <w:t>Gate B3 now requires nuclear safety and launch approval roadmap before reactor procurement lock.</w:t>
      </w:r>
    </w:p>
    <w:p>
      <w:pPr>
        <w:pStyle w:val="ListBullet"/>
      </w:pPr>
      <w:r>
        <w:t>Gate B5 now requires COSPAR and biosecurity screening before Mars, Ceres, or Venus derivative procurement.</w:t>
      </w:r>
    </w:p>
    <w:p>
      <w:pPr>
        <w:pStyle w:val="ListBullet"/>
      </w:pPr>
      <w:r>
        <w:t>Gate B6 now requires measured feedstock grade and pilot extraction performance before industrial scale plant authorization.</w:t>
      </w:r>
    </w:p>
    <w:p>
      <w:pPr>
        <w:pStyle w:val="ListBullet"/>
      </w:pPr>
      <w:r>
        <w:t>Gate B7 now requires spectrum filing plan, orbital traffic coordination, and microwave receiver RF safety case before power beaming or high cadence spaceport operations.</w:t>
      </w:r>
    </w:p>
    <w:p>
      <w:pPr>
        <w:pStyle w:val="ListBullet"/>
      </w:pPr>
      <w:r>
        <w:t>Gate B8 now requires external counsel signoff, mission assurance signoff, and planetary protection signoff before commercial resource sale or resource return.</w:t>
      </w:r>
    </w:p>
    <w:p>
      <w:pPr>
        <w:pStyle w:val="Heading2"/>
      </w:pPr>
      <w:r>
        <w:t>22.10 180 Day Action Register</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Action ID</w:t>
            </w:r>
          </w:p>
        </w:tc>
        <w:tc>
          <w:tcPr>
            <w:tcW w:type="dxa" w:w="2592"/>
            <w:vAlign w:val="top"/>
          </w:tcPr>
          <w:p>
            <w:r>
              <w:rPr>
                <w:sz w:val="17"/>
              </w:rPr>
            </w:r>
            <w:r>
              <w:rPr>
                <w:b/>
                <w:sz w:val="17"/>
              </w:rPr>
              <w:t>Action</w:t>
            </w:r>
          </w:p>
        </w:tc>
        <w:tc>
          <w:tcPr>
            <w:tcW w:type="dxa" w:w="2592"/>
            <w:vAlign w:val="top"/>
          </w:tcPr>
          <w:p>
            <w:r>
              <w:rPr>
                <w:sz w:val="17"/>
              </w:rPr>
            </w:r>
            <w:r>
              <w:rPr>
                <w:b/>
                <w:sz w:val="17"/>
              </w:rPr>
              <w:t>Owner</w:t>
            </w:r>
          </w:p>
        </w:tc>
        <w:tc>
          <w:tcPr>
            <w:tcW w:type="dxa" w:w="2592"/>
            <w:vAlign w:val="top"/>
          </w:tcPr>
          <w:p>
            <w:r>
              <w:rPr>
                <w:sz w:val="17"/>
              </w:rPr>
            </w:r>
            <w:r>
              <w:rPr>
                <w:b/>
                <w:sz w:val="17"/>
              </w:rPr>
              <w:t>Due</w:t>
            </w:r>
          </w:p>
        </w:tc>
      </w:tr>
      <w:tr>
        <w:tc>
          <w:tcPr>
            <w:tcW w:type="dxa" w:w="2592"/>
            <w:vAlign w:val="top"/>
          </w:tcPr>
          <w:p>
            <w:r>
              <w:rPr>
                <w:sz w:val="17"/>
              </w:rPr>
            </w:r>
            <w:r>
              <w:rPr>
                <w:b w:val="0"/>
                <w:sz w:val="17"/>
              </w:rPr>
              <w:t>A3.2-001</w:t>
            </w:r>
          </w:p>
        </w:tc>
        <w:tc>
          <w:tcPr>
            <w:tcW w:type="dxa" w:w="2592"/>
            <w:vAlign w:val="top"/>
          </w:tcPr>
          <w:p>
            <w:r>
              <w:rPr>
                <w:sz w:val="17"/>
              </w:rPr>
            </w:r>
            <w:r>
              <w:rPr>
                <w:b w:val="0"/>
                <w:sz w:val="17"/>
              </w:rPr>
              <w:t>Create treaty, national law, and licensing matrix covering United States, Luxembourg, Japan, UAE, partner states, and launch states.</w:t>
            </w:r>
          </w:p>
        </w:tc>
        <w:tc>
          <w:tcPr>
            <w:tcW w:type="dxa" w:w="2592"/>
            <w:vAlign w:val="top"/>
          </w:tcPr>
          <w:p>
            <w:r>
              <w:rPr>
                <w:sz w:val="17"/>
              </w:rPr>
            </w:r>
            <w:r>
              <w:rPr>
                <w:b w:val="0"/>
                <w:sz w:val="17"/>
              </w:rPr>
              <w:t>Legal</w:t>
            </w:r>
          </w:p>
        </w:tc>
        <w:tc>
          <w:tcPr>
            <w:tcW w:type="dxa" w:w="2592"/>
            <w:vAlign w:val="top"/>
          </w:tcPr>
          <w:p>
            <w:r>
              <w:rPr>
                <w:sz w:val="17"/>
              </w:rPr>
            </w:r>
            <w:r>
              <w:rPr>
                <w:b w:val="0"/>
                <w:sz w:val="17"/>
              </w:rPr>
              <w:t>30 days</w:t>
            </w:r>
          </w:p>
        </w:tc>
      </w:tr>
      <w:tr>
        <w:tc>
          <w:tcPr>
            <w:tcW w:type="dxa" w:w="2592"/>
            <w:vAlign w:val="top"/>
          </w:tcPr>
          <w:p>
            <w:r>
              <w:rPr>
                <w:sz w:val="17"/>
              </w:rPr>
            </w:r>
            <w:r>
              <w:rPr>
                <w:b w:val="0"/>
                <w:sz w:val="17"/>
              </w:rPr>
              <w:t>A3.2-002</w:t>
            </w:r>
          </w:p>
        </w:tc>
        <w:tc>
          <w:tcPr>
            <w:tcW w:type="dxa" w:w="2592"/>
            <w:vAlign w:val="top"/>
          </w:tcPr>
          <w:p>
            <w:r>
              <w:rPr>
                <w:sz w:val="17"/>
              </w:rPr>
            </w:r>
            <w:r>
              <w:rPr>
                <w:b w:val="0"/>
                <w:sz w:val="17"/>
              </w:rPr>
              <w:t>Create resource classification standard and prohibit reserve booking without in situ assay and extraction demonstration.</w:t>
            </w:r>
          </w:p>
        </w:tc>
        <w:tc>
          <w:tcPr>
            <w:tcW w:type="dxa" w:w="2592"/>
            <w:vAlign w:val="top"/>
          </w:tcPr>
          <w:p>
            <w:r>
              <w:rPr>
                <w:sz w:val="17"/>
              </w:rPr>
            </w:r>
            <w:r>
              <w:rPr>
                <w:b w:val="0"/>
                <w:sz w:val="17"/>
              </w:rPr>
              <w:t>Resource Economics</w:t>
            </w:r>
          </w:p>
        </w:tc>
        <w:tc>
          <w:tcPr>
            <w:tcW w:type="dxa" w:w="2592"/>
            <w:vAlign w:val="top"/>
          </w:tcPr>
          <w:p>
            <w:r>
              <w:rPr>
                <w:sz w:val="17"/>
              </w:rPr>
            </w:r>
            <w:r>
              <w:rPr>
                <w:b w:val="0"/>
                <w:sz w:val="17"/>
              </w:rPr>
              <w:t>45 days</w:t>
            </w:r>
          </w:p>
        </w:tc>
      </w:tr>
      <w:tr>
        <w:tc>
          <w:tcPr>
            <w:tcW w:type="dxa" w:w="2592"/>
            <w:vAlign w:val="top"/>
          </w:tcPr>
          <w:p>
            <w:r>
              <w:rPr>
                <w:sz w:val="17"/>
              </w:rPr>
            </w:r>
            <w:r>
              <w:rPr>
                <w:b w:val="0"/>
                <w:sz w:val="17"/>
              </w:rPr>
              <w:t>A3.2-003</w:t>
            </w:r>
          </w:p>
        </w:tc>
        <w:tc>
          <w:tcPr>
            <w:tcW w:type="dxa" w:w="2592"/>
            <w:vAlign w:val="top"/>
          </w:tcPr>
          <w:p>
            <w:r>
              <w:rPr>
                <w:sz w:val="17"/>
              </w:rPr>
            </w:r>
            <w:r>
              <w:rPr>
                <w:b w:val="0"/>
                <w:sz w:val="17"/>
              </w:rPr>
              <w:t>Create COSPAR based planetary protection decision tree for Moon polar, Mars, Ceres, Venus, and sample return.</w:t>
            </w:r>
          </w:p>
        </w:tc>
        <w:tc>
          <w:tcPr>
            <w:tcW w:type="dxa" w:w="2592"/>
            <w:vAlign w:val="top"/>
          </w:tcPr>
          <w:p>
            <w:r>
              <w:rPr>
                <w:sz w:val="17"/>
              </w:rPr>
            </w:r>
            <w:r>
              <w:rPr>
                <w:b w:val="0"/>
                <w:sz w:val="17"/>
              </w:rPr>
              <w:t>Biosecurity and PP Lead</w:t>
            </w:r>
          </w:p>
        </w:tc>
        <w:tc>
          <w:tcPr>
            <w:tcW w:type="dxa" w:w="2592"/>
            <w:vAlign w:val="top"/>
          </w:tcPr>
          <w:p>
            <w:r>
              <w:rPr>
                <w:sz w:val="17"/>
              </w:rPr>
            </w:r>
            <w:r>
              <w:rPr>
                <w:b w:val="0"/>
                <w:sz w:val="17"/>
              </w:rPr>
              <w:t>60 days</w:t>
            </w:r>
          </w:p>
        </w:tc>
      </w:tr>
      <w:tr>
        <w:tc>
          <w:tcPr>
            <w:tcW w:type="dxa" w:w="2592"/>
            <w:vAlign w:val="top"/>
          </w:tcPr>
          <w:p>
            <w:r>
              <w:rPr>
                <w:sz w:val="17"/>
              </w:rPr>
            </w:r>
            <w:r>
              <w:rPr>
                <w:b w:val="0"/>
                <w:sz w:val="17"/>
              </w:rPr>
              <w:t>A3.2-004</w:t>
            </w:r>
          </w:p>
        </w:tc>
        <w:tc>
          <w:tcPr>
            <w:tcW w:type="dxa" w:w="2592"/>
            <w:vAlign w:val="top"/>
          </w:tcPr>
          <w:p>
            <w:r>
              <w:rPr>
                <w:sz w:val="17"/>
              </w:rPr>
            </w:r>
            <w:r>
              <w:rPr>
                <w:b w:val="0"/>
                <w:sz w:val="17"/>
              </w:rPr>
              <w:t>Create spectrum and RF safety pre filing package for lunar site, microwave receiver, spaceport, Venus platform, and Ceres worksite.</w:t>
            </w:r>
          </w:p>
        </w:tc>
        <w:tc>
          <w:tcPr>
            <w:tcW w:type="dxa" w:w="2592"/>
            <w:vAlign w:val="top"/>
          </w:tcPr>
          <w:p>
            <w:r>
              <w:rPr>
                <w:sz w:val="17"/>
              </w:rPr>
            </w:r>
            <w:r>
              <w:rPr>
                <w:b w:val="0"/>
                <w:sz w:val="17"/>
              </w:rPr>
              <w:t>Communications</w:t>
            </w:r>
          </w:p>
        </w:tc>
        <w:tc>
          <w:tcPr>
            <w:tcW w:type="dxa" w:w="2592"/>
            <w:vAlign w:val="top"/>
          </w:tcPr>
          <w:p>
            <w:r>
              <w:rPr>
                <w:sz w:val="17"/>
              </w:rPr>
            </w:r>
            <w:r>
              <w:rPr>
                <w:b w:val="0"/>
                <w:sz w:val="17"/>
              </w:rPr>
              <w:t>75 days</w:t>
            </w:r>
          </w:p>
        </w:tc>
      </w:tr>
      <w:tr>
        <w:tc>
          <w:tcPr>
            <w:tcW w:type="dxa" w:w="2592"/>
            <w:vAlign w:val="top"/>
          </w:tcPr>
          <w:p>
            <w:r>
              <w:rPr>
                <w:sz w:val="17"/>
              </w:rPr>
            </w:r>
            <w:r>
              <w:rPr>
                <w:b w:val="0"/>
                <w:sz w:val="17"/>
              </w:rPr>
              <w:t>A3.2-005</w:t>
            </w:r>
          </w:p>
        </w:tc>
        <w:tc>
          <w:tcPr>
            <w:tcW w:type="dxa" w:w="2592"/>
            <w:vAlign w:val="top"/>
          </w:tcPr>
          <w:p>
            <w:r>
              <w:rPr>
                <w:sz w:val="17"/>
              </w:rPr>
            </w:r>
            <w:r>
              <w:rPr>
                <w:b w:val="0"/>
                <w:sz w:val="17"/>
              </w:rPr>
              <w:t>Update extraction TRL matrix and define pilot test pass criteria for water ice, regolith oxygen, Mars atmospheric oxygen, Ceres volatile extraction, and Venus gas processing.</w:t>
            </w:r>
          </w:p>
        </w:tc>
        <w:tc>
          <w:tcPr>
            <w:tcW w:type="dxa" w:w="2592"/>
            <w:vAlign w:val="top"/>
          </w:tcPr>
          <w:p>
            <w:r>
              <w:rPr>
                <w:sz w:val="17"/>
              </w:rPr>
            </w:r>
            <w:r>
              <w:rPr>
                <w:b w:val="0"/>
                <w:sz w:val="17"/>
              </w:rPr>
              <w:t>Engineering</w:t>
            </w:r>
          </w:p>
        </w:tc>
        <w:tc>
          <w:tcPr>
            <w:tcW w:type="dxa" w:w="2592"/>
            <w:vAlign w:val="top"/>
          </w:tcPr>
          <w:p>
            <w:r>
              <w:rPr>
                <w:sz w:val="17"/>
              </w:rPr>
            </w:r>
            <w:r>
              <w:rPr>
                <w:b w:val="0"/>
                <w:sz w:val="17"/>
              </w:rPr>
              <w:t>90 days</w:t>
            </w:r>
          </w:p>
        </w:tc>
      </w:tr>
      <w:tr>
        <w:tc>
          <w:tcPr>
            <w:tcW w:type="dxa" w:w="2592"/>
            <w:vAlign w:val="top"/>
          </w:tcPr>
          <w:p>
            <w:r>
              <w:rPr>
                <w:sz w:val="17"/>
              </w:rPr>
            </w:r>
            <w:r>
              <w:rPr>
                <w:b w:val="0"/>
                <w:sz w:val="17"/>
              </w:rPr>
              <w:t>A3.2-006</w:t>
            </w:r>
          </w:p>
        </w:tc>
        <w:tc>
          <w:tcPr>
            <w:tcW w:type="dxa" w:w="2592"/>
            <w:vAlign w:val="top"/>
          </w:tcPr>
          <w:p>
            <w:r>
              <w:rPr>
                <w:sz w:val="17"/>
              </w:rPr>
            </w:r>
            <w:r>
              <w:rPr>
                <w:b w:val="0"/>
                <w:sz w:val="17"/>
              </w:rPr>
              <w:t>Update the financial model with resource uncertainty factors, legal contingency, pilot extraction delay risk, and spectrum filing costs.</w:t>
            </w:r>
          </w:p>
        </w:tc>
        <w:tc>
          <w:tcPr>
            <w:tcW w:type="dxa" w:w="2592"/>
            <w:vAlign w:val="top"/>
          </w:tcPr>
          <w:p>
            <w:r>
              <w:rPr>
                <w:sz w:val="17"/>
              </w:rPr>
            </w:r>
            <w:r>
              <w:rPr>
                <w:b w:val="0"/>
                <w:sz w:val="17"/>
              </w:rPr>
              <w:t>Finance</w:t>
            </w:r>
          </w:p>
        </w:tc>
        <w:tc>
          <w:tcPr>
            <w:tcW w:type="dxa" w:w="2592"/>
            <w:vAlign w:val="top"/>
          </w:tcPr>
          <w:p>
            <w:r>
              <w:rPr>
                <w:sz w:val="17"/>
              </w:rPr>
            </w:r>
            <w:r>
              <w:rPr>
                <w:b w:val="0"/>
                <w:sz w:val="17"/>
              </w:rPr>
              <w:t>120 days</w:t>
            </w:r>
          </w:p>
        </w:tc>
      </w:tr>
      <w:tr>
        <w:tc>
          <w:tcPr>
            <w:tcW w:type="dxa" w:w="2592"/>
            <w:vAlign w:val="top"/>
          </w:tcPr>
          <w:p>
            <w:r>
              <w:rPr>
                <w:sz w:val="17"/>
              </w:rPr>
            </w:r>
            <w:r>
              <w:rPr>
                <w:b w:val="0"/>
                <w:sz w:val="17"/>
              </w:rPr>
              <w:t>A3.2-007</w:t>
            </w:r>
          </w:p>
        </w:tc>
        <w:tc>
          <w:tcPr>
            <w:tcW w:type="dxa" w:w="2592"/>
            <w:vAlign w:val="top"/>
          </w:tcPr>
          <w:p>
            <w:r>
              <w:rPr>
                <w:sz w:val="17"/>
              </w:rPr>
            </w:r>
            <w:r>
              <w:rPr>
                <w:b w:val="0"/>
                <w:sz w:val="17"/>
              </w:rPr>
              <w:t>Add mission assurance checklist for nuclear power source launch safety, operational safety, notification, and disposal.</w:t>
            </w:r>
          </w:p>
        </w:tc>
        <w:tc>
          <w:tcPr>
            <w:tcW w:type="dxa" w:w="2592"/>
            <w:vAlign w:val="top"/>
          </w:tcPr>
          <w:p>
            <w:r>
              <w:rPr>
                <w:sz w:val="17"/>
              </w:rPr>
            </w:r>
            <w:r>
              <w:rPr>
                <w:b w:val="0"/>
                <w:sz w:val="17"/>
              </w:rPr>
              <w:t>Nuclear Safety</w:t>
            </w:r>
          </w:p>
        </w:tc>
        <w:tc>
          <w:tcPr>
            <w:tcW w:type="dxa" w:w="2592"/>
            <w:vAlign w:val="top"/>
          </w:tcPr>
          <w:p>
            <w:r>
              <w:rPr>
                <w:sz w:val="17"/>
              </w:rPr>
            </w:r>
            <w:r>
              <w:rPr>
                <w:b w:val="0"/>
                <w:sz w:val="17"/>
              </w:rPr>
              <w:t>120 days</w:t>
            </w:r>
          </w:p>
        </w:tc>
      </w:tr>
      <w:tr>
        <w:tc>
          <w:tcPr>
            <w:tcW w:type="dxa" w:w="2592"/>
            <w:vAlign w:val="top"/>
          </w:tcPr>
          <w:p>
            <w:r>
              <w:rPr>
                <w:sz w:val="17"/>
              </w:rPr>
            </w:r>
            <w:r>
              <w:rPr>
                <w:b w:val="0"/>
                <w:sz w:val="17"/>
              </w:rPr>
              <w:t>A3.2-008</w:t>
            </w:r>
          </w:p>
        </w:tc>
        <w:tc>
          <w:tcPr>
            <w:tcW w:type="dxa" w:w="2592"/>
            <w:vAlign w:val="top"/>
          </w:tcPr>
          <w:p>
            <w:r>
              <w:rPr>
                <w:sz w:val="17"/>
              </w:rPr>
            </w:r>
            <w:r>
              <w:rPr>
                <w:b w:val="0"/>
                <w:sz w:val="17"/>
              </w:rPr>
              <w:t>Publish the Rev 3.2 board compliance dashboard and integrate it with WBS WP32 through WP35.</w:t>
            </w:r>
          </w:p>
        </w:tc>
        <w:tc>
          <w:tcPr>
            <w:tcW w:type="dxa" w:w="2592"/>
            <w:vAlign w:val="top"/>
          </w:tcPr>
          <w:p>
            <w:r>
              <w:rPr>
                <w:sz w:val="17"/>
              </w:rPr>
            </w:r>
            <w:r>
              <w:rPr>
                <w:b w:val="0"/>
                <w:sz w:val="17"/>
              </w:rPr>
              <w:t>Program Controls</w:t>
            </w:r>
          </w:p>
        </w:tc>
        <w:tc>
          <w:tcPr>
            <w:tcW w:type="dxa" w:w="2592"/>
            <w:vAlign w:val="top"/>
          </w:tcPr>
          <w:p>
            <w:r>
              <w:rPr>
                <w:sz w:val="17"/>
              </w:rPr>
            </w:r>
            <w:r>
              <w:rPr>
                <w:b w:val="0"/>
                <w:sz w:val="17"/>
              </w:rPr>
              <w:t>150 days</w:t>
            </w:r>
          </w:p>
        </w:tc>
      </w:tr>
      <w:tr>
        <w:tc>
          <w:tcPr>
            <w:tcW w:type="dxa" w:w="2592"/>
            <w:vAlign w:val="top"/>
          </w:tcPr>
          <w:p>
            <w:r>
              <w:rPr>
                <w:sz w:val="17"/>
              </w:rPr>
            </w:r>
            <w:r>
              <w:rPr>
                <w:b w:val="0"/>
                <w:sz w:val="17"/>
              </w:rPr>
              <w:t>A3.2-009</w:t>
            </w:r>
          </w:p>
        </w:tc>
        <w:tc>
          <w:tcPr>
            <w:tcW w:type="dxa" w:w="2592"/>
            <w:vAlign w:val="top"/>
          </w:tcPr>
          <w:p>
            <w:r>
              <w:rPr>
                <w:sz w:val="17"/>
              </w:rPr>
            </w:r>
            <w:r>
              <w:rPr>
                <w:b w:val="0"/>
                <w:sz w:val="17"/>
              </w:rPr>
              <w:t>Complete partner state and anchor customer compliance assumptions before the next capital gate.</w:t>
            </w:r>
          </w:p>
        </w:tc>
        <w:tc>
          <w:tcPr>
            <w:tcW w:type="dxa" w:w="2592"/>
            <w:vAlign w:val="top"/>
          </w:tcPr>
          <w:p>
            <w:r>
              <w:rPr>
                <w:sz w:val="17"/>
              </w:rPr>
            </w:r>
            <w:r>
              <w:rPr>
                <w:b w:val="0"/>
                <w:sz w:val="17"/>
              </w:rPr>
              <w:t>Executive Office</w:t>
            </w:r>
          </w:p>
        </w:tc>
        <w:tc>
          <w:tcPr>
            <w:tcW w:type="dxa" w:w="2592"/>
            <w:vAlign w:val="top"/>
          </w:tcPr>
          <w:p>
            <w:r>
              <w:rPr>
                <w:sz w:val="17"/>
              </w:rPr>
            </w:r>
            <w:r>
              <w:rPr>
                <w:b w:val="0"/>
                <w:sz w:val="17"/>
              </w:rPr>
              <w:t>180 days</w:t>
            </w:r>
          </w:p>
        </w:tc>
      </w:tr>
    </w:tbl>
    <w:p/>
    <w:p>
      <w:pPr>
        <w:pStyle w:val="Heading2"/>
      </w:pPr>
      <w:r>
        <w:t>22.11 Updated Reference Basis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Ref</w:t>
            </w:r>
          </w:p>
        </w:tc>
        <w:tc>
          <w:tcPr>
            <w:tcW w:type="dxa" w:w="3456"/>
            <w:vAlign w:val="top"/>
          </w:tcPr>
          <w:p>
            <w:r>
              <w:rPr>
                <w:sz w:val="17"/>
              </w:rPr>
            </w:r>
            <w:r>
              <w:rPr>
                <w:b/>
                <w:sz w:val="17"/>
              </w:rPr>
              <w:t>Source</w:t>
            </w:r>
          </w:p>
        </w:tc>
        <w:tc>
          <w:tcPr>
            <w:tcW w:type="dxa" w:w="3456"/>
            <w:vAlign w:val="top"/>
          </w:tcPr>
          <w:p>
            <w:r>
              <w:rPr>
                <w:sz w:val="17"/>
              </w:rPr>
            </w:r>
            <w:r>
              <w:rPr>
                <w:b/>
                <w:sz w:val="17"/>
              </w:rPr>
              <w:t>URL</w:t>
            </w:r>
          </w:p>
        </w:tc>
      </w:tr>
      <w:tr>
        <w:tc>
          <w:tcPr>
            <w:tcW w:type="dxa" w:w="3456"/>
            <w:vAlign w:val="top"/>
          </w:tcPr>
          <w:p>
            <w:r>
              <w:rPr>
                <w:sz w:val="17"/>
              </w:rPr>
            </w:r>
            <w:r>
              <w:rPr>
                <w:b w:val="0"/>
                <w:sz w:val="17"/>
              </w:rPr>
              <w:t>R3.2-01</w:t>
            </w:r>
          </w:p>
        </w:tc>
        <w:tc>
          <w:tcPr>
            <w:tcW w:type="dxa" w:w="3456"/>
            <w:vAlign w:val="top"/>
          </w:tcPr>
          <w:p>
            <w:r>
              <w:rPr>
                <w:sz w:val="17"/>
              </w:rPr>
            </w:r>
            <w:r>
              <w:rPr>
                <w:b w:val="0"/>
                <w:sz w:val="17"/>
              </w:rPr>
              <w:t>UNOOSA Space Law Treaties and Principles</w:t>
            </w:r>
          </w:p>
        </w:tc>
        <w:tc>
          <w:tcPr>
            <w:tcW w:type="dxa" w:w="3456"/>
            <w:vAlign w:val="top"/>
          </w:tcPr>
          <w:p>
            <w:r>
              <w:rPr>
                <w:sz w:val="17"/>
              </w:rPr>
            </w:r>
            <w:r>
              <w:rPr>
                <w:b w:val="0"/>
                <w:sz w:val="17"/>
              </w:rPr>
              <w:t>https://www.unoosa.org/oosa/en/ourwork/spacelaw/treaties.html</w:t>
            </w:r>
          </w:p>
        </w:tc>
      </w:tr>
      <w:tr>
        <w:tc>
          <w:tcPr>
            <w:tcW w:type="dxa" w:w="3456"/>
            <w:vAlign w:val="top"/>
          </w:tcPr>
          <w:p>
            <w:r>
              <w:rPr>
                <w:sz w:val="17"/>
              </w:rPr>
            </w:r>
            <w:r>
              <w:rPr>
                <w:b w:val="0"/>
                <w:sz w:val="17"/>
              </w:rPr>
              <w:t>R3.2-02</w:t>
            </w:r>
          </w:p>
        </w:tc>
        <w:tc>
          <w:tcPr>
            <w:tcW w:type="dxa" w:w="3456"/>
            <w:vAlign w:val="top"/>
          </w:tcPr>
          <w:p>
            <w:r>
              <w:rPr>
                <w:sz w:val="17"/>
              </w:rPr>
            </w:r>
            <w:r>
              <w:rPr>
                <w:b w:val="0"/>
                <w:sz w:val="17"/>
              </w:rPr>
              <w:t>UNOOSA treaty status topic 6</w:t>
            </w:r>
          </w:p>
        </w:tc>
        <w:tc>
          <w:tcPr>
            <w:tcW w:type="dxa" w:w="3456"/>
            <w:vAlign w:val="top"/>
          </w:tcPr>
          <w:p>
            <w:r>
              <w:rPr>
                <w:sz w:val="17"/>
              </w:rPr>
            </w:r>
            <w:r>
              <w:rPr>
                <w:b w:val="0"/>
                <w:sz w:val="17"/>
              </w:rPr>
              <w:t>https://www.unoosa.org/oosa/en/ourwork/copuos/lsc/wg-tre/tre-topic6.html</w:t>
            </w:r>
          </w:p>
        </w:tc>
      </w:tr>
      <w:tr>
        <w:tc>
          <w:tcPr>
            <w:tcW w:type="dxa" w:w="3456"/>
            <w:vAlign w:val="top"/>
          </w:tcPr>
          <w:p>
            <w:r>
              <w:rPr>
                <w:sz w:val="17"/>
              </w:rPr>
            </w:r>
            <w:r>
              <w:rPr>
                <w:b w:val="0"/>
                <w:sz w:val="17"/>
              </w:rPr>
              <w:t>R3.2-03</w:t>
            </w:r>
          </w:p>
        </w:tc>
        <w:tc>
          <w:tcPr>
            <w:tcW w:type="dxa" w:w="3456"/>
            <w:vAlign w:val="top"/>
          </w:tcPr>
          <w:p>
            <w:r>
              <w:rPr>
                <w:sz w:val="17"/>
              </w:rPr>
            </w:r>
            <w:r>
              <w:rPr>
                <w:b w:val="0"/>
                <w:sz w:val="17"/>
              </w:rPr>
              <w:t>COPUOS Legal Subcommittee Working Group on Space Resource Activities</w:t>
            </w:r>
          </w:p>
        </w:tc>
        <w:tc>
          <w:tcPr>
            <w:tcW w:type="dxa" w:w="3456"/>
            <w:vAlign w:val="top"/>
          </w:tcPr>
          <w:p>
            <w:r>
              <w:rPr>
                <w:sz w:val="17"/>
              </w:rPr>
            </w:r>
            <w:r>
              <w:rPr>
                <w:b w:val="0"/>
                <w:sz w:val="17"/>
              </w:rPr>
              <w:t>https://www.unoosa.org/oosa/en/ourwork/copuos/lsc/space-resources/index.html</w:t>
            </w:r>
          </w:p>
        </w:tc>
      </w:tr>
      <w:tr>
        <w:tc>
          <w:tcPr>
            <w:tcW w:type="dxa" w:w="3456"/>
            <w:vAlign w:val="top"/>
          </w:tcPr>
          <w:p>
            <w:r>
              <w:rPr>
                <w:sz w:val="17"/>
              </w:rPr>
            </w:r>
            <w:r>
              <w:rPr>
                <w:b w:val="0"/>
                <w:sz w:val="17"/>
              </w:rPr>
              <w:t>R3.2-04</w:t>
            </w:r>
          </w:p>
        </w:tc>
        <w:tc>
          <w:tcPr>
            <w:tcW w:type="dxa" w:w="3456"/>
            <w:vAlign w:val="top"/>
          </w:tcPr>
          <w:p>
            <w:r>
              <w:rPr>
                <w:sz w:val="17"/>
              </w:rPr>
            </w:r>
            <w:r>
              <w:rPr>
                <w:b w:val="0"/>
                <w:sz w:val="17"/>
              </w:rPr>
              <w:t>NASA Artemis Accords</w:t>
            </w:r>
          </w:p>
        </w:tc>
        <w:tc>
          <w:tcPr>
            <w:tcW w:type="dxa" w:w="3456"/>
            <w:vAlign w:val="top"/>
          </w:tcPr>
          <w:p>
            <w:r>
              <w:rPr>
                <w:sz w:val="17"/>
              </w:rPr>
            </w:r>
            <w:r>
              <w:rPr>
                <w:b w:val="0"/>
                <w:sz w:val="17"/>
              </w:rPr>
              <w:t>https://www.nasa.gov/artemis-accords/</w:t>
            </w:r>
          </w:p>
        </w:tc>
      </w:tr>
      <w:tr>
        <w:tc>
          <w:tcPr>
            <w:tcW w:type="dxa" w:w="3456"/>
            <w:vAlign w:val="top"/>
          </w:tcPr>
          <w:p>
            <w:r>
              <w:rPr>
                <w:sz w:val="17"/>
              </w:rPr>
            </w:r>
            <w:r>
              <w:rPr>
                <w:b w:val="0"/>
                <w:sz w:val="17"/>
              </w:rPr>
              <w:t>R3.2-05</w:t>
            </w:r>
          </w:p>
        </w:tc>
        <w:tc>
          <w:tcPr>
            <w:tcW w:type="dxa" w:w="3456"/>
            <w:vAlign w:val="top"/>
          </w:tcPr>
          <w:p>
            <w:r>
              <w:rPr>
                <w:sz w:val="17"/>
              </w:rPr>
            </w:r>
            <w:r>
              <w:rPr>
                <w:b w:val="0"/>
                <w:sz w:val="17"/>
              </w:rPr>
              <w:t>COSPAR Panel on Planetary Protection</w:t>
            </w:r>
          </w:p>
        </w:tc>
        <w:tc>
          <w:tcPr>
            <w:tcW w:type="dxa" w:w="3456"/>
            <w:vAlign w:val="top"/>
          </w:tcPr>
          <w:p>
            <w:r>
              <w:rPr>
                <w:sz w:val="17"/>
              </w:rPr>
            </w:r>
            <w:r>
              <w:rPr>
                <w:b w:val="0"/>
                <w:sz w:val="17"/>
              </w:rPr>
              <w:t>https://cosparhq.cnes.fr/scientific-structure/panels/panel-on-planetary-protection-ppp/</w:t>
            </w:r>
          </w:p>
        </w:tc>
      </w:tr>
      <w:tr>
        <w:tc>
          <w:tcPr>
            <w:tcW w:type="dxa" w:w="3456"/>
            <w:vAlign w:val="top"/>
          </w:tcPr>
          <w:p>
            <w:r>
              <w:rPr>
                <w:sz w:val="17"/>
              </w:rPr>
            </w:r>
            <w:r>
              <w:rPr>
                <w:b w:val="0"/>
                <w:sz w:val="17"/>
              </w:rPr>
              <w:t>R3.2-06</w:t>
            </w:r>
          </w:p>
        </w:tc>
        <w:tc>
          <w:tcPr>
            <w:tcW w:type="dxa" w:w="3456"/>
            <w:vAlign w:val="top"/>
          </w:tcPr>
          <w:p>
            <w:r>
              <w:rPr>
                <w:sz w:val="17"/>
              </w:rPr>
            </w:r>
            <w:r>
              <w:rPr>
                <w:b w:val="0"/>
                <w:sz w:val="17"/>
              </w:rPr>
              <w:t>UNOOSA Long Term Sustainability Guidelines</w:t>
            </w:r>
          </w:p>
        </w:tc>
        <w:tc>
          <w:tcPr>
            <w:tcW w:type="dxa" w:w="3456"/>
            <w:vAlign w:val="top"/>
          </w:tcPr>
          <w:p>
            <w:r>
              <w:rPr>
                <w:sz w:val="17"/>
              </w:rPr>
            </w:r>
            <w:r>
              <w:rPr>
                <w:b w:val="0"/>
                <w:sz w:val="17"/>
              </w:rPr>
              <w:t>https://www.unoosa.org/oosa/en/ourwork/topics/long-term-sustainability-of-outer-space-activities.html</w:t>
            </w:r>
          </w:p>
        </w:tc>
      </w:tr>
      <w:tr>
        <w:tc>
          <w:tcPr>
            <w:tcW w:type="dxa" w:w="3456"/>
            <w:vAlign w:val="top"/>
          </w:tcPr>
          <w:p>
            <w:r>
              <w:rPr>
                <w:sz w:val="17"/>
              </w:rPr>
            </w:r>
            <w:r>
              <w:rPr>
                <w:b w:val="0"/>
                <w:sz w:val="17"/>
              </w:rPr>
              <w:t>R3.2-07</w:t>
            </w:r>
          </w:p>
        </w:tc>
        <w:tc>
          <w:tcPr>
            <w:tcW w:type="dxa" w:w="3456"/>
            <w:vAlign w:val="top"/>
          </w:tcPr>
          <w:p>
            <w:r>
              <w:rPr>
                <w:sz w:val="17"/>
              </w:rPr>
            </w:r>
            <w:r>
              <w:rPr>
                <w:b w:val="0"/>
                <w:sz w:val="17"/>
              </w:rPr>
              <w:t>ITU Space Services Department</w:t>
            </w:r>
          </w:p>
        </w:tc>
        <w:tc>
          <w:tcPr>
            <w:tcW w:type="dxa" w:w="3456"/>
            <w:vAlign w:val="top"/>
          </w:tcPr>
          <w:p>
            <w:r>
              <w:rPr>
                <w:sz w:val="17"/>
              </w:rPr>
            </w:r>
            <w:r>
              <w:rPr>
                <w:b w:val="0"/>
                <w:sz w:val="17"/>
              </w:rPr>
              <w:t>https://www.itu.int/en/ITU-R/space/Pages/default.aspx</w:t>
            </w:r>
          </w:p>
        </w:tc>
      </w:tr>
      <w:tr>
        <w:tc>
          <w:tcPr>
            <w:tcW w:type="dxa" w:w="3456"/>
            <w:vAlign w:val="top"/>
          </w:tcPr>
          <w:p>
            <w:r>
              <w:rPr>
                <w:sz w:val="17"/>
              </w:rPr>
            </w:r>
            <w:r>
              <w:rPr>
                <w:b w:val="0"/>
                <w:sz w:val="17"/>
              </w:rPr>
              <w:t>R3.2-08</w:t>
            </w:r>
          </w:p>
        </w:tc>
        <w:tc>
          <w:tcPr>
            <w:tcW w:type="dxa" w:w="3456"/>
            <w:vAlign w:val="top"/>
          </w:tcPr>
          <w:p>
            <w:r>
              <w:rPr>
                <w:sz w:val="17"/>
              </w:rPr>
            </w:r>
            <w:r>
              <w:rPr>
                <w:b w:val="0"/>
                <w:sz w:val="17"/>
              </w:rPr>
              <w:t>UNOOSA Nuclear Power Sources</w:t>
            </w:r>
          </w:p>
        </w:tc>
        <w:tc>
          <w:tcPr>
            <w:tcW w:type="dxa" w:w="3456"/>
            <w:vAlign w:val="top"/>
          </w:tcPr>
          <w:p>
            <w:r>
              <w:rPr>
                <w:sz w:val="17"/>
              </w:rPr>
            </w:r>
            <w:r>
              <w:rPr>
                <w:b w:val="0"/>
                <w:sz w:val="17"/>
              </w:rPr>
              <w:t>https://www.unoosa.org/oosa/en/ourwork/topics/nps.html</w:t>
            </w:r>
          </w:p>
        </w:tc>
      </w:tr>
      <w:tr>
        <w:tc>
          <w:tcPr>
            <w:tcW w:type="dxa" w:w="3456"/>
            <w:vAlign w:val="top"/>
          </w:tcPr>
          <w:p>
            <w:r>
              <w:rPr>
                <w:sz w:val="17"/>
              </w:rPr>
            </w:r>
            <w:r>
              <w:rPr>
                <w:b w:val="0"/>
                <w:sz w:val="17"/>
              </w:rPr>
              <w:t>R3.2-09</w:t>
            </w:r>
          </w:p>
        </w:tc>
        <w:tc>
          <w:tcPr>
            <w:tcW w:type="dxa" w:w="3456"/>
            <w:vAlign w:val="top"/>
          </w:tcPr>
          <w:p>
            <w:r>
              <w:rPr>
                <w:sz w:val="17"/>
              </w:rPr>
            </w:r>
            <w:r>
              <w:rPr>
                <w:b w:val="0"/>
                <w:sz w:val="17"/>
              </w:rPr>
              <w:t>NASA Moon to Mars Architecture Definition Documents</w:t>
            </w:r>
          </w:p>
        </w:tc>
        <w:tc>
          <w:tcPr>
            <w:tcW w:type="dxa" w:w="3456"/>
            <w:vAlign w:val="top"/>
          </w:tcPr>
          <w:p>
            <w:r>
              <w:rPr>
                <w:sz w:val="17"/>
              </w:rPr>
            </w:r>
            <w:r>
              <w:rPr>
                <w:b w:val="0"/>
                <w:sz w:val="17"/>
              </w:rPr>
              <w:t>https://www.nasa.gov/moontomarsarchitecture-architecturedefinitiondocuments/</w:t>
            </w:r>
          </w:p>
        </w:tc>
      </w:tr>
      <w:tr>
        <w:tc>
          <w:tcPr>
            <w:tcW w:type="dxa" w:w="3456"/>
            <w:vAlign w:val="top"/>
          </w:tcPr>
          <w:p>
            <w:r>
              <w:rPr>
                <w:sz w:val="17"/>
              </w:rPr>
            </w:r>
            <w:r>
              <w:rPr>
                <w:b w:val="0"/>
                <w:sz w:val="17"/>
              </w:rPr>
              <w:t>R3.2-10</w:t>
            </w:r>
          </w:p>
        </w:tc>
        <w:tc>
          <w:tcPr>
            <w:tcW w:type="dxa" w:w="3456"/>
            <w:vAlign w:val="top"/>
          </w:tcPr>
          <w:p>
            <w:r>
              <w:rPr>
                <w:sz w:val="17"/>
              </w:rPr>
            </w:r>
            <w:r>
              <w:rPr>
                <w:b w:val="0"/>
                <w:sz w:val="17"/>
              </w:rPr>
              <w:t>NASA Moon Base Rovers, Landers, Missions update, May 2026</w:t>
            </w:r>
          </w:p>
        </w:tc>
        <w:tc>
          <w:tcPr>
            <w:tcW w:type="dxa" w:w="3456"/>
            <w:vAlign w:val="top"/>
          </w:tcPr>
          <w:p>
            <w:r>
              <w:rPr>
                <w:sz w:val="17"/>
              </w:rPr>
            </w:r>
            <w:r>
              <w:rPr>
                <w:b w:val="0"/>
                <w:sz w:val="17"/>
              </w:rPr>
              <w:t>https://www.nasa.gov/news-release/nasa-provides-update-on-moon-base-rovers-landers-missions/</w:t>
            </w:r>
          </w:p>
        </w:tc>
      </w:tr>
      <w:tr>
        <w:tc>
          <w:tcPr>
            <w:tcW w:type="dxa" w:w="3456"/>
            <w:vAlign w:val="top"/>
          </w:tcPr>
          <w:p>
            <w:r>
              <w:rPr>
                <w:sz w:val="17"/>
              </w:rPr>
            </w:r>
            <w:r>
              <w:rPr>
                <w:b w:val="0"/>
                <w:sz w:val="17"/>
              </w:rPr>
              <w:t>R3.2-11</w:t>
            </w:r>
          </w:p>
        </w:tc>
        <w:tc>
          <w:tcPr>
            <w:tcW w:type="dxa" w:w="3456"/>
            <w:vAlign w:val="top"/>
          </w:tcPr>
          <w:p>
            <w:r>
              <w:rPr>
                <w:sz w:val="17"/>
              </w:rPr>
            </w:r>
            <w:r>
              <w:rPr>
                <w:b w:val="0"/>
                <w:sz w:val="17"/>
              </w:rPr>
              <w:t>NASA Lunar Surface Innovation Initiative</w:t>
            </w:r>
          </w:p>
        </w:tc>
        <w:tc>
          <w:tcPr>
            <w:tcW w:type="dxa" w:w="3456"/>
            <w:vAlign w:val="top"/>
          </w:tcPr>
          <w:p>
            <w:r>
              <w:rPr>
                <w:sz w:val="17"/>
              </w:rPr>
            </w:r>
            <w:r>
              <w:rPr>
                <w:b w:val="0"/>
                <w:sz w:val="17"/>
              </w:rPr>
              <w:t>https://www.nasa.gov/space-technology-mission-directorate/lunar-surface-innovation-initiative/</w:t>
            </w:r>
          </w:p>
        </w:tc>
      </w:tr>
      <w:tr>
        <w:tc>
          <w:tcPr>
            <w:tcW w:type="dxa" w:w="3456"/>
            <w:vAlign w:val="top"/>
          </w:tcPr>
          <w:p>
            <w:r>
              <w:rPr>
                <w:sz w:val="17"/>
              </w:rPr>
            </w:r>
            <w:r>
              <w:rPr>
                <w:b w:val="0"/>
                <w:sz w:val="17"/>
              </w:rPr>
              <w:t>R3.2-12</w:t>
            </w:r>
          </w:p>
        </w:tc>
        <w:tc>
          <w:tcPr>
            <w:tcW w:type="dxa" w:w="3456"/>
            <w:vAlign w:val="top"/>
          </w:tcPr>
          <w:p>
            <w:r>
              <w:rPr>
                <w:sz w:val="17"/>
              </w:rPr>
            </w:r>
            <w:r>
              <w:rPr>
                <w:b w:val="0"/>
                <w:sz w:val="17"/>
              </w:rPr>
              <w:t>NASA and DOE Lunar Surface Reactor by 2030</w:t>
            </w:r>
          </w:p>
        </w:tc>
        <w:tc>
          <w:tcPr>
            <w:tcW w:type="dxa" w:w="3456"/>
            <w:vAlign w:val="top"/>
          </w:tcPr>
          <w:p>
            <w:r>
              <w:rPr>
                <w:sz w:val="17"/>
              </w:rPr>
            </w:r>
            <w:r>
              <w:rPr>
                <w:b w:val="0"/>
                <w:sz w:val="17"/>
              </w:rPr>
              <w:t>https://www.nasa.gov/news-release/nasa-department-of-energy-to-develop-lunar-surface-reactor-by-2030/</w:t>
            </w:r>
          </w:p>
        </w:tc>
      </w:tr>
      <w:tr>
        <w:tc>
          <w:tcPr>
            <w:tcW w:type="dxa" w:w="3456"/>
            <w:vAlign w:val="top"/>
          </w:tcPr>
          <w:p>
            <w:r>
              <w:rPr>
                <w:sz w:val="17"/>
              </w:rPr>
            </w:r>
            <w:r>
              <w:rPr>
                <w:b w:val="0"/>
                <w:sz w:val="17"/>
              </w:rPr>
              <w:t>R3.2-13</w:t>
            </w:r>
          </w:p>
        </w:tc>
        <w:tc>
          <w:tcPr>
            <w:tcW w:type="dxa" w:w="3456"/>
            <w:vAlign w:val="top"/>
          </w:tcPr>
          <w:p>
            <w:r>
              <w:rPr>
                <w:sz w:val="17"/>
              </w:rPr>
            </w:r>
            <w:r>
              <w:rPr>
                <w:b w:val="0"/>
                <w:sz w:val="17"/>
              </w:rPr>
              <w:t>NASA MOXIE completion</w:t>
            </w:r>
          </w:p>
        </w:tc>
        <w:tc>
          <w:tcPr>
            <w:tcW w:type="dxa" w:w="3456"/>
            <w:vAlign w:val="top"/>
          </w:tcPr>
          <w:p>
            <w:r>
              <w:rPr>
                <w:sz w:val="17"/>
              </w:rPr>
            </w:r>
            <w:r>
              <w:rPr>
                <w:b w:val="0"/>
                <w:sz w:val="17"/>
              </w:rPr>
              <w:t>https://www.nasa.gov/missions/mars-2020-perseverance/perseverance-rover/nasas-oxygen-generating-experiment-moxie-completes-mars-mission/</w:t>
            </w:r>
          </w:p>
        </w:tc>
      </w:tr>
      <w:tr>
        <w:tc>
          <w:tcPr>
            <w:tcW w:type="dxa" w:w="3456"/>
            <w:vAlign w:val="top"/>
          </w:tcPr>
          <w:p>
            <w:r>
              <w:rPr>
                <w:sz w:val="17"/>
              </w:rPr>
            </w:r>
            <w:r>
              <w:rPr>
                <w:b w:val="0"/>
                <w:sz w:val="17"/>
              </w:rPr>
              <w:t>R3.2-14</w:t>
            </w:r>
          </w:p>
        </w:tc>
        <w:tc>
          <w:tcPr>
            <w:tcW w:type="dxa" w:w="3456"/>
            <w:vAlign w:val="top"/>
          </w:tcPr>
          <w:p>
            <w:r>
              <w:rPr>
                <w:sz w:val="17"/>
              </w:rPr>
            </w:r>
            <w:r>
              <w:rPr>
                <w:b w:val="0"/>
                <w:sz w:val="17"/>
              </w:rPr>
              <w:t>NASA Moon Water and Ices</w:t>
            </w:r>
          </w:p>
        </w:tc>
        <w:tc>
          <w:tcPr>
            <w:tcW w:type="dxa" w:w="3456"/>
            <w:vAlign w:val="top"/>
          </w:tcPr>
          <w:p>
            <w:r>
              <w:rPr>
                <w:sz w:val="17"/>
              </w:rPr>
            </w:r>
            <w:r>
              <w:rPr>
                <w:b w:val="0"/>
                <w:sz w:val="17"/>
              </w:rPr>
              <w:t>https://science.nasa.gov/moon/moon-water-and-ices/</w:t>
            </w:r>
          </w:p>
        </w:tc>
      </w:tr>
      <w:tr>
        <w:tc>
          <w:tcPr>
            <w:tcW w:type="dxa" w:w="3456"/>
            <w:vAlign w:val="top"/>
          </w:tcPr>
          <w:p>
            <w:r>
              <w:rPr>
                <w:sz w:val="17"/>
              </w:rPr>
            </w:r>
            <w:r>
              <w:rPr>
                <w:b w:val="0"/>
                <w:sz w:val="17"/>
              </w:rPr>
              <w:t>R3.2-15</w:t>
            </w:r>
          </w:p>
        </w:tc>
        <w:tc>
          <w:tcPr>
            <w:tcW w:type="dxa" w:w="3456"/>
            <w:vAlign w:val="top"/>
          </w:tcPr>
          <w:p>
            <w:r>
              <w:rPr>
                <w:sz w:val="17"/>
              </w:rPr>
            </w:r>
            <w:r>
              <w:rPr>
                <w:b w:val="0"/>
                <w:sz w:val="17"/>
              </w:rPr>
              <w:t>JPL Mercury water ice evidence</w:t>
            </w:r>
          </w:p>
        </w:tc>
        <w:tc>
          <w:tcPr>
            <w:tcW w:type="dxa" w:w="3456"/>
            <w:vAlign w:val="top"/>
          </w:tcPr>
          <w:p>
            <w:r>
              <w:rPr>
                <w:sz w:val="17"/>
              </w:rPr>
            </w:r>
            <w:r>
              <w:rPr>
                <w:b w:val="0"/>
                <w:sz w:val="17"/>
              </w:rPr>
              <w:t>https://www.jpl.nasa.gov/news/nasa-spacecraft-finds-new-mercury-water-ice-evidence/</w:t>
            </w:r>
          </w:p>
        </w:tc>
      </w:tr>
      <w:tr>
        <w:tc>
          <w:tcPr>
            <w:tcW w:type="dxa" w:w="3456"/>
            <w:vAlign w:val="top"/>
          </w:tcPr>
          <w:p>
            <w:r>
              <w:rPr>
                <w:sz w:val="17"/>
              </w:rPr>
            </w:r>
            <w:r>
              <w:rPr>
                <w:b w:val="0"/>
                <w:sz w:val="17"/>
              </w:rPr>
              <w:t>R3.2-16</w:t>
            </w:r>
          </w:p>
        </w:tc>
        <w:tc>
          <w:tcPr>
            <w:tcW w:type="dxa" w:w="3456"/>
            <w:vAlign w:val="top"/>
          </w:tcPr>
          <w:p>
            <w:r>
              <w:rPr>
                <w:sz w:val="17"/>
              </w:rPr>
            </w:r>
            <w:r>
              <w:rPr>
                <w:b w:val="0"/>
                <w:sz w:val="17"/>
              </w:rPr>
              <w:t>Nature Bennu evaporite sequence</w:t>
            </w:r>
          </w:p>
        </w:tc>
        <w:tc>
          <w:tcPr>
            <w:tcW w:type="dxa" w:w="3456"/>
            <w:vAlign w:val="top"/>
          </w:tcPr>
          <w:p>
            <w:r>
              <w:rPr>
                <w:sz w:val="17"/>
              </w:rPr>
            </w:r>
            <w:r>
              <w:rPr>
                <w:b w:val="0"/>
                <w:sz w:val="17"/>
              </w:rPr>
              <w:t>https://www.nature.com/articles/s41586-024-08495-6</w:t>
            </w:r>
          </w:p>
        </w:tc>
      </w:tr>
      <w:tr>
        <w:tc>
          <w:tcPr>
            <w:tcW w:type="dxa" w:w="3456"/>
            <w:vAlign w:val="top"/>
          </w:tcPr>
          <w:p>
            <w:r>
              <w:rPr>
                <w:sz w:val="17"/>
              </w:rPr>
            </w:r>
            <w:r>
              <w:rPr>
                <w:b w:val="0"/>
                <w:sz w:val="17"/>
              </w:rPr>
              <w:t>R3.2-17</w:t>
            </w:r>
          </w:p>
        </w:tc>
        <w:tc>
          <w:tcPr>
            <w:tcW w:type="dxa" w:w="3456"/>
            <w:vAlign w:val="top"/>
          </w:tcPr>
          <w:p>
            <w:r>
              <w:rPr>
                <w:sz w:val="17"/>
              </w:rPr>
            </w:r>
            <w:r>
              <w:rPr>
                <w:b w:val="0"/>
                <w:sz w:val="17"/>
              </w:rPr>
              <w:t>JAXA Ryugu salt crystals</w:t>
            </w:r>
          </w:p>
        </w:tc>
        <w:tc>
          <w:tcPr>
            <w:tcW w:type="dxa" w:w="3456"/>
            <w:vAlign w:val="top"/>
          </w:tcPr>
          <w:p>
            <w:r>
              <w:rPr>
                <w:sz w:val="17"/>
              </w:rPr>
            </w:r>
            <w:r>
              <w:rPr>
                <w:b w:val="0"/>
                <w:sz w:val="17"/>
              </w:rPr>
              <w:t>https://www.isas.jaxa.jp/en/topics/003879.html</w:t>
            </w:r>
          </w:p>
        </w:tc>
      </w:tr>
      <w:tr>
        <w:tc>
          <w:tcPr>
            <w:tcW w:type="dxa" w:w="3456"/>
            <w:vAlign w:val="top"/>
          </w:tcPr>
          <w:p>
            <w:r>
              <w:rPr>
                <w:sz w:val="17"/>
              </w:rPr>
            </w:r>
            <w:r>
              <w:rPr>
                <w:b w:val="0"/>
                <w:sz w:val="17"/>
              </w:rPr>
              <w:t>R3.2-18</w:t>
            </w:r>
          </w:p>
        </w:tc>
        <w:tc>
          <w:tcPr>
            <w:tcW w:type="dxa" w:w="3456"/>
            <w:vAlign w:val="top"/>
          </w:tcPr>
          <w:p>
            <w:r>
              <w:rPr>
                <w:sz w:val="17"/>
              </w:rPr>
            </w:r>
            <w:r>
              <w:rPr>
                <w:b w:val="0"/>
                <w:sz w:val="17"/>
              </w:rPr>
              <w:t>JPL Ceres organics</w:t>
            </w:r>
          </w:p>
        </w:tc>
        <w:tc>
          <w:tcPr>
            <w:tcW w:type="dxa" w:w="3456"/>
            <w:vAlign w:val="top"/>
          </w:tcPr>
          <w:p>
            <w:r>
              <w:rPr>
                <w:sz w:val="17"/>
              </w:rPr>
            </w:r>
            <w:r>
              <w:rPr>
                <w:b w:val="0"/>
                <w:sz w:val="17"/>
              </w:rPr>
              <w:t>https://www.jpl.nasa.gov/news/dawn-discovers-evidence-for-organic-material-on-ceres/</w:t>
            </w:r>
          </w:p>
        </w:tc>
      </w:tr>
      <w:tr>
        <w:tc>
          <w:tcPr>
            <w:tcW w:type="dxa" w:w="3456"/>
            <w:vAlign w:val="top"/>
          </w:tcPr>
          <w:p>
            <w:r>
              <w:rPr>
                <w:sz w:val="17"/>
              </w:rPr>
            </w:r>
            <w:r>
              <w:rPr>
                <w:b w:val="0"/>
                <w:sz w:val="17"/>
              </w:rPr>
              <w:t>R3.2-19</w:t>
            </w:r>
          </w:p>
        </w:tc>
        <w:tc>
          <w:tcPr>
            <w:tcW w:type="dxa" w:w="3456"/>
            <w:vAlign w:val="top"/>
          </w:tcPr>
          <w:p>
            <w:r>
              <w:rPr>
                <w:sz w:val="17"/>
              </w:rPr>
            </w:r>
            <w:r>
              <w:rPr>
                <w:b w:val="0"/>
                <w:sz w:val="17"/>
              </w:rPr>
              <w:t>NASA Asteroid Facts</w:t>
            </w:r>
          </w:p>
        </w:tc>
        <w:tc>
          <w:tcPr>
            <w:tcW w:type="dxa" w:w="3456"/>
            <w:vAlign w:val="top"/>
          </w:tcPr>
          <w:p>
            <w:r>
              <w:rPr>
                <w:sz w:val="17"/>
              </w:rPr>
            </w:r>
            <w:r>
              <w:rPr>
                <w:b w:val="0"/>
                <w:sz w:val="17"/>
              </w:rPr>
              <w:t>https://science.nasa.gov/solar-system/asteroids/facts/</w:t>
            </w:r>
          </w:p>
        </w:tc>
      </w:tr>
      <w:tr>
        <w:tc>
          <w:tcPr>
            <w:tcW w:type="dxa" w:w="3456"/>
            <w:vAlign w:val="top"/>
          </w:tcPr>
          <w:p>
            <w:r>
              <w:rPr>
                <w:sz w:val="17"/>
              </w:rPr>
            </w:r>
            <w:r>
              <w:rPr>
                <w:b w:val="0"/>
                <w:sz w:val="17"/>
              </w:rPr>
              <w:t>R3.2-20</w:t>
            </w:r>
          </w:p>
        </w:tc>
        <w:tc>
          <w:tcPr>
            <w:tcW w:type="dxa" w:w="3456"/>
            <w:vAlign w:val="top"/>
          </w:tcPr>
          <w:p>
            <w:r>
              <w:rPr>
                <w:sz w:val="17"/>
              </w:rPr>
            </w:r>
            <w:r>
              <w:rPr>
                <w:b w:val="0"/>
                <w:sz w:val="17"/>
              </w:rPr>
              <w:t>NASA Psyche</w:t>
            </w:r>
          </w:p>
        </w:tc>
        <w:tc>
          <w:tcPr>
            <w:tcW w:type="dxa" w:w="3456"/>
            <w:vAlign w:val="top"/>
          </w:tcPr>
          <w:p>
            <w:r>
              <w:rPr>
                <w:sz w:val="17"/>
              </w:rPr>
            </w:r>
            <w:r>
              <w:rPr>
                <w:b w:val="0"/>
                <w:sz w:val="17"/>
              </w:rPr>
              <w:t>https://science.nasa.gov/solar-system/asteroids/16-psyche/</w:t>
            </w:r>
          </w:p>
        </w:tc>
      </w:tr>
      <w:tr>
        <w:tc>
          <w:tcPr>
            <w:tcW w:type="dxa" w:w="3456"/>
            <w:vAlign w:val="top"/>
          </w:tcPr>
          <w:p>
            <w:r>
              <w:rPr>
                <w:sz w:val="17"/>
              </w:rPr>
            </w:r>
            <w:r>
              <w:rPr>
                <w:b w:val="0"/>
                <w:sz w:val="17"/>
              </w:rPr>
              <w:t>R3.2-21</w:t>
            </w:r>
          </w:p>
        </w:tc>
        <w:tc>
          <w:tcPr>
            <w:tcW w:type="dxa" w:w="3456"/>
            <w:vAlign w:val="top"/>
          </w:tcPr>
          <w:p>
            <w:r>
              <w:rPr>
                <w:sz w:val="17"/>
              </w:rPr>
            </w:r>
            <w:r>
              <w:rPr>
                <w:b w:val="0"/>
                <w:sz w:val="17"/>
              </w:rPr>
              <w:t>NASA Venus Facts</w:t>
            </w:r>
          </w:p>
        </w:tc>
        <w:tc>
          <w:tcPr>
            <w:tcW w:type="dxa" w:w="3456"/>
            <w:vAlign w:val="top"/>
          </w:tcPr>
          <w:p>
            <w:r>
              <w:rPr>
                <w:sz w:val="17"/>
              </w:rPr>
            </w:r>
            <w:r>
              <w:rPr>
                <w:b w:val="0"/>
                <w:sz w:val="17"/>
              </w:rPr>
              <w:t>https://science.nasa.gov/venus/venus-facts/</w:t>
            </w:r>
          </w:p>
        </w:tc>
      </w:tr>
      <w:tr>
        <w:tc>
          <w:tcPr>
            <w:tcW w:type="dxa" w:w="3456"/>
            <w:vAlign w:val="top"/>
          </w:tcPr>
          <w:p>
            <w:r>
              <w:rPr>
                <w:sz w:val="17"/>
              </w:rPr>
            </w:r>
            <w:r>
              <w:rPr>
                <w:b w:val="0"/>
                <w:sz w:val="17"/>
              </w:rPr>
              <w:t>R3.2-22</w:t>
            </w:r>
          </w:p>
        </w:tc>
        <w:tc>
          <w:tcPr>
            <w:tcW w:type="dxa" w:w="3456"/>
            <w:vAlign w:val="top"/>
          </w:tcPr>
          <w:p>
            <w:r>
              <w:rPr>
                <w:sz w:val="17"/>
              </w:rPr>
            </w:r>
            <w:r>
              <w:rPr>
                <w:b w:val="0"/>
                <w:sz w:val="17"/>
              </w:rPr>
              <w:t>NASA HAVOC</w:t>
            </w:r>
          </w:p>
        </w:tc>
        <w:tc>
          <w:tcPr>
            <w:tcW w:type="dxa" w:w="3456"/>
            <w:vAlign w:val="top"/>
          </w:tcPr>
          <w:p>
            <w:r>
              <w:rPr>
                <w:sz w:val="17"/>
              </w:rPr>
            </w:r>
            <w:r>
              <w:rPr>
                <w:b w:val="0"/>
                <w:sz w:val="17"/>
              </w:rPr>
              <w:t>https://www.nasa.gov/general/havoc/</w:t>
            </w:r>
          </w:p>
        </w:tc>
      </w:tr>
      <w:tr>
        <w:tc>
          <w:tcPr>
            <w:tcW w:type="dxa" w:w="3456"/>
            <w:vAlign w:val="top"/>
          </w:tcPr>
          <w:p>
            <w:r>
              <w:rPr>
                <w:sz w:val="17"/>
              </w:rPr>
            </w:r>
            <w:r>
              <w:rPr>
                <w:b w:val="0"/>
                <w:sz w:val="17"/>
              </w:rPr>
              <w:t>R3.2-23</w:t>
            </w:r>
          </w:p>
        </w:tc>
        <w:tc>
          <w:tcPr>
            <w:tcW w:type="dxa" w:w="3456"/>
            <w:vAlign w:val="top"/>
          </w:tcPr>
          <w:p>
            <w:r>
              <w:rPr>
                <w:sz w:val="17"/>
              </w:rPr>
            </w:r>
            <w:r>
              <w:rPr>
                <w:b w:val="0"/>
                <w:sz w:val="17"/>
              </w:rPr>
              <w:t>United States 51 USC 51303</w:t>
            </w:r>
          </w:p>
        </w:tc>
        <w:tc>
          <w:tcPr>
            <w:tcW w:type="dxa" w:w="3456"/>
            <w:vAlign w:val="top"/>
          </w:tcPr>
          <w:p>
            <w:r>
              <w:rPr>
                <w:sz w:val="17"/>
              </w:rPr>
            </w:r>
            <w:r>
              <w:rPr>
                <w:b w:val="0"/>
                <w:sz w:val="17"/>
              </w:rPr>
              <w:t>https://www.law.cornell.edu/uscode/text/51/51303</w:t>
            </w:r>
          </w:p>
        </w:tc>
      </w:tr>
      <w:tr>
        <w:tc>
          <w:tcPr>
            <w:tcW w:type="dxa" w:w="3456"/>
            <w:vAlign w:val="top"/>
          </w:tcPr>
          <w:p>
            <w:r>
              <w:rPr>
                <w:sz w:val="17"/>
              </w:rPr>
            </w:r>
            <w:r>
              <w:rPr>
                <w:b w:val="0"/>
                <w:sz w:val="17"/>
              </w:rPr>
              <w:t>R3.2-24</w:t>
            </w:r>
          </w:p>
        </w:tc>
        <w:tc>
          <w:tcPr>
            <w:tcW w:type="dxa" w:w="3456"/>
            <w:vAlign w:val="top"/>
          </w:tcPr>
          <w:p>
            <w:r>
              <w:rPr>
                <w:sz w:val="17"/>
              </w:rPr>
            </w:r>
            <w:r>
              <w:rPr>
                <w:b w:val="0"/>
                <w:sz w:val="17"/>
              </w:rPr>
              <w:t>Luxembourg Space Agency legal framework</w:t>
            </w:r>
          </w:p>
        </w:tc>
        <w:tc>
          <w:tcPr>
            <w:tcW w:type="dxa" w:w="3456"/>
            <w:vAlign w:val="top"/>
          </w:tcPr>
          <w:p>
            <w:r>
              <w:rPr>
                <w:sz w:val="17"/>
              </w:rPr>
            </w:r>
            <w:r>
              <w:rPr>
                <w:b w:val="0"/>
                <w:sz w:val="17"/>
              </w:rPr>
              <w:t>https://space-agency.public.lu/en/support/industry-portal/legal-framework.html</w:t>
            </w:r>
          </w:p>
        </w:tc>
      </w:tr>
      <w:tr>
        <w:tc>
          <w:tcPr>
            <w:tcW w:type="dxa" w:w="3456"/>
            <w:vAlign w:val="top"/>
          </w:tcPr>
          <w:p>
            <w:r>
              <w:rPr>
                <w:sz w:val="17"/>
              </w:rPr>
            </w:r>
            <w:r>
              <w:rPr>
                <w:b w:val="0"/>
                <w:sz w:val="17"/>
              </w:rPr>
              <w:t>R3.2-25</w:t>
            </w:r>
          </w:p>
        </w:tc>
        <w:tc>
          <w:tcPr>
            <w:tcW w:type="dxa" w:w="3456"/>
            <w:vAlign w:val="top"/>
          </w:tcPr>
          <w:p>
            <w:r>
              <w:rPr>
                <w:sz w:val="17"/>
              </w:rPr>
            </w:r>
            <w:r>
              <w:rPr>
                <w:b w:val="0"/>
                <w:sz w:val="17"/>
              </w:rPr>
              <w:t>Japan Space Resources Act translation</w:t>
            </w:r>
          </w:p>
        </w:tc>
        <w:tc>
          <w:tcPr>
            <w:tcW w:type="dxa" w:w="3456"/>
            <w:vAlign w:val="top"/>
          </w:tcPr>
          <w:p>
            <w:r>
              <w:rPr>
                <w:sz w:val="17"/>
              </w:rPr>
            </w:r>
            <w:r>
              <w:rPr>
                <w:b w:val="0"/>
                <w:sz w:val="17"/>
              </w:rPr>
              <w:t>https://www.japaneselawtranslation.go.jp/en/laws/view/4816</w:t>
            </w:r>
          </w:p>
        </w:tc>
      </w:tr>
    </w:tbl>
    <w:p/>
    <w:p>
      <w:r>
        <w:rPr>
          <w:b/>
          <w:i w:val="0"/>
        </w:rPr>
        <w:t xml:space="preserve">Rev 3.2 closure: </w:t>
      </w:r>
    </w:p>
    <w:p>
      <w:r>
        <w:rPr>
          <w:b w:val="0"/>
          <w:i w:val="0"/>
        </w:rPr>
        <w:t>This update changes the program from a primarily engineering and finance baseline into a compliance controlled resource development baseline. Future work shall treat treaty alignment, licensing, planetary protection, spectrum coordination, mineral ground truth, and extraction TRL as equal gates with cost, schedule, and safety performance.</w:t>
      </w:r>
    </w:p>
    <w:p>
      <w:r>
        <w:br w:type="page"/>
      </w:r>
    </w:p>
    <w:p>
      <w:pPr>
        <w:pStyle w:val="Heading1"/>
      </w:pPr>
      <w:r>
        <w:t>23. Rev 3.3 Master Baseline Review, Configuration Integrity, and Action Closure Update</w:t>
      </w:r>
    </w:p>
    <w:p>
      <w:r>
        <w:t>Review outcome:</w:t>
      </w:r>
    </w:p>
    <w:p>
      <w:pPr/>
      <w:r>
        <w:t>Rev 3.3 is a master baseline integrity update. It does not introduce a new planetary destination or relax any life safety, treaty, planetary protection, refuge, evacuation, reserve, or board gate rule. The update reconciles the active architecture after the Rev 3.2 compliance review and converts the document into a cleaner control baseline for downstream engineering packages.</w:t>
      </w:r>
    </w:p>
    <w:p>
      <w:pPr>
        <w:pStyle w:val="Heading2"/>
      </w:pPr>
      <w:r>
        <w:t>23.1 Review Scope</w:t>
      </w:r>
    </w:p>
    <w:p>
      <w:pPr/>
      <w:r>
        <w:t>The Rev 3.3 review covered the following controlled content areas:</w:t>
      </w:r>
    </w:p>
    <w:p>
      <w:pPr>
        <w:pStyle w:val="ListBullet"/>
      </w:pPr>
      <w:r>
        <w:t>Lunar south pole primary control and ISRU installation.</w:t>
      </w:r>
    </w:p>
    <w:p>
      <w:pPr>
        <w:pStyle w:val="ListBullet"/>
      </w:pPr>
      <w:r>
        <w:t>Surface spaceport, cargo EM launch rail, microwave receiver, solar farm, seismic network, and mineral processing district.</w:t>
      </w:r>
    </w:p>
    <w:p>
      <w:pPr>
        <w:pStyle w:val="ListBullet"/>
      </w:pPr>
      <w:r>
        <w:t>Mars settlement and Mars mineral processing derivative package.</w:t>
      </w:r>
    </w:p>
    <w:p>
      <w:pPr>
        <w:pStyle w:val="ListBullet"/>
      </w:pPr>
      <w:r>
        <w:t>Lunar Biodiversity Vault, Ceres Autonomous Modification Worksite, Venus afloat gas processing module, and Venus orbital traffic insertion platform.</w:t>
      </w:r>
    </w:p>
    <w:p>
      <w:pPr>
        <w:pStyle w:val="ListBullet"/>
      </w:pPr>
      <w:r>
        <w:t>Treaty, licensing, registration, spectrum, nuclear safety, planetary protection, mineral survey, and extraction TRL controls.</w:t>
      </w:r>
    </w:p>
    <w:p>
      <w:pPr>
        <w:pStyle w:val="ListBullet"/>
      </w:pPr>
      <w:r>
        <w:t>Board presentation alignment, WBS traceability, cost baseline, revenue logic, and immediate action register.</w:t>
      </w:r>
    </w:p>
    <w:p>
      <w:pPr>
        <w:pStyle w:val="Heading2"/>
      </w:pPr>
      <w:r>
        <w:t>23.2 Active Baseline Status</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1F4E79"/>
          </w:tcPr>
          <w:p>
            <w:r>
              <w:rPr>
                <w:b/>
                <w:sz w:val="17"/>
              </w:rPr>
            </w:r>
            <w:r>
              <w:rPr>
                <w:b/>
                <w:sz w:val="17"/>
              </w:rPr>
              <w:t>Baseline element</w:t>
            </w:r>
          </w:p>
        </w:tc>
        <w:tc>
          <w:tcPr>
            <w:tcW w:type="dxa" w:w="2592"/>
            <w:vAlign w:val="top"/>
            <w:shd w:fill="1F4E79"/>
          </w:tcPr>
          <w:p>
            <w:r>
              <w:rPr>
                <w:b/>
                <w:sz w:val="17"/>
              </w:rPr>
            </w:r>
            <w:r>
              <w:rPr>
                <w:b/>
                <w:sz w:val="17"/>
              </w:rPr>
              <w:t>Current status after Rev 3.3 review</w:t>
            </w:r>
          </w:p>
        </w:tc>
        <w:tc>
          <w:tcPr>
            <w:tcW w:type="dxa" w:w="2592"/>
            <w:vAlign w:val="top"/>
            <w:shd w:fill="1F4E79"/>
          </w:tcPr>
          <w:p>
            <w:r>
              <w:rPr>
                <w:b/>
                <w:sz w:val="17"/>
              </w:rPr>
            </w:r>
            <w:r>
              <w:rPr>
                <w:b/>
                <w:sz w:val="17"/>
              </w:rPr>
              <w:t>Control rule</w:t>
            </w:r>
          </w:p>
        </w:tc>
        <w:tc>
          <w:tcPr>
            <w:tcW w:type="dxa" w:w="2592"/>
            <w:vAlign w:val="top"/>
            <w:shd w:fill="1F4E79"/>
          </w:tcPr>
          <w:p>
            <w:r>
              <w:rPr>
                <w:b/>
                <w:sz w:val="17"/>
              </w:rPr>
            </w:r>
            <w:r>
              <w:rPr>
                <w:b/>
                <w:sz w:val="17"/>
              </w:rPr>
              <w:t>Board implication</w:t>
            </w:r>
          </w:p>
        </w:tc>
      </w:tr>
      <w:tr>
        <w:tc>
          <w:tcPr>
            <w:tcW w:type="dxa" w:w="2592"/>
            <w:vAlign w:val="top"/>
          </w:tcPr>
          <w:p>
            <w:r>
              <w:rPr>
                <w:sz w:val="17"/>
              </w:rPr>
            </w:r>
            <w:r>
              <w:rPr>
                <w:b w:val="0"/>
                <w:sz w:val="17"/>
              </w:rPr>
              <w:t>Lunar core Phase 1</w:t>
            </w:r>
          </w:p>
        </w:tc>
        <w:tc>
          <w:tcPr>
            <w:tcW w:type="dxa" w:w="2592"/>
            <w:vAlign w:val="top"/>
          </w:tcPr>
          <w:p>
            <w:r>
              <w:rPr>
                <w:sz w:val="17"/>
              </w:rPr>
            </w:r>
            <w:r>
              <w:rPr>
                <w:b w:val="0"/>
                <w:sz w:val="17"/>
              </w:rPr>
              <w:t>Active planning baseline. 1000 resident, 1200 surge, underground habitat, surface processing, one lunar night refuge, 72 hour evacuation.</w:t>
            </w:r>
          </w:p>
        </w:tc>
        <w:tc>
          <w:tcPr>
            <w:tcW w:type="dxa" w:w="2592"/>
            <w:vAlign w:val="top"/>
          </w:tcPr>
          <w:p>
            <w:r>
              <w:rPr>
                <w:sz w:val="17"/>
              </w:rPr>
            </w:r>
            <w:r>
              <w:rPr>
                <w:b w:val="0"/>
                <w:sz w:val="17"/>
              </w:rPr>
              <w:t>Cannot be degraded by industrial expansion or export revenue objectives.</w:t>
            </w:r>
          </w:p>
        </w:tc>
        <w:tc>
          <w:tcPr>
            <w:tcW w:type="dxa" w:w="2592"/>
            <w:vAlign w:val="top"/>
          </w:tcPr>
          <w:p>
            <w:r>
              <w:rPr>
                <w:sz w:val="17"/>
              </w:rPr>
            </w:r>
            <w:r>
              <w:rPr>
                <w:b w:val="0"/>
                <w:sz w:val="17"/>
              </w:rPr>
              <w:t>Keep as the first funded safety and control baseline.</w:t>
            </w:r>
          </w:p>
        </w:tc>
      </w:tr>
      <w:tr>
        <w:tc>
          <w:tcPr>
            <w:tcW w:type="dxa" w:w="2592"/>
            <w:vAlign w:val="top"/>
          </w:tcPr>
          <w:p>
            <w:r>
              <w:rPr>
                <w:sz w:val="17"/>
              </w:rPr>
            </w:r>
            <w:r>
              <w:rPr>
                <w:b w:val="0"/>
                <w:sz w:val="17"/>
              </w:rPr>
              <w:t>Rev 2.7 lunar industrial additions</w:t>
            </w:r>
          </w:p>
        </w:tc>
        <w:tc>
          <w:tcPr>
            <w:tcW w:type="dxa" w:w="2592"/>
            <w:vAlign w:val="top"/>
          </w:tcPr>
          <w:p>
            <w:r>
              <w:rPr>
                <w:sz w:val="17"/>
              </w:rPr>
            </w:r>
            <w:r>
              <w:rPr>
                <w:b w:val="0"/>
                <w:sz w:val="17"/>
              </w:rPr>
              <w:t>Active but gated. Spaceport, EM launch rail, microwave receiver, solar farm, seismic network, and separate mineral processing facility remain subordinate to safety gates.</w:t>
            </w:r>
          </w:p>
        </w:tc>
        <w:tc>
          <w:tcPr>
            <w:tcW w:type="dxa" w:w="2592"/>
            <w:vAlign w:val="top"/>
          </w:tcPr>
          <w:p>
            <w:r>
              <w:rPr>
                <w:sz w:val="17"/>
              </w:rPr>
            </w:r>
            <w:r>
              <w:rPr>
                <w:b w:val="0"/>
                <w:sz w:val="17"/>
              </w:rPr>
              <w:t>May not become critical path for basic 1000 person habitation unless board changes scope.</w:t>
            </w:r>
          </w:p>
        </w:tc>
        <w:tc>
          <w:tcPr>
            <w:tcW w:type="dxa" w:w="2592"/>
            <w:vAlign w:val="top"/>
          </w:tcPr>
          <w:p>
            <w:r>
              <w:rPr>
                <w:sz w:val="17"/>
              </w:rPr>
            </w:r>
            <w:r>
              <w:rPr>
                <w:b w:val="0"/>
                <w:sz w:val="17"/>
              </w:rPr>
              <w:t>Fund in staged increments after utility and refuge readiness are protected.</w:t>
            </w:r>
          </w:p>
        </w:tc>
      </w:tr>
      <w:tr>
        <w:tc>
          <w:tcPr>
            <w:tcW w:type="dxa" w:w="2592"/>
            <w:vAlign w:val="top"/>
          </w:tcPr>
          <w:p>
            <w:r>
              <w:rPr>
                <w:sz w:val="17"/>
              </w:rPr>
            </w:r>
            <w:r>
              <w:rPr>
                <w:b w:val="0"/>
                <w:sz w:val="17"/>
              </w:rPr>
              <w:t>Rev 2.8 interplanetary derivatives</w:t>
            </w:r>
          </w:p>
        </w:tc>
        <w:tc>
          <w:tcPr>
            <w:tcW w:type="dxa" w:w="2592"/>
            <w:vAlign w:val="top"/>
          </w:tcPr>
          <w:p>
            <w:r>
              <w:rPr>
                <w:sz w:val="17"/>
              </w:rPr>
            </w:r>
            <w:r>
              <w:rPr>
                <w:b w:val="0"/>
                <w:sz w:val="17"/>
              </w:rPr>
              <w:t>Portfolio baseline. Mars, Ceres, Venus, and biodiversity systems are controlled derivative programs.</w:t>
            </w:r>
          </w:p>
        </w:tc>
        <w:tc>
          <w:tcPr>
            <w:tcW w:type="dxa" w:w="2592"/>
            <w:vAlign w:val="top"/>
          </w:tcPr>
          <w:p>
            <w:r>
              <w:rPr>
                <w:sz w:val="17"/>
              </w:rPr>
            </w:r>
            <w:r>
              <w:rPr>
                <w:b w:val="0"/>
                <w:sz w:val="17"/>
              </w:rPr>
              <w:t>Do not fold into Phase 1 lunar capital without a separate authorization record.</w:t>
            </w:r>
          </w:p>
        </w:tc>
        <w:tc>
          <w:tcPr>
            <w:tcW w:type="dxa" w:w="2592"/>
            <w:vAlign w:val="top"/>
          </w:tcPr>
          <w:p>
            <w:r>
              <w:rPr>
                <w:sz w:val="17"/>
              </w:rPr>
            </w:r>
            <w:r>
              <w:rPr>
                <w:b w:val="0"/>
                <w:sz w:val="17"/>
              </w:rPr>
              <w:t>Maintain as Phase 1B or Phase 2 option set until lunar hub maturity.</w:t>
            </w:r>
          </w:p>
        </w:tc>
      </w:tr>
      <w:tr>
        <w:tc>
          <w:tcPr>
            <w:tcW w:type="dxa" w:w="2592"/>
            <w:vAlign w:val="top"/>
          </w:tcPr>
          <w:p>
            <w:r>
              <w:rPr>
                <w:sz w:val="17"/>
              </w:rPr>
            </w:r>
            <w:r>
              <w:rPr>
                <w:b w:val="0"/>
                <w:sz w:val="17"/>
              </w:rPr>
              <w:t>Rev 3.2 compliance architecture</w:t>
            </w:r>
          </w:p>
        </w:tc>
        <w:tc>
          <w:tcPr>
            <w:tcW w:type="dxa" w:w="2592"/>
            <w:vAlign w:val="top"/>
          </w:tcPr>
          <w:p>
            <w:r>
              <w:rPr>
                <w:sz w:val="17"/>
              </w:rPr>
            </w:r>
            <w:r>
              <w:rPr>
                <w:b w:val="0"/>
                <w:sz w:val="17"/>
              </w:rPr>
              <w:t>Active control layer. Treaty, licensing, spectrum, planetary protection, mineral survey, and extraction TRL packages remain mandatory.</w:t>
            </w:r>
          </w:p>
        </w:tc>
        <w:tc>
          <w:tcPr>
            <w:tcW w:type="dxa" w:w="2592"/>
            <w:vAlign w:val="top"/>
          </w:tcPr>
          <w:p>
            <w:r>
              <w:rPr>
                <w:sz w:val="17"/>
              </w:rPr>
            </w:r>
            <w:r>
              <w:rPr>
                <w:b w:val="0"/>
                <w:sz w:val="17"/>
              </w:rPr>
              <w:t>No extraction pilot, permanent installation, traffic platform, or commodity export may bypass policy review.</w:t>
            </w:r>
          </w:p>
        </w:tc>
        <w:tc>
          <w:tcPr>
            <w:tcW w:type="dxa" w:w="2592"/>
            <w:vAlign w:val="top"/>
          </w:tcPr>
          <w:p>
            <w:r>
              <w:rPr>
                <w:sz w:val="17"/>
              </w:rPr>
            </w:r>
            <w:r>
              <w:rPr>
                <w:b w:val="0"/>
                <w:sz w:val="17"/>
              </w:rPr>
              <w:t>Approve standing legal and compliance review cadence.</w:t>
            </w:r>
          </w:p>
        </w:tc>
      </w:tr>
      <w:tr>
        <w:tc>
          <w:tcPr>
            <w:tcW w:type="dxa" w:w="2592"/>
            <w:vAlign w:val="top"/>
          </w:tcPr>
          <w:p>
            <w:r>
              <w:rPr>
                <w:sz w:val="17"/>
              </w:rPr>
            </w:r>
            <w:r>
              <w:rPr>
                <w:b w:val="0"/>
                <w:sz w:val="17"/>
              </w:rPr>
              <w:t>Board deck and finance model</w:t>
            </w:r>
          </w:p>
        </w:tc>
        <w:tc>
          <w:tcPr>
            <w:tcW w:type="dxa" w:w="2592"/>
            <w:vAlign w:val="top"/>
          </w:tcPr>
          <w:p>
            <w:r>
              <w:rPr>
                <w:sz w:val="17"/>
              </w:rPr>
            </w:r>
            <w:r>
              <w:rPr>
                <w:b w:val="0"/>
                <w:sz w:val="17"/>
              </w:rPr>
              <w:t>Controlled companion artifacts. They must match the master document revision before investor or partner release.</w:t>
            </w:r>
          </w:p>
        </w:tc>
        <w:tc>
          <w:tcPr>
            <w:tcW w:type="dxa" w:w="2592"/>
            <w:vAlign w:val="top"/>
          </w:tcPr>
          <w:p>
            <w:r>
              <w:rPr>
                <w:sz w:val="17"/>
              </w:rPr>
            </w:r>
            <w:r>
              <w:rPr>
                <w:b w:val="0"/>
                <w:sz w:val="17"/>
              </w:rPr>
              <w:t>No external distribution unless deck, workbook, and master document revision are reconciled.</w:t>
            </w:r>
          </w:p>
        </w:tc>
        <w:tc>
          <w:tcPr>
            <w:tcW w:type="dxa" w:w="2592"/>
            <w:vAlign w:val="top"/>
          </w:tcPr>
          <w:p>
            <w:r>
              <w:rPr>
                <w:sz w:val="17"/>
              </w:rPr>
            </w:r>
            <w:r>
              <w:rPr>
                <w:b w:val="0"/>
                <w:sz w:val="17"/>
              </w:rPr>
              <w:t>Require Rev 3.3 version lock before next board package.</w:t>
            </w:r>
          </w:p>
        </w:tc>
      </w:tr>
    </w:tbl>
    <w:p>
      <w:pPr>
        <w:pStyle w:val="Heading2"/>
      </w:pPr>
      <w:r>
        <w:t>23.3 Reconciled Program Cost and Operating Baseline</w:t>
      </w:r>
    </w:p>
    <w:p>
      <w:pPr/>
      <w:r>
        <w:t>The review preserves the cost hierarchy established across prior revisions. The board should read each figure as a scope-specific baseline, not as interchangeable totals.</w:t>
      </w:r>
    </w:p>
    <w:tbl>
      <w:tblPr>
        <w:tblStyle w:val="TableGrid"/>
        <w:tblW w:type="auto" w:w="0"/>
        <w:jc w:val="center"/>
        <w:tblLayout w:type="autofit"/>
        <w:tblLook w:firstColumn="1" w:firstRow="1" w:lastColumn="0" w:lastRow="0" w:noHBand="0" w:noVBand="1" w:val="04A0"/>
      </w:tblPr>
      <w:tblGrid>
        <w:gridCol w:w="2074"/>
        <w:gridCol w:w="2074"/>
        <w:gridCol w:w="2074"/>
        <w:gridCol w:w="2074"/>
        <w:gridCol w:w="2074"/>
      </w:tblGrid>
      <w:tr>
        <w:tc>
          <w:tcPr>
            <w:tcW w:type="dxa" w:w="2074"/>
            <w:vAlign w:val="top"/>
            <w:shd w:fill="1F4E79"/>
          </w:tcPr>
          <w:p>
            <w:r>
              <w:rPr>
                <w:b/>
                <w:sz w:val="17"/>
              </w:rPr>
            </w:r>
            <w:r>
              <w:rPr>
                <w:b/>
                <w:sz w:val="17"/>
              </w:rPr>
              <w:t>Scope</w:t>
            </w:r>
          </w:p>
        </w:tc>
        <w:tc>
          <w:tcPr>
            <w:tcW w:type="dxa" w:w="2074"/>
            <w:vAlign w:val="top"/>
            <w:shd w:fill="1F4E79"/>
          </w:tcPr>
          <w:p>
            <w:r>
              <w:rPr>
                <w:b/>
                <w:sz w:val="17"/>
              </w:rPr>
            </w:r>
            <w:r>
              <w:rPr>
                <w:b/>
                <w:sz w:val="17"/>
              </w:rPr>
              <w:t>Low case</w:t>
            </w:r>
          </w:p>
        </w:tc>
        <w:tc>
          <w:tcPr>
            <w:tcW w:type="dxa" w:w="2074"/>
            <w:vAlign w:val="top"/>
            <w:shd w:fill="1F4E79"/>
          </w:tcPr>
          <w:p>
            <w:r>
              <w:rPr>
                <w:b/>
                <w:sz w:val="17"/>
              </w:rPr>
            </w:r>
            <w:r>
              <w:rPr>
                <w:b/>
                <w:sz w:val="17"/>
              </w:rPr>
              <w:t>Mid case</w:t>
            </w:r>
          </w:p>
        </w:tc>
        <w:tc>
          <w:tcPr>
            <w:tcW w:type="dxa" w:w="2074"/>
            <w:vAlign w:val="top"/>
            <w:shd w:fill="1F4E79"/>
          </w:tcPr>
          <w:p>
            <w:r>
              <w:rPr>
                <w:b/>
                <w:sz w:val="17"/>
              </w:rPr>
            </w:r>
            <w:r>
              <w:rPr>
                <w:b/>
                <w:sz w:val="17"/>
              </w:rPr>
              <w:t>High case</w:t>
            </w:r>
          </w:p>
        </w:tc>
        <w:tc>
          <w:tcPr>
            <w:tcW w:type="dxa" w:w="2074"/>
            <w:vAlign w:val="top"/>
            <w:shd w:fill="1F4E79"/>
          </w:tcPr>
          <w:p>
            <w:r>
              <w:rPr>
                <w:b/>
                <w:sz w:val="17"/>
              </w:rPr>
            </w:r>
            <w:r>
              <w:rPr>
                <w:b/>
                <w:sz w:val="17"/>
              </w:rPr>
              <w:t>Rev 3.3 interpretation</w:t>
            </w:r>
          </w:p>
        </w:tc>
      </w:tr>
      <w:tr>
        <w:tc>
          <w:tcPr>
            <w:tcW w:type="dxa" w:w="2074"/>
            <w:vAlign w:val="top"/>
          </w:tcPr>
          <w:p>
            <w:r>
              <w:rPr>
                <w:sz w:val="17"/>
              </w:rPr>
            </w:r>
            <w:r>
              <w:rPr>
                <w:b w:val="0"/>
                <w:sz w:val="17"/>
              </w:rPr>
              <w:t>Original lunar Phase 1 core</w:t>
            </w:r>
          </w:p>
        </w:tc>
        <w:tc>
          <w:tcPr>
            <w:tcW w:type="dxa" w:w="2074"/>
            <w:vAlign w:val="top"/>
          </w:tcPr>
          <w:p>
            <w:r>
              <w:rPr>
                <w:sz w:val="17"/>
              </w:rPr>
            </w:r>
            <w:r>
              <w:rPr>
                <w:b w:val="0"/>
                <w:sz w:val="17"/>
              </w:rPr>
              <w:t>95B USD</w:t>
            </w:r>
          </w:p>
        </w:tc>
        <w:tc>
          <w:tcPr>
            <w:tcW w:type="dxa" w:w="2074"/>
            <w:vAlign w:val="top"/>
          </w:tcPr>
          <w:p>
            <w:r>
              <w:rPr>
                <w:sz w:val="17"/>
              </w:rPr>
            </w:r>
            <w:r>
              <w:rPr>
                <w:b w:val="0"/>
                <w:sz w:val="17"/>
              </w:rPr>
              <w:t>129.3B USD</w:t>
            </w:r>
          </w:p>
        </w:tc>
        <w:tc>
          <w:tcPr>
            <w:tcW w:type="dxa" w:w="2074"/>
            <w:vAlign w:val="top"/>
          </w:tcPr>
          <w:p>
            <w:r>
              <w:rPr>
                <w:sz w:val="17"/>
              </w:rPr>
            </w:r>
            <w:r>
              <w:rPr>
                <w:b w:val="0"/>
                <w:sz w:val="17"/>
              </w:rPr>
              <w:t>182B USD</w:t>
            </w:r>
          </w:p>
        </w:tc>
        <w:tc>
          <w:tcPr>
            <w:tcW w:type="dxa" w:w="2074"/>
            <w:vAlign w:val="top"/>
          </w:tcPr>
          <w:p>
            <w:r>
              <w:rPr>
                <w:sz w:val="17"/>
              </w:rPr>
            </w:r>
            <w:r>
              <w:rPr>
                <w:b w:val="0"/>
                <w:sz w:val="17"/>
              </w:rPr>
              <w:t>Controls underground settlement, life support, power, ISRU, refuge, evacuation, and first logistics functions.</w:t>
            </w:r>
          </w:p>
        </w:tc>
      </w:tr>
      <w:tr>
        <w:tc>
          <w:tcPr>
            <w:tcW w:type="dxa" w:w="2074"/>
            <w:vAlign w:val="top"/>
          </w:tcPr>
          <w:p>
            <w:r>
              <w:rPr>
                <w:sz w:val="17"/>
              </w:rPr>
            </w:r>
            <w:r>
              <w:rPr>
                <w:b w:val="0"/>
                <w:sz w:val="17"/>
              </w:rPr>
              <w:t>Rev 2.7 lunar industrial additions</w:t>
            </w:r>
          </w:p>
        </w:tc>
        <w:tc>
          <w:tcPr>
            <w:tcW w:type="dxa" w:w="2074"/>
            <w:vAlign w:val="top"/>
          </w:tcPr>
          <w:p>
            <w:r>
              <w:rPr>
                <w:sz w:val="17"/>
              </w:rPr>
            </w:r>
            <w:r>
              <w:rPr>
                <w:b w:val="0"/>
                <w:sz w:val="17"/>
              </w:rPr>
              <w:t>31.6B USD added</w:t>
            </w:r>
          </w:p>
        </w:tc>
        <w:tc>
          <w:tcPr>
            <w:tcW w:type="dxa" w:w="2074"/>
            <w:vAlign w:val="top"/>
          </w:tcPr>
          <w:p>
            <w:r>
              <w:rPr>
                <w:sz w:val="17"/>
              </w:rPr>
            </w:r>
            <w:r>
              <w:rPr>
                <w:b w:val="0"/>
                <w:sz w:val="17"/>
              </w:rPr>
              <w:t>47.05B USD added</w:t>
            </w:r>
          </w:p>
        </w:tc>
        <w:tc>
          <w:tcPr>
            <w:tcW w:type="dxa" w:w="2074"/>
            <w:vAlign w:val="top"/>
          </w:tcPr>
          <w:p>
            <w:r>
              <w:rPr>
                <w:sz w:val="17"/>
              </w:rPr>
            </w:r>
            <w:r>
              <w:rPr>
                <w:b w:val="0"/>
                <w:sz w:val="17"/>
              </w:rPr>
              <w:t>67.4B USD added</w:t>
            </w:r>
          </w:p>
        </w:tc>
        <w:tc>
          <w:tcPr>
            <w:tcW w:type="dxa" w:w="2074"/>
            <w:vAlign w:val="top"/>
          </w:tcPr>
          <w:p>
            <w:r>
              <w:rPr>
                <w:sz w:val="17"/>
              </w:rPr>
            </w:r>
            <w:r>
              <w:rPr>
                <w:b w:val="0"/>
                <w:sz w:val="17"/>
              </w:rPr>
              <w:t>Controls spaceport, EM launch rail, microwave receiver, solar farm, seismic network, and mineral processing expansion.</w:t>
            </w:r>
          </w:p>
        </w:tc>
      </w:tr>
      <w:tr>
        <w:tc>
          <w:tcPr>
            <w:tcW w:type="dxa" w:w="2074"/>
            <w:vAlign w:val="top"/>
          </w:tcPr>
          <w:p>
            <w:r>
              <w:rPr>
                <w:sz w:val="17"/>
              </w:rPr>
            </w:r>
            <w:r>
              <w:rPr>
                <w:b w:val="0"/>
                <w:sz w:val="17"/>
              </w:rPr>
              <w:t>Expanded lunar planning baseline</w:t>
            </w:r>
          </w:p>
        </w:tc>
        <w:tc>
          <w:tcPr>
            <w:tcW w:type="dxa" w:w="2074"/>
            <w:vAlign w:val="top"/>
          </w:tcPr>
          <w:p>
            <w:r>
              <w:rPr>
                <w:sz w:val="17"/>
              </w:rPr>
            </w:r>
            <w:r>
              <w:rPr>
                <w:b w:val="0"/>
                <w:sz w:val="17"/>
              </w:rPr>
              <w:t>126.6B USD</w:t>
            </w:r>
          </w:p>
        </w:tc>
        <w:tc>
          <w:tcPr>
            <w:tcW w:type="dxa" w:w="2074"/>
            <w:vAlign w:val="top"/>
          </w:tcPr>
          <w:p>
            <w:r>
              <w:rPr>
                <w:sz w:val="17"/>
              </w:rPr>
            </w:r>
            <w:r>
              <w:rPr>
                <w:b w:val="0"/>
                <w:sz w:val="17"/>
              </w:rPr>
              <w:t>176.35B USD</w:t>
            </w:r>
          </w:p>
        </w:tc>
        <w:tc>
          <w:tcPr>
            <w:tcW w:type="dxa" w:w="2074"/>
            <w:vAlign w:val="top"/>
          </w:tcPr>
          <w:p>
            <w:r>
              <w:rPr>
                <w:sz w:val="17"/>
              </w:rPr>
            </w:r>
            <w:r>
              <w:rPr>
                <w:b w:val="0"/>
                <w:sz w:val="17"/>
              </w:rPr>
              <w:t>249.4B USD</w:t>
            </w:r>
          </w:p>
        </w:tc>
        <w:tc>
          <w:tcPr>
            <w:tcW w:type="dxa" w:w="2074"/>
            <w:vAlign w:val="top"/>
          </w:tcPr>
          <w:p>
            <w:r>
              <w:rPr>
                <w:sz w:val="17"/>
              </w:rPr>
            </w:r>
            <w:r>
              <w:rPr>
                <w:b w:val="0"/>
                <w:sz w:val="17"/>
              </w:rPr>
              <w:t>Use 175B to 180B USD as the working mid-case board baseline for the full expanded lunar site.</w:t>
            </w:r>
          </w:p>
        </w:tc>
      </w:tr>
      <w:tr>
        <w:tc>
          <w:tcPr>
            <w:tcW w:type="dxa" w:w="2074"/>
            <w:vAlign w:val="top"/>
          </w:tcPr>
          <w:p>
            <w:r>
              <w:rPr>
                <w:sz w:val="17"/>
              </w:rPr>
            </w:r>
            <w:r>
              <w:rPr>
                <w:b w:val="0"/>
                <w:sz w:val="17"/>
              </w:rPr>
              <w:t>Mature annual OpEx, expanded lunar site</w:t>
            </w:r>
          </w:p>
        </w:tc>
        <w:tc>
          <w:tcPr>
            <w:tcW w:type="dxa" w:w="2074"/>
            <w:vAlign w:val="top"/>
          </w:tcPr>
          <w:p>
            <w:r>
              <w:rPr>
                <w:sz w:val="17"/>
              </w:rPr>
            </w:r>
            <w:r>
              <w:rPr>
                <w:b w:val="0"/>
                <w:sz w:val="17"/>
              </w:rPr>
              <w:t>13.65B USD</w:t>
            </w:r>
          </w:p>
        </w:tc>
        <w:tc>
          <w:tcPr>
            <w:tcW w:type="dxa" w:w="2074"/>
            <w:vAlign w:val="top"/>
          </w:tcPr>
          <w:p>
            <w:r>
              <w:rPr>
                <w:sz w:val="17"/>
              </w:rPr>
            </w:r>
            <w:r>
              <w:rPr>
                <w:b w:val="0"/>
                <w:sz w:val="17"/>
              </w:rPr>
              <w:t>15.0B USD</w:t>
            </w:r>
          </w:p>
        </w:tc>
        <w:tc>
          <w:tcPr>
            <w:tcW w:type="dxa" w:w="2074"/>
            <w:vAlign w:val="top"/>
          </w:tcPr>
          <w:p>
            <w:r>
              <w:rPr>
                <w:sz w:val="17"/>
              </w:rPr>
            </w:r>
            <w:r>
              <w:rPr>
                <w:b w:val="0"/>
                <w:sz w:val="17"/>
              </w:rPr>
              <w:t>16.1B USD</w:t>
            </w:r>
          </w:p>
        </w:tc>
        <w:tc>
          <w:tcPr>
            <w:tcW w:type="dxa" w:w="2074"/>
            <w:vAlign w:val="top"/>
          </w:tcPr>
          <w:p>
            <w:r>
              <w:rPr>
                <w:sz w:val="17"/>
              </w:rPr>
            </w:r>
            <w:r>
              <w:rPr>
                <w:b w:val="0"/>
                <w:sz w:val="17"/>
              </w:rPr>
              <w:t>Combines prior 11.2B USD mature OpEx with added systems at roughly 3.8B USD mid case.</w:t>
            </w:r>
          </w:p>
        </w:tc>
      </w:tr>
      <w:tr>
        <w:tc>
          <w:tcPr>
            <w:tcW w:type="dxa" w:w="2074"/>
            <w:vAlign w:val="top"/>
          </w:tcPr>
          <w:p>
            <w:r>
              <w:rPr>
                <w:sz w:val="17"/>
              </w:rPr>
            </w:r>
            <w:r>
              <w:rPr>
                <w:b w:val="0"/>
                <w:sz w:val="17"/>
              </w:rPr>
              <w:t>Interplanetary derivatives</w:t>
            </w:r>
          </w:p>
        </w:tc>
        <w:tc>
          <w:tcPr>
            <w:tcW w:type="dxa" w:w="2074"/>
            <w:vAlign w:val="top"/>
          </w:tcPr>
          <w:p>
            <w:r>
              <w:rPr>
                <w:sz w:val="17"/>
              </w:rPr>
            </w:r>
            <w:r>
              <w:rPr>
                <w:b w:val="0"/>
                <w:sz w:val="17"/>
              </w:rPr>
              <w:t>Separate ranges</w:t>
            </w:r>
          </w:p>
        </w:tc>
        <w:tc>
          <w:tcPr>
            <w:tcW w:type="dxa" w:w="2074"/>
            <w:vAlign w:val="top"/>
          </w:tcPr>
          <w:p>
            <w:r>
              <w:rPr>
                <w:sz w:val="17"/>
              </w:rPr>
            </w:r>
            <w:r>
              <w:rPr>
                <w:b w:val="0"/>
                <w:sz w:val="17"/>
              </w:rPr>
              <w:t>Separate ranges</w:t>
            </w:r>
          </w:p>
        </w:tc>
        <w:tc>
          <w:tcPr>
            <w:tcW w:type="dxa" w:w="2074"/>
            <w:vAlign w:val="top"/>
          </w:tcPr>
          <w:p>
            <w:r>
              <w:rPr>
                <w:sz w:val="17"/>
              </w:rPr>
            </w:r>
            <w:r>
              <w:rPr>
                <w:b w:val="0"/>
                <w:sz w:val="17"/>
              </w:rPr>
              <w:t>Separate ranges</w:t>
            </w:r>
          </w:p>
        </w:tc>
        <w:tc>
          <w:tcPr>
            <w:tcW w:type="dxa" w:w="2074"/>
            <w:vAlign w:val="top"/>
          </w:tcPr>
          <w:p>
            <w:r>
              <w:rPr>
                <w:sz w:val="17"/>
              </w:rPr>
            </w:r>
            <w:r>
              <w:rPr>
                <w:b w:val="0"/>
                <w:sz w:val="17"/>
              </w:rPr>
              <w:t>Mars, Ceres, and Venus costs remain portfolio options, not automatic Phase 1 lunar costs.</w:t>
            </w:r>
          </w:p>
        </w:tc>
      </w:tr>
    </w:tbl>
    <w:p>
      <w:pPr>
        <w:pStyle w:val="Heading2"/>
      </w:pPr>
      <w:r>
        <w:t>23.4 Requirements Closure and Open Issue Log</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1F4E79"/>
          </w:tcPr>
          <w:p>
            <w:r>
              <w:rPr>
                <w:b/>
                <w:sz w:val="17"/>
              </w:rPr>
            </w:r>
            <w:r>
              <w:rPr>
                <w:b/>
                <w:sz w:val="17"/>
              </w:rPr>
              <w:t>Requirement or issue</w:t>
            </w:r>
          </w:p>
        </w:tc>
        <w:tc>
          <w:tcPr>
            <w:tcW w:type="dxa" w:w="2592"/>
            <w:vAlign w:val="top"/>
            <w:shd w:fill="1F4E79"/>
          </w:tcPr>
          <w:p>
            <w:r>
              <w:rPr>
                <w:b/>
                <w:sz w:val="17"/>
              </w:rPr>
            </w:r>
            <w:r>
              <w:rPr>
                <w:b/>
                <w:sz w:val="17"/>
              </w:rPr>
              <w:t>Closure status</w:t>
            </w:r>
          </w:p>
        </w:tc>
        <w:tc>
          <w:tcPr>
            <w:tcW w:type="dxa" w:w="2592"/>
            <w:vAlign w:val="top"/>
            <w:shd w:fill="1F4E79"/>
          </w:tcPr>
          <w:p>
            <w:r>
              <w:rPr>
                <w:b/>
                <w:sz w:val="17"/>
              </w:rPr>
            </w:r>
            <w:r>
              <w:rPr>
                <w:b/>
                <w:sz w:val="17"/>
              </w:rPr>
              <w:t>Residual gap</w:t>
            </w:r>
          </w:p>
        </w:tc>
        <w:tc>
          <w:tcPr>
            <w:tcW w:type="dxa" w:w="2592"/>
            <w:vAlign w:val="top"/>
            <w:shd w:fill="1F4E79"/>
          </w:tcPr>
          <w:p>
            <w:r>
              <w:rPr>
                <w:b/>
                <w:sz w:val="17"/>
              </w:rPr>
            </w:r>
            <w:r>
              <w:rPr>
                <w:b/>
                <w:sz w:val="17"/>
              </w:rPr>
              <w:t>Next action</w:t>
            </w:r>
          </w:p>
        </w:tc>
      </w:tr>
      <w:tr>
        <w:tc>
          <w:tcPr>
            <w:tcW w:type="dxa" w:w="2592"/>
            <w:vAlign w:val="top"/>
          </w:tcPr>
          <w:p>
            <w:r>
              <w:rPr>
                <w:sz w:val="17"/>
              </w:rPr>
            </w:r>
            <w:r>
              <w:rPr>
                <w:b w:val="0"/>
                <w:sz w:val="17"/>
              </w:rPr>
              <w:t>One lunar night refuge for 1200 persons</w:t>
            </w:r>
          </w:p>
        </w:tc>
        <w:tc>
          <w:tcPr>
            <w:tcW w:type="dxa" w:w="2592"/>
            <w:vAlign w:val="top"/>
          </w:tcPr>
          <w:p>
            <w:r>
              <w:rPr>
                <w:sz w:val="17"/>
              </w:rPr>
            </w:r>
            <w:r>
              <w:rPr>
                <w:b w:val="0"/>
                <w:sz w:val="17"/>
              </w:rPr>
              <w:t>Closed at concept baseline level.</w:t>
            </w:r>
          </w:p>
        </w:tc>
        <w:tc>
          <w:tcPr>
            <w:tcW w:type="dxa" w:w="2592"/>
            <w:vAlign w:val="top"/>
          </w:tcPr>
          <w:p>
            <w:r>
              <w:rPr>
                <w:sz w:val="17"/>
              </w:rPr>
            </w:r>
            <w:r>
              <w:rPr>
                <w:b w:val="0"/>
                <w:sz w:val="17"/>
              </w:rPr>
              <w:t>Detailed equipment sizing and endurance validation remain open.</w:t>
            </w:r>
          </w:p>
        </w:tc>
        <w:tc>
          <w:tcPr>
            <w:tcW w:type="dxa" w:w="2592"/>
            <w:vAlign w:val="top"/>
          </w:tcPr>
          <w:p>
            <w:r>
              <w:rPr>
                <w:sz w:val="17"/>
              </w:rPr>
            </w:r>
            <w:r>
              <w:rPr>
                <w:b w:val="0"/>
                <w:sz w:val="17"/>
              </w:rPr>
              <w:t>Produce refuge subsystem specification and 14 to 16 day endurance test plan.</w:t>
            </w:r>
          </w:p>
        </w:tc>
      </w:tr>
      <w:tr>
        <w:tc>
          <w:tcPr>
            <w:tcW w:type="dxa" w:w="2592"/>
            <w:vAlign w:val="top"/>
          </w:tcPr>
          <w:p>
            <w:r>
              <w:rPr>
                <w:sz w:val="17"/>
              </w:rPr>
            </w:r>
            <w:r>
              <w:rPr>
                <w:b w:val="0"/>
                <w:sz w:val="17"/>
              </w:rPr>
              <w:t>72 hour mass evacuation for 1200 persons</w:t>
            </w:r>
          </w:p>
        </w:tc>
        <w:tc>
          <w:tcPr>
            <w:tcW w:type="dxa" w:w="2592"/>
            <w:vAlign w:val="top"/>
          </w:tcPr>
          <w:p>
            <w:r>
              <w:rPr>
                <w:sz w:val="17"/>
              </w:rPr>
            </w:r>
            <w:r>
              <w:rPr>
                <w:b w:val="0"/>
                <w:sz w:val="17"/>
              </w:rPr>
              <w:t>Closed at architecture level.</w:t>
            </w:r>
          </w:p>
        </w:tc>
        <w:tc>
          <w:tcPr>
            <w:tcW w:type="dxa" w:w="2592"/>
            <w:vAlign w:val="top"/>
          </w:tcPr>
          <w:p>
            <w:r>
              <w:rPr>
                <w:sz w:val="17"/>
              </w:rPr>
            </w:r>
            <w:r>
              <w:rPr>
                <w:b w:val="0"/>
                <w:sz w:val="17"/>
              </w:rPr>
              <w:t>Vehicle family, orbital receiving capacity, and pad cycle model require design lock.</w:t>
            </w:r>
          </w:p>
        </w:tc>
        <w:tc>
          <w:tcPr>
            <w:tcW w:type="dxa" w:w="2592"/>
            <w:vAlign w:val="top"/>
          </w:tcPr>
          <w:p>
            <w:r>
              <w:rPr>
                <w:sz w:val="17"/>
              </w:rPr>
            </w:r>
            <w:r>
              <w:rPr>
                <w:b w:val="0"/>
                <w:sz w:val="17"/>
              </w:rPr>
              <w:t>Create evacuation vehicle ICD and orbital receiving platform capacity model.</w:t>
            </w:r>
          </w:p>
        </w:tc>
      </w:tr>
      <w:tr>
        <w:tc>
          <w:tcPr>
            <w:tcW w:type="dxa" w:w="2592"/>
            <w:vAlign w:val="top"/>
          </w:tcPr>
          <w:p>
            <w:r>
              <w:rPr>
                <w:sz w:val="17"/>
              </w:rPr>
            </w:r>
            <w:r>
              <w:rPr>
                <w:b w:val="0"/>
                <w:sz w:val="17"/>
              </w:rPr>
              <w:t>Surface spaceport and launch rail segregation</w:t>
            </w:r>
          </w:p>
        </w:tc>
        <w:tc>
          <w:tcPr>
            <w:tcW w:type="dxa" w:w="2592"/>
            <w:vAlign w:val="top"/>
          </w:tcPr>
          <w:p>
            <w:r>
              <w:rPr>
                <w:sz w:val="17"/>
              </w:rPr>
            </w:r>
            <w:r>
              <w:rPr>
                <w:b w:val="0"/>
                <w:sz w:val="17"/>
              </w:rPr>
              <w:t>Closed as a governing requirement.</w:t>
            </w:r>
          </w:p>
        </w:tc>
        <w:tc>
          <w:tcPr>
            <w:tcW w:type="dxa" w:w="2592"/>
            <w:vAlign w:val="top"/>
          </w:tcPr>
          <w:p>
            <w:r>
              <w:rPr>
                <w:sz w:val="17"/>
              </w:rPr>
            </w:r>
            <w:r>
              <w:rPr>
                <w:b w:val="0"/>
                <w:sz w:val="17"/>
              </w:rPr>
              <w:t>Exact hazard corridors and rail alignment remain open.</w:t>
            </w:r>
          </w:p>
        </w:tc>
        <w:tc>
          <w:tcPr>
            <w:tcW w:type="dxa" w:w="2592"/>
            <w:vAlign w:val="top"/>
          </w:tcPr>
          <w:p>
            <w:r>
              <w:rPr>
                <w:sz w:val="17"/>
              </w:rPr>
            </w:r>
            <w:r>
              <w:rPr>
                <w:b w:val="0"/>
                <w:sz w:val="17"/>
              </w:rPr>
              <w:t>Run siting study and plume, debris, EM, and range safety analysis.</w:t>
            </w:r>
          </w:p>
        </w:tc>
      </w:tr>
      <w:tr>
        <w:tc>
          <w:tcPr>
            <w:tcW w:type="dxa" w:w="2592"/>
            <w:vAlign w:val="top"/>
          </w:tcPr>
          <w:p>
            <w:r>
              <w:rPr>
                <w:sz w:val="17"/>
              </w:rPr>
            </w:r>
            <w:r>
              <w:rPr>
                <w:b w:val="0"/>
                <w:sz w:val="17"/>
              </w:rPr>
              <w:t>Microwave power receiver and RF safety</w:t>
            </w:r>
          </w:p>
        </w:tc>
        <w:tc>
          <w:tcPr>
            <w:tcW w:type="dxa" w:w="2592"/>
            <w:vAlign w:val="top"/>
          </w:tcPr>
          <w:p>
            <w:r>
              <w:rPr>
                <w:sz w:val="17"/>
              </w:rPr>
            </w:r>
            <w:r>
              <w:rPr>
                <w:b w:val="0"/>
                <w:sz w:val="17"/>
              </w:rPr>
              <w:t>Closed as a controlled utility addition.</w:t>
            </w:r>
          </w:p>
        </w:tc>
        <w:tc>
          <w:tcPr>
            <w:tcW w:type="dxa" w:w="2592"/>
            <w:vAlign w:val="top"/>
          </w:tcPr>
          <w:p>
            <w:r>
              <w:rPr>
                <w:sz w:val="17"/>
              </w:rPr>
            </w:r>
            <w:r>
              <w:rPr>
                <w:b w:val="0"/>
                <w:sz w:val="17"/>
              </w:rPr>
              <w:t>Beam safety, spectrum filing, exclusion zone, and thermal rejection sizing remain open.</w:t>
            </w:r>
          </w:p>
        </w:tc>
        <w:tc>
          <w:tcPr>
            <w:tcW w:type="dxa" w:w="2592"/>
            <w:vAlign w:val="top"/>
          </w:tcPr>
          <w:p>
            <w:r>
              <w:rPr>
                <w:sz w:val="17"/>
              </w:rPr>
            </w:r>
            <w:r>
              <w:rPr>
                <w:b w:val="0"/>
                <w:sz w:val="17"/>
              </w:rPr>
              <w:t>Create RF safety case and spectrum coordination package.</w:t>
            </w:r>
          </w:p>
        </w:tc>
      </w:tr>
      <w:tr>
        <w:tc>
          <w:tcPr>
            <w:tcW w:type="dxa" w:w="2592"/>
            <w:vAlign w:val="top"/>
          </w:tcPr>
          <w:p>
            <w:r>
              <w:rPr>
                <w:sz w:val="17"/>
              </w:rPr>
            </w:r>
            <w:r>
              <w:rPr>
                <w:b w:val="0"/>
                <w:sz w:val="17"/>
              </w:rPr>
              <w:t>Separate mineral processing facility</w:t>
            </w:r>
          </w:p>
        </w:tc>
        <w:tc>
          <w:tcPr>
            <w:tcW w:type="dxa" w:w="2592"/>
            <w:vAlign w:val="top"/>
          </w:tcPr>
          <w:p>
            <w:r>
              <w:rPr>
                <w:sz w:val="17"/>
              </w:rPr>
            </w:r>
            <w:r>
              <w:rPr>
                <w:b w:val="0"/>
                <w:sz w:val="17"/>
              </w:rPr>
              <w:t>Closed as District H.</w:t>
            </w:r>
          </w:p>
        </w:tc>
        <w:tc>
          <w:tcPr>
            <w:tcW w:type="dxa" w:w="2592"/>
            <w:vAlign w:val="top"/>
          </w:tcPr>
          <w:p>
            <w:r>
              <w:rPr>
                <w:sz w:val="17"/>
              </w:rPr>
            </w:r>
            <w:r>
              <w:rPr>
                <w:b w:val="0"/>
                <w:sz w:val="17"/>
              </w:rPr>
              <w:t>Detailed process technology selection and residue handling remain open.</w:t>
            </w:r>
          </w:p>
        </w:tc>
        <w:tc>
          <w:tcPr>
            <w:tcW w:type="dxa" w:w="2592"/>
            <w:vAlign w:val="top"/>
          </w:tcPr>
          <w:p>
            <w:r>
              <w:rPr>
                <w:sz w:val="17"/>
              </w:rPr>
            </w:r>
            <w:r>
              <w:rPr>
                <w:b w:val="0"/>
                <w:sz w:val="17"/>
              </w:rPr>
              <w:t>Generate mineral processing process hazard analysis and TRL plan.</w:t>
            </w:r>
          </w:p>
        </w:tc>
      </w:tr>
      <w:tr>
        <w:tc>
          <w:tcPr>
            <w:tcW w:type="dxa" w:w="2592"/>
            <w:vAlign w:val="top"/>
          </w:tcPr>
          <w:p>
            <w:r>
              <w:rPr>
                <w:sz w:val="17"/>
              </w:rPr>
            </w:r>
            <w:r>
              <w:rPr>
                <w:b w:val="0"/>
                <w:sz w:val="17"/>
              </w:rPr>
              <w:t>Mars derivative settlement</w:t>
            </w:r>
          </w:p>
        </w:tc>
        <w:tc>
          <w:tcPr>
            <w:tcW w:type="dxa" w:w="2592"/>
            <w:vAlign w:val="top"/>
          </w:tcPr>
          <w:p>
            <w:r>
              <w:rPr>
                <w:sz w:val="17"/>
              </w:rPr>
            </w:r>
            <w:r>
              <w:rPr>
                <w:b w:val="0"/>
                <w:sz w:val="17"/>
              </w:rPr>
              <w:t>Closed as design parent relationship.</w:t>
            </w:r>
          </w:p>
        </w:tc>
        <w:tc>
          <w:tcPr>
            <w:tcW w:type="dxa" w:w="2592"/>
            <w:vAlign w:val="top"/>
          </w:tcPr>
          <w:p>
            <w:r>
              <w:rPr>
                <w:sz w:val="17"/>
              </w:rPr>
            </w:r>
            <w:r>
              <w:rPr>
                <w:b w:val="0"/>
                <w:sz w:val="17"/>
              </w:rPr>
              <w:t>Mars specific EDL, dust, perchlorate, atmosphere, and planetary protection controls require package level design.</w:t>
            </w:r>
          </w:p>
        </w:tc>
        <w:tc>
          <w:tcPr>
            <w:tcW w:type="dxa" w:w="2592"/>
            <w:vAlign w:val="top"/>
          </w:tcPr>
          <w:p>
            <w:r>
              <w:rPr>
                <w:sz w:val="17"/>
              </w:rPr>
            </w:r>
            <w:r>
              <w:rPr>
                <w:b w:val="0"/>
                <w:sz w:val="17"/>
              </w:rPr>
              <w:t>Prepare Mars design adaptation requirements document.</w:t>
            </w:r>
          </w:p>
        </w:tc>
      </w:tr>
      <w:tr>
        <w:tc>
          <w:tcPr>
            <w:tcW w:type="dxa" w:w="2592"/>
            <w:vAlign w:val="top"/>
          </w:tcPr>
          <w:p>
            <w:r>
              <w:rPr>
                <w:sz w:val="17"/>
              </w:rPr>
            </w:r>
            <w:r>
              <w:rPr>
                <w:b w:val="0"/>
                <w:sz w:val="17"/>
              </w:rPr>
              <w:t>Ceres autonomous worksite</w:t>
            </w:r>
          </w:p>
        </w:tc>
        <w:tc>
          <w:tcPr>
            <w:tcW w:type="dxa" w:w="2592"/>
            <w:vAlign w:val="top"/>
          </w:tcPr>
          <w:p>
            <w:r>
              <w:rPr>
                <w:sz w:val="17"/>
              </w:rPr>
            </w:r>
            <w:r>
              <w:rPr>
                <w:b w:val="0"/>
                <w:sz w:val="17"/>
              </w:rPr>
              <w:t>Closed as robotic first derivative.</w:t>
            </w:r>
          </w:p>
        </w:tc>
        <w:tc>
          <w:tcPr>
            <w:tcW w:type="dxa" w:w="2592"/>
            <w:vAlign w:val="top"/>
          </w:tcPr>
          <w:p>
            <w:r>
              <w:rPr>
                <w:sz w:val="17"/>
              </w:rPr>
            </w:r>
            <w:r>
              <w:rPr>
                <w:b w:val="0"/>
                <w:sz w:val="17"/>
              </w:rPr>
              <w:t>Anchoring, autonomy, and volatile handling methods require trade study.</w:t>
            </w:r>
          </w:p>
        </w:tc>
        <w:tc>
          <w:tcPr>
            <w:tcW w:type="dxa" w:w="2592"/>
            <w:vAlign w:val="top"/>
          </w:tcPr>
          <w:p>
            <w:r>
              <w:rPr>
                <w:sz w:val="17"/>
              </w:rPr>
            </w:r>
            <w:r>
              <w:rPr>
                <w:b w:val="0"/>
                <w:sz w:val="17"/>
              </w:rPr>
              <w:t>Prepare CAMW robotics and anchoring technology plan.</w:t>
            </w:r>
          </w:p>
        </w:tc>
      </w:tr>
      <w:tr>
        <w:tc>
          <w:tcPr>
            <w:tcW w:type="dxa" w:w="2592"/>
            <w:vAlign w:val="top"/>
          </w:tcPr>
          <w:p>
            <w:r>
              <w:rPr>
                <w:sz w:val="17"/>
              </w:rPr>
            </w:r>
            <w:r>
              <w:rPr>
                <w:b w:val="0"/>
                <w:sz w:val="17"/>
              </w:rPr>
              <w:t>Venus afloat and orbital platforms</w:t>
            </w:r>
          </w:p>
        </w:tc>
        <w:tc>
          <w:tcPr>
            <w:tcW w:type="dxa" w:w="2592"/>
            <w:vAlign w:val="top"/>
          </w:tcPr>
          <w:p>
            <w:r>
              <w:rPr>
                <w:sz w:val="17"/>
              </w:rPr>
            </w:r>
            <w:r>
              <w:rPr>
                <w:b w:val="0"/>
                <w:sz w:val="17"/>
              </w:rPr>
              <w:t>Closed as concept baseline.</w:t>
            </w:r>
          </w:p>
        </w:tc>
        <w:tc>
          <w:tcPr>
            <w:tcW w:type="dxa" w:w="2592"/>
            <w:vAlign w:val="top"/>
          </w:tcPr>
          <w:p>
            <w:r>
              <w:rPr>
                <w:sz w:val="17"/>
              </w:rPr>
            </w:r>
            <w:r>
              <w:rPr>
                <w:b w:val="0"/>
                <w:sz w:val="17"/>
              </w:rPr>
              <w:t>Materials, buoyancy, corrosion, thermal, and traffic insertion safety need proof chain.</w:t>
            </w:r>
          </w:p>
        </w:tc>
        <w:tc>
          <w:tcPr>
            <w:tcW w:type="dxa" w:w="2592"/>
            <w:vAlign w:val="top"/>
          </w:tcPr>
          <w:p>
            <w:r>
              <w:rPr>
                <w:sz w:val="17"/>
              </w:rPr>
            </w:r>
            <w:r>
              <w:rPr>
                <w:b w:val="0"/>
                <w:sz w:val="17"/>
              </w:rPr>
              <w:t>Prepare V-GPAM and V-OTIP Phase A trade package.</w:t>
            </w:r>
          </w:p>
        </w:tc>
      </w:tr>
      <w:tr>
        <w:tc>
          <w:tcPr>
            <w:tcW w:type="dxa" w:w="2592"/>
            <w:vAlign w:val="top"/>
          </w:tcPr>
          <w:p>
            <w:r>
              <w:rPr>
                <w:sz w:val="17"/>
              </w:rPr>
            </w:r>
            <w:r>
              <w:rPr>
                <w:b w:val="0"/>
                <w:sz w:val="17"/>
              </w:rPr>
              <w:t>Treaty and resource rights compliance</w:t>
            </w:r>
          </w:p>
        </w:tc>
        <w:tc>
          <w:tcPr>
            <w:tcW w:type="dxa" w:w="2592"/>
            <w:vAlign w:val="top"/>
          </w:tcPr>
          <w:p>
            <w:r>
              <w:rPr>
                <w:sz w:val="17"/>
              </w:rPr>
            </w:r>
            <w:r>
              <w:rPr>
                <w:b w:val="0"/>
                <w:sz w:val="17"/>
              </w:rPr>
              <w:t>Closed as WP32 control layer.</w:t>
            </w:r>
          </w:p>
        </w:tc>
        <w:tc>
          <w:tcPr>
            <w:tcW w:type="dxa" w:w="2592"/>
            <w:vAlign w:val="top"/>
          </w:tcPr>
          <w:p>
            <w:r>
              <w:rPr>
                <w:sz w:val="17"/>
              </w:rPr>
            </w:r>
            <w:r>
              <w:rPr>
                <w:b w:val="0"/>
                <w:sz w:val="17"/>
              </w:rPr>
              <w:t>Applicable national licensing route must be selected by operating entity and launch jurisdiction.</w:t>
            </w:r>
          </w:p>
        </w:tc>
        <w:tc>
          <w:tcPr>
            <w:tcW w:type="dxa" w:w="2592"/>
            <w:vAlign w:val="top"/>
          </w:tcPr>
          <w:p>
            <w:r>
              <w:rPr>
                <w:sz w:val="17"/>
              </w:rPr>
            </w:r>
            <w:r>
              <w:rPr>
                <w:b w:val="0"/>
                <w:sz w:val="17"/>
              </w:rPr>
              <w:t>Start counsel led jurisdiction and licensing matrix.</w:t>
            </w:r>
          </w:p>
        </w:tc>
      </w:tr>
    </w:tbl>
    <w:p>
      <w:pPr>
        <w:pStyle w:val="Heading2"/>
      </w:pPr>
      <w:r>
        <w:t>23.5 WBS Reconciliation</w:t>
      </w:r>
    </w:p>
    <w:p>
      <w:pPr/>
      <w:r>
        <w:t>Rev 3.3 confirms that WP1 through WP35 remain active in the master program structure. The controlling hierarchy is shown below.</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1F4E79"/>
          </w:tcPr>
          <w:p>
            <w:r>
              <w:rPr>
                <w:b/>
                <w:sz w:val="17"/>
              </w:rPr>
            </w:r>
            <w:r>
              <w:rPr>
                <w:b/>
                <w:sz w:val="17"/>
              </w:rPr>
              <w:t>WBS range</w:t>
            </w:r>
          </w:p>
        </w:tc>
        <w:tc>
          <w:tcPr>
            <w:tcW w:type="dxa" w:w="3456"/>
            <w:vAlign w:val="top"/>
            <w:shd w:fill="1F4E79"/>
          </w:tcPr>
          <w:p>
            <w:r>
              <w:rPr>
                <w:b/>
                <w:sz w:val="17"/>
              </w:rPr>
            </w:r>
            <w:r>
              <w:rPr>
                <w:b/>
                <w:sz w:val="17"/>
              </w:rPr>
              <w:t>Controlled scope</w:t>
            </w:r>
          </w:p>
        </w:tc>
        <w:tc>
          <w:tcPr>
            <w:tcW w:type="dxa" w:w="3456"/>
            <w:vAlign w:val="top"/>
            <w:shd w:fill="1F4E79"/>
          </w:tcPr>
          <w:p>
            <w:r>
              <w:rPr>
                <w:b/>
                <w:sz w:val="17"/>
              </w:rPr>
            </w:r>
            <w:r>
              <w:rPr>
                <w:b/>
                <w:sz w:val="17"/>
              </w:rPr>
              <w:t>Funding posture</w:t>
            </w:r>
          </w:p>
        </w:tc>
      </w:tr>
      <w:tr>
        <w:tc>
          <w:tcPr>
            <w:tcW w:type="dxa" w:w="3456"/>
            <w:vAlign w:val="top"/>
          </w:tcPr>
          <w:p>
            <w:r>
              <w:rPr>
                <w:sz w:val="17"/>
              </w:rPr>
            </w:r>
            <w:r>
              <w:rPr>
                <w:b w:val="0"/>
                <w:sz w:val="17"/>
              </w:rPr>
              <w:t>WP1 to WP19</w:t>
            </w:r>
          </w:p>
        </w:tc>
        <w:tc>
          <w:tcPr>
            <w:tcW w:type="dxa" w:w="3456"/>
            <w:vAlign w:val="top"/>
          </w:tcPr>
          <w:p>
            <w:r>
              <w:rPr>
                <w:sz w:val="17"/>
              </w:rPr>
            </w:r>
            <w:r>
              <w:rPr>
                <w:b w:val="0"/>
                <w:sz w:val="17"/>
              </w:rPr>
              <w:t>Original lunar Phase 1 core, including settlement, utilities, ISRU, refuge, evacuation, construction, commissioning, and operations.</w:t>
            </w:r>
          </w:p>
        </w:tc>
        <w:tc>
          <w:tcPr>
            <w:tcW w:type="dxa" w:w="3456"/>
            <w:vAlign w:val="top"/>
          </w:tcPr>
          <w:p>
            <w:r>
              <w:rPr>
                <w:sz w:val="17"/>
              </w:rPr>
            </w:r>
            <w:r>
              <w:rPr>
                <w:b w:val="0"/>
                <w:sz w:val="17"/>
              </w:rPr>
              <w:t>Core funding path.</w:t>
            </w:r>
          </w:p>
        </w:tc>
      </w:tr>
      <w:tr>
        <w:tc>
          <w:tcPr>
            <w:tcW w:type="dxa" w:w="3456"/>
            <w:vAlign w:val="top"/>
          </w:tcPr>
          <w:p>
            <w:r>
              <w:rPr>
                <w:sz w:val="17"/>
              </w:rPr>
            </w:r>
            <w:r>
              <w:rPr>
                <w:b w:val="0"/>
                <w:sz w:val="17"/>
              </w:rPr>
              <w:t>WP20 to WP25</w:t>
            </w:r>
          </w:p>
        </w:tc>
        <w:tc>
          <w:tcPr>
            <w:tcW w:type="dxa" w:w="3456"/>
            <w:vAlign w:val="top"/>
          </w:tcPr>
          <w:p>
            <w:r>
              <w:rPr>
                <w:sz w:val="17"/>
              </w:rPr>
            </w:r>
            <w:r>
              <w:rPr>
                <w:b w:val="0"/>
                <w:sz w:val="17"/>
              </w:rPr>
              <w:t>Expanded lunar industrial systems, including surface spaceport, EM launch rail, microwave receiver, solar farm, seismic network, and mineral processing district.</w:t>
            </w:r>
          </w:p>
        </w:tc>
        <w:tc>
          <w:tcPr>
            <w:tcW w:type="dxa" w:w="3456"/>
            <w:vAlign w:val="top"/>
          </w:tcPr>
          <w:p>
            <w:r>
              <w:rPr>
                <w:sz w:val="17"/>
              </w:rPr>
            </w:r>
            <w:r>
              <w:rPr>
                <w:b w:val="0"/>
                <w:sz w:val="17"/>
              </w:rPr>
              <w:t>Staged funding path, subordinate to core safety gates.</w:t>
            </w:r>
          </w:p>
        </w:tc>
      </w:tr>
      <w:tr>
        <w:tc>
          <w:tcPr>
            <w:tcW w:type="dxa" w:w="3456"/>
            <w:vAlign w:val="top"/>
          </w:tcPr>
          <w:p>
            <w:r>
              <w:rPr>
                <w:sz w:val="17"/>
              </w:rPr>
            </w:r>
            <w:r>
              <w:rPr>
                <w:b w:val="0"/>
                <w:sz w:val="17"/>
              </w:rPr>
              <w:t>WP26 to WP31</w:t>
            </w:r>
          </w:p>
        </w:tc>
        <w:tc>
          <w:tcPr>
            <w:tcW w:type="dxa" w:w="3456"/>
            <w:vAlign w:val="top"/>
          </w:tcPr>
          <w:p>
            <w:r>
              <w:rPr>
                <w:sz w:val="17"/>
              </w:rPr>
            </w:r>
            <w:r>
              <w:rPr>
                <w:b w:val="0"/>
                <w:sz w:val="17"/>
              </w:rPr>
              <w:t>Mars derivative, Lunar Biodiversity Vault, Ceres worksite, Venus afloat module, Venus orbital traffic platform, and interplanetary interface control.</w:t>
            </w:r>
          </w:p>
        </w:tc>
        <w:tc>
          <w:tcPr>
            <w:tcW w:type="dxa" w:w="3456"/>
            <w:vAlign w:val="top"/>
          </w:tcPr>
          <w:p>
            <w:r>
              <w:rPr>
                <w:sz w:val="17"/>
              </w:rPr>
            </w:r>
            <w:r>
              <w:rPr>
                <w:b w:val="0"/>
                <w:sz w:val="17"/>
              </w:rPr>
              <w:t>Portfolio option path, released by separate board decisions.</w:t>
            </w:r>
          </w:p>
        </w:tc>
      </w:tr>
      <w:tr>
        <w:tc>
          <w:tcPr>
            <w:tcW w:type="dxa" w:w="3456"/>
            <w:vAlign w:val="top"/>
          </w:tcPr>
          <w:p>
            <w:r>
              <w:rPr>
                <w:sz w:val="17"/>
              </w:rPr>
            </w:r>
            <w:r>
              <w:rPr>
                <w:b w:val="0"/>
                <w:sz w:val="17"/>
              </w:rPr>
              <w:t>WP32 to WP35</w:t>
            </w:r>
          </w:p>
        </w:tc>
        <w:tc>
          <w:tcPr>
            <w:tcW w:type="dxa" w:w="3456"/>
            <w:vAlign w:val="top"/>
          </w:tcPr>
          <w:p>
            <w:r>
              <w:rPr>
                <w:sz w:val="17"/>
              </w:rPr>
            </w:r>
            <w:r>
              <w:rPr>
                <w:b w:val="0"/>
                <w:sz w:val="17"/>
              </w:rPr>
              <w:t>Treaty, mineral survey, extraction technology qualification, planetary protection, biosecurity, sample curation, and compliance control packages.</w:t>
            </w:r>
          </w:p>
        </w:tc>
        <w:tc>
          <w:tcPr>
            <w:tcW w:type="dxa" w:w="3456"/>
            <w:vAlign w:val="top"/>
          </w:tcPr>
          <w:p>
            <w:r>
              <w:rPr>
                <w:sz w:val="17"/>
              </w:rPr>
            </w:r>
            <w:r>
              <w:rPr>
                <w:b w:val="0"/>
                <w:sz w:val="17"/>
              </w:rPr>
              <w:t>Mandatory governance path before resource extraction or traffic insertion operations.</w:t>
            </w:r>
          </w:p>
        </w:tc>
      </w:tr>
    </w:tbl>
    <w:p>
      <w:pPr>
        <w:pStyle w:val="Heading2"/>
      </w:pPr>
      <w:r>
        <w:t>23.6 Configuration Control Rules Added in Rev 3.3</w:t>
      </w:r>
    </w:p>
    <w:p>
      <w:pPr>
        <w:pStyle w:val="ListBullet"/>
      </w:pPr>
      <w:r>
        <w:t>Every future change shall be classified as safety critical, cost critical, schedule critical, revenue critical, compliance critical, or editorial before insertion into the master document.</w:t>
      </w:r>
    </w:p>
    <w:p>
      <w:pPr>
        <w:pStyle w:val="ListBullet"/>
      </w:pPr>
      <w:r>
        <w:t>Any change that affects refuge duration, evacuation capacity, protected reserves, planetary protection, nuclear safety, spectrum usage, launch safety, or crew survival shall require board level gate review.</w:t>
      </w:r>
    </w:p>
    <w:p>
      <w:pPr>
        <w:pStyle w:val="ListBullet"/>
      </w:pPr>
      <w:r>
        <w:t>The master document, board deck, financial workbook, WBS register, risk register, and requirements traceability matrix shall carry the same revision identifier before external distribution.</w:t>
      </w:r>
    </w:p>
    <w:p>
      <w:pPr>
        <w:pStyle w:val="ListBullet"/>
      </w:pPr>
      <w:r>
        <w:t>Commodity revenue projections shall not be used to justify reduction of protected water, oxygen, hydrogen, food, medical, evacuation, or emergency power reserves.</w:t>
      </w:r>
    </w:p>
    <w:p>
      <w:pPr>
        <w:pStyle w:val="ListBullet"/>
      </w:pPr>
      <w:r>
        <w:t>Interplanetary derivative costs shall not be merged into the lunar Phase 1 capital baseline without a separate authorization and financing record.</w:t>
      </w:r>
    </w:p>
    <w:p>
      <w:pPr>
        <w:pStyle w:val="ListBullet"/>
      </w:pPr>
      <w:r>
        <w:t>Technology readiness claims shall identify evidence level, test location, test scale, environmental relevance, and remaining qualification gap.</w:t>
      </w:r>
    </w:p>
    <w:p>
      <w:pPr>
        <w:pStyle w:val="Heading2"/>
      </w:pPr>
      <w:r>
        <w:t>23.7 Rev 3.3 Immediate Action Register</w:t>
      </w:r>
    </w:p>
    <w:tbl>
      <w:tblPr>
        <w:tblStyle w:val="TableGrid"/>
        <w:tblW w:type="auto" w:w="0"/>
        <w:jc w:val="center"/>
        <w:tblLayout w:type="autofit"/>
        <w:tblLook w:firstColumn="1" w:firstRow="1" w:lastColumn="0" w:lastRow="0" w:noHBand="0" w:noVBand="1" w:val="04A0"/>
      </w:tblPr>
      <w:tblGrid>
        <w:gridCol w:w="2074"/>
        <w:gridCol w:w="2074"/>
        <w:gridCol w:w="2074"/>
        <w:gridCol w:w="2074"/>
        <w:gridCol w:w="2074"/>
      </w:tblGrid>
      <w:tr>
        <w:tc>
          <w:tcPr>
            <w:tcW w:type="dxa" w:w="2074"/>
            <w:vAlign w:val="top"/>
            <w:shd w:fill="1F4E79"/>
          </w:tcPr>
          <w:p>
            <w:r>
              <w:rPr>
                <w:b/>
                <w:sz w:val="17"/>
              </w:rPr>
            </w:r>
            <w:r>
              <w:rPr>
                <w:b/>
                <w:sz w:val="17"/>
              </w:rPr>
              <w:t>Action ID</w:t>
            </w:r>
          </w:p>
        </w:tc>
        <w:tc>
          <w:tcPr>
            <w:tcW w:type="dxa" w:w="2074"/>
            <w:vAlign w:val="top"/>
            <w:shd w:fill="1F4E79"/>
          </w:tcPr>
          <w:p>
            <w:r>
              <w:rPr>
                <w:b/>
                <w:sz w:val="17"/>
              </w:rPr>
            </w:r>
            <w:r>
              <w:rPr>
                <w:b/>
                <w:sz w:val="17"/>
              </w:rPr>
              <w:t>Action</w:t>
            </w:r>
          </w:p>
        </w:tc>
        <w:tc>
          <w:tcPr>
            <w:tcW w:type="dxa" w:w="2074"/>
            <w:vAlign w:val="top"/>
            <w:shd w:fill="1F4E79"/>
          </w:tcPr>
          <w:p>
            <w:r>
              <w:rPr>
                <w:b/>
                <w:sz w:val="17"/>
              </w:rPr>
            </w:r>
            <w:r>
              <w:rPr>
                <w:b/>
                <w:sz w:val="17"/>
              </w:rPr>
              <w:t>Owner function</w:t>
            </w:r>
          </w:p>
        </w:tc>
        <w:tc>
          <w:tcPr>
            <w:tcW w:type="dxa" w:w="2074"/>
            <w:vAlign w:val="top"/>
            <w:shd w:fill="1F4E79"/>
          </w:tcPr>
          <w:p>
            <w:r>
              <w:rPr>
                <w:b/>
                <w:sz w:val="17"/>
              </w:rPr>
            </w:r>
            <w:r>
              <w:rPr>
                <w:b/>
                <w:sz w:val="17"/>
              </w:rPr>
              <w:t>Target window</w:t>
            </w:r>
          </w:p>
        </w:tc>
        <w:tc>
          <w:tcPr>
            <w:tcW w:type="dxa" w:w="2074"/>
            <w:vAlign w:val="top"/>
            <w:shd w:fill="1F4E79"/>
          </w:tcPr>
          <w:p>
            <w:r>
              <w:rPr>
                <w:b/>
                <w:sz w:val="17"/>
              </w:rPr>
            </w:r>
            <w:r>
              <w:rPr>
                <w:b/>
                <w:sz w:val="17"/>
              </w:rPr>
              <w:t>Exit product</w:t>
            </w:r>
          </w:p>
        </w:tc>
      </w:tr>
      <w:tr>
        <w:tc>
          <w:tcPr>
            <w:tcW w:type="dxa" w:w="2074"/>
            <w:vAlign w:val="top"/>
          </w:tcPr>
          <w:p>
            <w:r>
              <w:rPr>
                <w:sz w:val="17"/>
              </w:rPr>
            </w:r>
            <w:r>
              <w:rPr>
                <w:b w:val="0"/>
                <w:sz w:val="17"/>
              </w:rPr>
              <w:t>A33-01</w:t>
            </w:r>
          </w:p>
        </w:tc>
        <w:tc>
          <w:tcPr>
            <w:tcW w:type="dxa" w:w="2074"/>
            <w:vAlign w:val="top"/>
          </w:tcPr>
          <w:p>
            <w:r>
              <w:rPr>
                <w:sz w:val="17"/>
              </w:rPr>
            </w:r>
            <w:r>
              <w:rPr>
                <w:b w:val="0"/>
                <w:sz w:val="17"/>
              </w:rPr>
              <w:t>Create controlled requirements database from the master document.</w:t>
            </w:r>
          </w:p>
        </w:tc>
        <w:tc>
          <w:tcPr>
            <w:tcW w:type="dxa" w:w="2074"/>
            <w:vAlign w:val="top"/>
          </w:tcPr>
          <w:p>
            <w:r>
              <w:rPr>
                <w:sz w:val="17"/>
              </w:rPr>
            </w:r>
            <w:r>
              <w:rPr>
                <w:b w:val="0"/>
                <w:sz w:val="17"/>
              </w:rPr>
              <w:t>Systems engineering</w:t>
            </w:r>
          </w:p>
        </w:tc>
        <w:tc>
          <w:tcPr>
            <w:tcW w:type="dxa" w:w="2074"/>
            <w:vAlign w:val="top"/>
          </w:tcPr>
          <w:p>
            <w:r>
              <w:rPr>
                <w:sz w:val="17"/>
              </w:rPr>
            </w:r>
            <w:r>
              <w:rPr>
                <w:b w:val="0"/>
                <w:sz w:val="17"/>
              </w:rPr>
              <w:t>0 to 30 days</w:t>
            </w:r>
          </w:p>
        </w:tc>
        <w:tc>
          <w:tcPr>
            <w:tcW w:type="dxa" w:w="2074"/>
            <w:vAlign w:val="top"/>
          </w:tcPr>
          <w:p>
            <w:r>
              <w:rPr>
                <w:sz w:val="17"/>
              </w:rPr>
            </w:r>
            <w:r>
              <w:rPr>
                <w:b w:val="0"/>
                <w:sz w:val="17"/>
              </w:rPr>
              <w:t>Requirements register with unique IDs and verification methods.</w:t>
            </w:r>
          </w:p>
        </w:tc>
      </w:tr>
      <w:tr>
        <w:tc>
          <w:tcPr>
            <w:tcW w:type="dxa" w:w="2074"/>
            <w:vAlign w:val="top"/>
          </w:tcPr>
          <w:p>
            <w:r>
              <w:rPr>
                <w:sz w:val="17"/>
              </w:rPr>
            </w:r>
            <w:r>
              <w:rPr>
                <w:b w:val="0"/>
                <w:sz w:val="17"/>
              </w:rPr>
              <w:t>A33-02</w:t>
            </w:r>
          </w:p>
        </w:tc>
        <w:tc>
          <w:tcPr>
            <w:tcW w:type="dxa" w:w="2074"/>
            <w:vAlign w:val="top"/>
          </w:tcPr>
          <w:p>
            <w:r>
              <w:rPr>
                <w:sz w:val="17"/>
              </w:rPr>
            </w:r>
            <w:r>
              <w:rPr>
                <w:b w:val="0"/>
                <w:sz w:val="17"/>
              </w:rPr>
              <w:t>Reconcile board deck, financial workbook, WBS, and risk register to Rev 3.3.</w:t>
            </w:r>
          </w:p>
        </w:tc>
        <w:tc>
          <w:tcPr>
            <w:tcW w:type="dxa" w:w="2074"/>
            <w:vAlign w:val="top"/>
          </w:tcPr>
          <w:p>
            <w:r>
              <w:rPr>
                <w:sz w:val="17"/>
              </w:rPr>
            </w:r>
            <w:r>
              <w:rPr>
                <w:b w:val="0"/>
                <w:sz w:val="17"/>
              </w:rPr>
              <w:t>Program controls</w:t>
            </w:r>
          </w:p>
        </w:tc>
        <w:tc>
          <w:tcPr>
            <w:tcW w:type="dxa" w:w="2074"/>
            <w:vAlign w:val="top"/>
          </w:tcPr>
          <w:p>
            <w:r>
              <w:rPr>
                <w:sz w:val="17"/>
              </w:rPr>
            </w:r>
            <w:r>
              <w:rPr>
                <w:b w:val="0"/>
                <w:sz w:val="17"/>
              </w:rPr>
              <w:t>0 to 30 days</w:t>
            </w:r>
          </w:p>
        </w:tc>
        <w:tc>
          <w:tcPr>
            <w:tcW w:type="dxa" w:w="2074"/>
            <w:vAlign w:val="top"/>
          </w:tcPr>
          <w:p>
            <w:r>
              <w:rPr>
                <w:sz w:val="17"/>
              </w:rPr>
            </w:r>
            <w:r>
              <w:rPr>
                <w:b w:val="0"/>
                <w:sz w:val="17"/>
              </w:rPr>
              <w:t>Version locked executive package.</w:t>
            </w:r>
          </w:p>
        </w:tc>
      </w:tr>
      <w:tr>
        <w:tc>
          <w:tcPr>
            <w:tcW w:type="dxa" w:w="2074"/>
            <w:vAlign w:val="top"/>
          </w:tcPr>
          <w:p>
            <w:r>
              <w:rPr>
                <w:sz w:val="17"/>
              </w:rPr>
            </w:r>
            <w:r>
              <w:rPr>
                <w:b w:val="0"/>
                <w:sz w:val="17"/>
              </w:rPr>
              <w:t>A33-03</w:t>
            </w:r>
          </w:p>
        </w:tc>
        <w:tc>
          <w:tcPr>
            <w:tcW w:type="dxa" w:w="2074"/>
            <w:vAlign w:val="top"/>
          </w:tcPr>
          <w:p>
            <w:r>
              <w:rPr>
                <w:sz w:val="17"/>
              </w:rPr>
            </w:r>
            <w:r>
              <w:rPr>
                <w:b w:val="0"/>
                <w:sz w:val="17"/>
              </w:rPr>
              <w:t>Prepare ICD pack for power, water, atmosphere, thermal, cryogenic, data, traffic, and safety interfaces.</w:t>
            </w:r>
          </w:p>
        </w:tc>
        <w:tc>
          <w:tcPr>
            <w:tcW w:type="dxa" w:w="2074"/>
            <w:vAlign w:val="top"/>
          </w:tcPr>
          <w:p>
            <w:r>
              <w:rPr>
                <w:sz w:val="17"/>
              </w:rPr>
            </w:r>
            <w:r>
              <w:rPr>
                <w:b w:val="0"/>
                <w:sz w:val="17"/>
              </w:rPr>
              <w:t>Systems engineering</w:t>
            </w:r>
          </w:p>
        </w:tc>
        <w:tc>
          <w:tcPr>
            <w:tcW w:type="dxa" w:w="2074"/>
            <w:vAlign w:val="top"/>
          </w:tcPr>
          <w:p>
            <w:r>
              <w:rPr>
                <w:sz w:val="17"/>
              </w:rPr>
            </w:r>
            <w:r>
              <w:rPr>
                <w:b w:val="0"/>
                <w:sz w:val="17"/>
              </w:rPr>
              <w:t>30 to 90 days</w:t>
            </w:r>
          </w:p>
        </w:tc>
        <w:tc>
          <w:tcPr>
            <w:tcW w:type="dxa" w:w="2074"/>
            <w:vAlign w:val="top"/>
          </w:tcPr>
          <w:p>
            <w:r>
              <w:rPr>
                <w:sz w:val="17"/>
              </w:rPr>
            </w:r>
            <w:r>
              <w:rPr>
                <w:b w:val="0"/>
                <w:sz w:val="17"/>
              </w:rPr>
              <w:t>Interface control document set, Rev A.</w:t>
            </w:r>
          </w:p>
        </w:tc>
      </w:tr>
      <w:tr>
        <w:tc>
          <w:tcPr>
            <w:tcW w:type="dxa" w:w="2074"/>
            <w:vAlign w:val="top"/>
          </w:tcPr>
          <w:p>
            <w:r>
              <w:rPr>
                <w:sz w:val="17"/>
              </w:rPr>
            </w:r>
            <w:r>
              <w:rPr>
                <w:b w:val="0"/>
                <w:sz w:val="17"/>
              </w:rPr>
              <w:t>A33-04</w:t>
            </w:r>
          </w:p>
        </w:tc>
        <w:tc>
          <w:tcPr>
            <w:tcW w:type="dxa" w:w="2074"/>
            <w:vAlign w:val="top"/>
          </w:tcPr>
          <w:p>
            <w:r>
              <w:rPr>
                <w:sz w:val="17"/>
              </w:rPr>
            </w:r>
            <w:r>
              <w:rPr>
                <w:b w:val="0"/>
                <w:sz w:val="17"/>
              </w:rPr>
              <w:t>Launch legal and policy matrix for treaty, licensing, registration, spectrum, nuclear safety, and planetary protection.</w:t>
            </w:r>
          </w:p>
        </w:tc>
        <w:tc>
          <w:tcPr>
            <w:tcW w:type="dxa" w:w="2074"/>
            <w:vAlign w:val="top"/>
          </w:tcPr>
          <w:p>
            <w:r>
              <w:rPr>
                <w:sz w:val="17"/>
              </w:rPr>
            </w:r>
            <w:r>
              <w:rPr>
                <w:b w:val="0"/>
                <w:sz w:val="17"/>
              </w:rPr>
              <w:t>Legal and compliance</w:t>
            </w:r>
          </w:p>
        </w:tc>
        <w:tc>
          <w:tcPr>
            <w:tcW w:type="dxa" w:w="2074"/>
            <w:vAlign w:val="top"/>
          </w:tcPr>
          <w:p>
            <w:r>
              <w:rPr>
                <w:sz w:val="17"/>
              </w:rPr>
            </w:r>
            <w:r>
              <w:rPr>
                <w:b w:val="0"/>
                <w:sz w:val="17"/>
              </w:rPr>
              <w:t>30 to 90 days</w:t>
            </w:r>
          </w:p>
        </w:tc>
        <w:tc>
          <w:tcPr>
            <w:tcW w:type="dxa" w:w="2074"/>
            <w:vAlign w:val="top"/>
          </w:tcPr>
          <w:p>
            <w:r>
              <w:rPr>
                <w:sz w:val="17"/>
              </w:rPr>
            </w:r>
            <w:r>
              <w:rPr>
                <w:b w:val="0"/>
                <w:sz w:val="17"/>
              </w:rPr>
              <w:t>Jurisdiction and filing roadmap.</w:t>
            </w:r>
          </w:p>
        </w:tc>
      </w:tr>
      <w:tr>
        <w:tc>
          <w:tcPr>
            <w:tcW w:type="dxa" w:w="2074"/>
            <w:vAlign w:val="top"/>
          </w:tcPr>
          <w:p>
            <w:r>
              <w:rPr>
                <w:sz w:val="17"/>
              </w:rPr>
            </w:r>
            <w:r>
              <w:rPr>
                <w:b w:val="0"/>
                <w:sz w:val="17"/>
              </w:rPr>
              <w:t>A33-05</w:t>
            </w:r>
          </w:p>
        </w:tc>
        <w:tc>
          <w:tcPr>
            <w:tcW w:type="dxa" w:w="2074"/>
            <w:vAlign w:val="top"/>
          </w:tcPr>
          <w:p>
            <w:r>
              <w:rPr>
                <w:sz w:val="17"/>
              </w:rPr>
            </w:r>
            <w:r>
              <w:rPr>
                <w:b w:val="0"/>
                <w:sz w:val="17"/>
              </w:rPr>
              <w:t>Produce mineral survey and resource classification plan for Moon, Mars, Ceres, Venus, Mercury, and priority asteroid classes.</w:t>
            </w:r>
          </w:p>
        </w:tc>
        <w:tc>
          <w:tcPr>
            <w:tcW w:type="dxa" w:w="2074"/>
            <w:vAlign w:val="top"/>
          </w:tcPr>
          <w:p>
            <w:r>
              <w:rPr>
                <w:sz w:val="17"/>
              </w:rPr>
            </w:r>
            <w:r>
              <w:rPr>
                <w:b w:val="0"/>
                <w:sz w:val="17"/>
              </w:rPr>
              <w:t>Resource geology</w:t>
            </w:r>
          </w:p>
        </w:tc>
        <w:tc>
          <w:tcPr>
            <w:tcW w:type="dxa" w:w="2074"/>
            <w:vAlign w:val="top"/>
          </w:tcPr>
          <w:p>
            <w:r>
              <w:rPr>
                <w:sz w:val="17"/>
              </w:rPr>
            </w:r>
            <w:r>
              <w:rPr>
                <w:b w:val="0"/>
                <w:sz w:val="17"/>
              </w:rPr>
              <w:t>60 to 120 days</w:t>
            </w:r>
          </w:p>
        </w:tc>
        <w:tc>
          <w:tcPr>
            <w:tcW w:type="dxa" w:w="2074"/>
            <w:vAlign w:val="top"/>
          </w:tcPr>
          <w:p>
            <w:r>
              <w:rPr>
                <w:sz w:val="17"/>
              </w:rPr>
            </w:r>
            <w:r>
              <w:rPr>
                <w:b w:val="0"/>
                <w:sz w:val="17"/>
              </w:rPr>
              <w:t>Survey targets, confidence ladder, and reserve booking rules.</w:t>
            </w:r>
          </w:p>
        </w:tc>
      </w:tr>
      <w:tr>
        <w:tc>
          <w:tcPr>
            <w:tcW w:type="dxa" w:w="2074"/>
            <w:vAlign w:val="top"/>
          </w:tcPr>
          <w:p>
            <w:r>
              <w:rPr>
                <w:sz w:val="17"/>
              </w:rPr>
            </w:r>
            <w:r>
              <w:rPr>
                <w:b w:val="0"/>
                <w:sz w:val="17"/>
              </w:rPr>
              <w:t>A33-06</w:t>
            </w:r>
          </w:p>
        </w:tc>
        <w:tc>
          <w:tcPr>
            <w:tcW w:type="dxa" w:w="2074"/>
            <w:vAlign w:val="top"/>
          </w:tcPr>
          <w:p>
            <w:r>
              <w:rPr>
                <w:sz w:val="17"/>
              </w:rPr>
            </w:r>
            <w:r>
              <w:rPr>
                <w:b w:val="0"/>
                <w:sz w:val="17"/>
              </w:rPr>
              <w:t>Generate subsystem TRL and test plan for volatile extraction, mineral processing, microwave receiver, EM launch rail, and Venus gas module.</w:t>
            </w:r>
          </w:p>
        </w:tc>
        <w:tc>
          <w:tcPr>
            <w:tcW w:type="dxa" w:w="2074"/>
            <w:vAlign w:val="top"/>
          </w:tcPr>
          <w:p>
            <w:r>
              <w:rPr>
                <w:sz w:val="17"/>
              </w:rPr>
            </w:r>
            <w:r>
              <w:rPr>
                <w:b w:val="0"/>
                <w:sz w:val="17"/>
              </w:rPr>
              <w:t>Technology development</w:t>
            </w:r>
          </w:p>
        </w:tc>
        <w:tc>
          <w:tcPr>
            <w:tcW w:type="dxa" w:w="2074"/>
            <w:vAlign w:val="top"/>
          </w:tcPr>
          <w:p>
            <w:r>
              <w:rPr>
                <w:sz w:val="17"/>
              </w:rPr>
            </w:r>
            <w:r>
              <w:rPr>
                <w:b w:val="0"/>
                <w:sz w:val="17"/>
              </w:rPr>
              <w:t>60 to 180 days</w:t>
            </w:r>
          </w:p>
        </w:tc>
        <w:tc>
          <w:tcPr>
            <w:tcW w:type="dxa" w:w="2074"/>
            <w:vAlign w:val="top"/>
          </w:tcPr>
          <w:p>
            <w:r>
              <w:rPr>
                <w:sz w:val="17"/>
              </w:rPr>
            </w:r>
            <w:r>
              <w:rPr>
                <w:b w:val="0"/>
                <w:sz w:val="17"/>
              </w:rPr>
              <w:t>TRL evidence matrix and test campaign plan.</w:t>
            </w:r>
          </w:p>
        </w:tc>
      </w:tr>
      <w:tr>
        <w:tc>
          <w:tcPr>
            <w:tcW w:type="dxa" w:w="2074"/>
            <w:vAlign w:val="top"/>
          </w:tcPr>
          <w:p>
            <w:r>
              <w:rPr>
                <w:sz w:val="17"/>
              </w:rPr>
            </w:r>
            <w:r>
              <w:rPr>
                <w:b w:val="0"/>
                <w:sz w:val="17"/>
              </w:rPr>
              <w:t>A33-07</w:t>
            </w:r>
          </w:p>
        </w:tc>
        <w:tc>
          <w:tcPr>
            <w:tcW w:type="dxa" w:w="2074"/>
            <w:vAlign w:val="top"/>
          </w:tcPr>
          <w:p>
            <w:r>
              <w:rPr>
                <w:sz w:val="17"/>
              </w:rPr>
            </w:r>
            <w:r>
              <w:rPr>
                <w:b w:val="0"/>
                <w:sz w:val="17"/>
              </w:rPr>
              <w:t>Prepare hazard analysis package for spaceport, launch rail, microwave receiver, mineral processing, and biodiversity vault biosecurity.</w:t>
            </w:r>
          </w:p>
        </w:tc>
        <w:tc>
          <w:tcPr>
            <w:tcW w:type="dxa" w:w="2074"/>
            <w:vAlign w:val="top"/>
          </w:tcPr>
          <w:p>
            <w:r>
              <w:rPr>
                <w:sz w:val="17"/>
              </w:rPr>
            </w:r>
            <w:r>
              <w:rPr>
                <w:b w:val="0"/>
                <w:sz w:val="17"/>
              </w:rPr>
              <w:t>Safety and mission assurance</w:t>
            </w:r>
          </w:p>
        </w:tc>
        <w:tc>
          <w:tcPr>
            <w:tcW w:type="dxa" w:w="2074"/>
            <w:vAlign w:val="top"/>
          </w:tcPr>
          <w:p>
            <w:r>
              <w:rPr>
                <w:sz w:val="17"/>
              </w:rPr>
            </w:r>
            <w:r>
              <w:rPr>
                <w:b w:val="0"/>
                <w:sz w:val="17"/>
              </w:rPr>
              <w:t>60 to 180 days</w:t>
            </w:r>
          </w:p>
        </w:tc>
        <w:tc>
          <w:tcPr>
            <w:tcW w:type="dxa" w:w="2074"/>
            <w:vAlign w:val="top"/>
          </w:tcPr>
          <w:p>
            <w:r>
              <w:rPr>
                <w:sz w:val="17"/>
              </w:rPr>
            </w:r>
            <w:r>
              <w:rPr>
                <w:b w:val="0"/>
                <w:sz w:val="17"/>
              </w:rPr>
              <w:t>Preliminary hazard analysis and mitigation register.</w:t>
            </w:r>
          </w:p>
        </w:tc>
      </w:tr>
    </w:tbl>
    <w:p>
      <w:pPr>
        <w:pStyle w:val="Heading2"/>
      </w:pPr>
      <w:r>
        <w:t>23.8 Rev 3.3 Governing Statement</w:t>
      </w:r>
    </w:p>
    <w:p>
      <w:pPr>
        <w:pStyle w:val="ListBullet"/>
      </w:pPr>
      <w:r>
        <w:t>Rev 3.3 is the current master planning baseline until superseded by a later controlled revision.</w:t>
      </w:r>
    </w:p>
    <w:p>
      <w:pPr>
        <w:pStyle w:val="ListBullet"/>
      </w:pPr>
      <w:r>
        <w:t>The lunar south pole installation remains the primary control, power, refuge, logistics, archive, biodiversity, mineral processing, spaceport, launch rail, and ISRU authority for the program.</w:t>
      </w:r>
    </w:p>
    <w:p>
      <w:pPr>
        <w:pStyle w:val="ListBullet"/>
      </w:pPr>
      <w:r>
        <w:t>The expanded lunar program mid case planning baseline is 175B to 180B USD, while interplanetary derivative assets remain separately gated portfolio options.</w:t>
      </w:r>
    </w:p>
    <w:p>
      <w:pPr>
        <w:pStyle w:val="ListBullet"/>
      </w:pPr>
      <w:r>
        <w:t>The one lunar night refuge requirement and 72 hour full population evacuation requirement remain non-negotiable design constraints.</w:t>
      </w:r>
    </w:p>
    <w:p>
      <w:pPr>
        <w:pStyle w:val="ListBullet"/>
      </w:pPr>
      <w:r>
        <w:t>Treaty, licensing, spectrum, nuclear safety, planetary protection, mineral survey, and extraction TRL controls are mandatory before resource extraction pilots, commodity exports, or permanent off world traffic platforms advance beyond concept planning.</w:t>
      </w:r>
    </w:p>
    <w:p>
      <w:pPr>
        <w:pStyle w:val="ListBullet"/>
      </w:pPr>
      <w:r>
        <w:t>The next approval package shall convert this master narrative into a controlled requirements database, interface control package, risk register, cost model, and board decision memo.</w:t>
      </w:r>
    </w:p>
    <w:sectPr w:rsidR="00FC693F" w:rsidRPr="0006063C" w:rsidSect="00034616">
      <w:headerReference w:type="default" r:id="rId9"/>
      <w:footerReference w:type="default" r:id="rId10"/>
      <w:headerReference w:type="first" r:id="rId19"/>
      <w:footerReference w:type="first" r:id="rId20"/>
      <w:headerReference w:type="even" r:id="rId21"/>
      <w:footerReference w:type="even" r:id="rId22"/>
      <w:pgSz w:w="12240" w:h="15840"/>
      <w:pgMar w:top="1008" w:right="936" w:bottom="1008"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Titans Works R&amp;D | ISRU Master Program Document | Rev 3.3</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t>Titans Works R&amp;D and Innovation Center | Lunar South Pole ISRU Master Baseline | Rev 3.3</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eastAsia="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eastAsia="Aptos Display"/>
      <w:b/>
      <w:bCs/>
      <w:color w:val="781C20"/>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65C7D"/>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w:hAnsi="Aptos" w:eastAsia="Aptos"/>
      <w:b/>
      <w:bCs/>
      <w:color w:val="1F2B37"/>
      <w:sz w:val="24"/>
    </w:rPr>
  </w:style>
  <w:style w:type="paragraph" w:styleId="Heading4">
    <w:name w:val="heading 4"/>
    <w:basedOn w:val="Normal"/>
    <w:next w:val="Normal"/>
    <w:link w:val="Heading4Char"/>
    <w:uiPriority w:val="9"/>
    <w:semiHidden/>
    <w:unhideWhenUsed/>
    <w:qFormat/>
    <w:rsid w:val="00FC693F"/>
    <w:pPr>
      <w:keepNext/>
      <w:keepLines/>
      <w:spacing w:before="200" w:after="100"/>
      <w:outlineLvl w:val="3"/>
    </w:pPr>
    <w:rPr>
      <w:rFonts w:asciiTheme="majorHAnsi" w:eastAsiaTheme="majorEastAsia" w:hAnsiTheme="majorHAnsi" w:cstheme="majorBidi" w:ascii="Aptos" w:hAnsi="Aptos" w:eastAsia="Aptos"/>
      <w:b/>
      <w:bCs/>
      <w:i/>
      <w:iCs/>
      <w:color w:val="1F2B37"/>
      <w:sz w:val="2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eastAsia="Aptos Display"/>
      <w:b/>
      <w:color w:val="1F2B37"/>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i/>
      <w:iCs/>
      <w:color w:val="165C7D"/>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science.nasa.gov/moon/moon-water-and-ices/" TargetMode="External"/><Relationship Id="rId12" Type="http://schemas.openxmlformats.org/officeDocument/2006/relationships/hyperlink" Target="https://science.nasa.gov/resource/shackleton-craters-illuminated-rim-shadowed-interior/" TargetMode="External"/><Relationship Id="rId13" Type="http://schemas.openxmlformats.org/officeDocument/2006/relationships/hyperlink" Target="https://www.nasa.gov/moontomarsarchitecture/" TargetMode="External"/><Relationship Id="rId14" Type="http://schemas.openxmlformats.org/officeDocument/2006/relationships/hyperlink" Target="https://www.nasa.gov/overview-in-situ-resource-utilization/" TargetMode="External"/><Relationship Id="rId15" Type="http://schemas.openxmlformats.org/officeDocument/2006/relationships/hyperlink" Target="https://www.nasa.gov/reference/jsc-in-situ-resource-utilization/" TargetMode="External"/><Relationship Id="rId16" Type="http://schemas.openxmlformats.org/officeDocument/2006/relationships/hyperlink" Target="https://www.nasa.gov/centers-and-facilities/marshall/nasa-seeks-ideas-from-the-public-for-powering-exploration-on-the-moon/" TargetMode="External"/><Relationship Id="rId17" Type="http://schemas.openxmlformats.org/officeDocument/2006/relationships/hyperlink" Target="https://www.nasa.gov/news-release/nasa-unveils-initiatives-to-achieve-americas-national-space-policy/" TargetMode="External"/><Relationship Id="rId18" Type="http://schemas.openxmlformats.org/officeDocument/2006/relationships/hyperlink" Target="https://www.nasa.gov/commercial-lunar-payload-services/" TargetMode="External"/><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header" Target="header3.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Titans Works Lunar-Centric ISRU and Inner System Industrialization Master Program Document Rev 3.3</dc:title>
  <dc:subject>Master baseline review, configuration integrity, and action closure update</dc:subject>
  <dc:creator>Titans Works R&amp;D and Innovation Center</dc:creator>
  <cp:keywords>ISRU, lunar south pole, board deck, configuration control, emergency refuge, evacuation, Mars, Ceres, Venus</cp:keywords>
  <dc:description>Updated from Rev 3.2 to Rev 3.3 with baseline reconciliation and configuration control additions.</dc:description>
  <cp:lastModifiedBy/>
  <cp:revision>1</cp:revision>
  <dcterms:created xsi:type="dcterms:W3CDTF">2013-12-23T23:15:00Z</dcterms:created>
  <dcterms:modified xsi:type="dcterms:W3CDTF">2013-12-23T23:15:00Z</dcterms:modified>
  <cp:category/>
</cp:coreProperties>
</file>