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0E97D" w14:textId="77777777" w:rsidR="007519C6" w:rsidRDefault="007519C6">
      <w:pPr>
        <w:spacing w:before="1800"/>
      </w:pPr>
    </w:p>
    <w:p w14:paraId="17FA2E43" w14:textId="77777777" w:rsidR="007519C6" w:rsidRDefault="00000000">
      <w:pPr>
        <w:pStyle w:val="Title"/>
        <w:spacing w:after="240"/>
        <w:jc w:val="center"/>
      </w:pPr>
      <w:r>
        <w:rPr>
          <w:b/>
          <w:bCs/>
          <w:color w:val="1F3A5F"/>
          <w:sz w:val="64"/>
          <w:szCs w:val="64"/>
        </w:rPr>
        <w:t>PRIVATE CREDIT</w:t>
      </w:r>
    </w:p>
    <w:p w14:paraId="73CD8F9C" w14:textId="77777777" w:rsidR="007519C6" w:rsidRDefault="00000000">
      <w:pPr>
        <w:spacing w:after="160"/>
        <w:jc w:val="center"/>
      </w:pPr>
      <w:r>
        <w:rPr>
          <w:i/>
          <w:iCs/>
          <w:color w:val="33414F"/>
          <w:sz w:val="28"/>
          <w:szCs w:val="28"/>
        </w:rPr>
        <w:t>An Introduction to the Asset Class: Its History,</w:t>
      </w:r>
    </w:p>
    <w:p w14:paraId="300B5A9E" w14:textId="77777777" w:rsidR="007519C6" w:rsidRDefault="00000000">
      <w:pPr>
        <w:spacing w:after="600"/>
        <w:jc w:val="center"/>
      </w:pPr>
      <w:r>
        <w:rPr>
          <w:i/>
          <w:iCs/>
          <w:color w:val="33414F"/>
          <w:sz w:val="28"/>
          <w:szCs w:val="28"/>
        </w:rPr>
        <w:t>Its Architecture, and How It Came to Matter</w:t>
      </w:r>
    </w:p>
    <w:p w14:paraId="3EA03E7C" w14:textId="77777777" w:rsidR="007519C6" w:rsidRDefault="00000000">
      <w:pPr>
        <w:spacing w:before="1600" w:after="80"/>
        <w:jc w:val="center"/>
      </w:pPr>
      <w:r>
        <w:rPr>
          <w:b/>
          <w:bCs/>
          <w:color w:val="1A1A1A"/>
          <w:spacing w:val="40"/>
          <w:sz w:val="30"/>
          <w:szCs w:val="30"/>
        </w:rPr>
        <w:t>SEAN GIBSON</w:t>
      </w:r>
    </w:p>
    <w:p w14:paraId="2489E1C8" w14:textId="77777777" w:rsidR="007519C6" w:rsidRDefault="00000000">
      <w:r>
        <w:br w:type="page"/>
      </w:r>
    </w:p>
    <w:p w14:paraId="58A77B1D" w14:textId="77777777" w:rsidR="007519C6" w:rsidRDefault="007519C6">
      <w:pPr>
        <w:spacing w:before="2600"/>
      </w:pPr>
    </w:p>
    <w:p w14:paraId="2C2AEFFD" w14:textId="77777777" w:rsidR="007519C6" w:rsidRDefault="00000000">
      <w:pPr>
        <w:spacing w:before="200" w:after="80" w:line="300" w:lineRule="auto"/>
        <w:ind w:left="1000" w:right="1000"/>
        <w:jc w:val="center"/>
      </w:pPr>
      <w:r>
        <w:rPr>
          <w:i/>
          <w:iCs/>
          <w:color w:val="33414F"/>
          <w:sz w:val="22"/>
          <w:szCs w:val="22"/>
        </w:rPr>
        <w:t>The most important thing to understand about financial markets is that they have a long memory, and most of the people in them have a short one.</w:t>
      </w:r>
    </w:p>
    <w:p w14:paraId="06457855" w14:textId="77777777" w:rsidR="007519C6" w:rsidRDefault="00000000">
      <w:pPr>
        <w:spacing w:after="200"/>
        <w:jc w:val="center"/>
      </w:pPr>
      <w:r>
        <w:rPr>
          <w:color w:val="5A5A5A"/>
          <w:sz w:val="20"/>
          <w:szCs w:val="20"/>
        </w:rPr>
        <w:t>— Howard Marks</w:t>
      </w:r>
    </w:p>
    <w:p w14:paraId="322609EE" w14:textId="77777777" w:rsidR="007519C6" w:rsidRDefault="007519C6">
      <w:pPr>
        <w:spacing w:before="400"/>
      </w:pPr>
    </w:p>
    <w:p w14:paraId="7857BA03" w14:textId="77777777" w:rsidR="007519C6" w:rsidRDefault="00000000">
      <w:pPr>
        <w:spacing w:before="200" w:after="80" w:line="300" w:lineRule="auto"/>
        <w:ind w:left="1000" w:right="1000"/>
        <w:jc w:val="center"/>
      </w:pPr>
      <w:r>
        <w:rPr>
          <w:i/>
          <w:iCs/>
          <w:color w:val="33414F"/>
          <w:sz w:val="22"/>
          <w:szCs w:val="22"/>
        </w:rPr>
        <w:t>Bring the record. Read it honestly. Then say what you see.</w:t>
      </w:r>
    </w:p>
    <w:p w14:paraId="5887FB07" w14:textId="77777777" w:rsidR="007519C6" w:rsidRDefault="00000000">
      <w:pPr>
        <w:spacing w:after="200"/>
        <w:jc w:val="center"/>
      </w:pPr>
      <w:r>
        <w:rPr>
          <w:color w:val="5A5A5A"/>
          <w:sz w:val="20"/>
          <w:szCs w:val="20"/>
        </w:rPr>
        <w:t>— A working principle, learned secondhand from Sunday mornings in Buffalo</w:t>
      </w:r>
    </w:p>
    <w:p w14:paraId="73B611C8" w14:textId="77777777" w:rsidR="007519C6" w:rsidRDefault="00000000">
      <w:r>
        <w:br w:type="page"/>
      </w:r>
    </w:p>
    <w:p w14:paraId="2AD5287C" w14:textId="77777777" w:rsidR="007519C6" w:rsidRDefault="00000000">
      <w:pPr>
        <w:pStyle w:val="Heading1"/>
      </w:pPr>
      <w:r>
        <w:lastRenderedPageBreak/>
        <w:t>Contents</w:t>
      </w:r>
    </w:p>
    <w:p w14:paraId="4E7ED637" w14:textId="77777777" w:rsidR="007519C6" w:rsidRDefault="00000000">
      <w:pPr>
        <w:tabs>
          <w:tab w:val="right" w:leader="dot" w:pos="9026"/>
        </w:tabs>
        <w:spacing w:after="40"/>
      </w:pPr>
      <w:r>
        <w:rPr>
          <w:color w:val="1A1A1A"/>
          <w:sz w:val="21"/>
          <w:szCs w:val="21"/>
        </w:rPr>
        <w:t>About This Book</w:t>
      </w:r>
    </w:p>
    <w:p w14:paraId="72ECEC85" w14:textId="77777777" w:rsidR="007519C6" w:rsidRDefault="00000000">
      <w:pPr>
        <w:tabs>
          <w:tab w:val="right" w:leader="dot" w:pos="9026"/>
        </w:tabs>
        <w:spacing w:after="40"/>
      </w:pPr>
      <w:r>
        <w:rPr>
          <w:color w:val="1A1A1A"/>
          <w:sz w:val="21"/>
          <w:szCs w:val="21"/>
        </w:rPr>
        <w:t>Preface</w:t>
      </w:r>
    </w:p>
    <w:p w14:paraId="063AA3C7" w14:textId="77777777" w:rsidR="007519C6" w:rsidRDefault="00000000">
      <w:pPr>
        <w:tabs>
          <w:tab w:val="right" w:leader="dot" w:pos="9026"/>
        </w:tabs>
        <w:spacing w:after="40"/>
      </w:pPr>
      <w:r>
        <w:rPr>
          <w:color w:val="1A1A1A"/>
          <w:sz w:val="21"/>
          <w:szCs w:val="21"/>
        </w:rPr>
        <w:t>Introduction: Why Private Credit, Why Now</w:t>
      </w:r>
    </w:p>
    <w:p w14:paraId="12A9CDB5" w14:textId="77777777" w:rsidR="007519C6" w:rsidRDefault="00000000">
      <w:pPr>
        <w:spacing w:before="200" w:after="80"/>
      </w:pPr>
      <w:r>
        <w:rPr>
          <w:b/>
          <w:bCs/>
          <w:color w:val="1F3A5F"/>
          <w:spacing w:val="30"/>
          <w:sz w:val="22"/>
          <w:szCs w:val="22"/>
        </w:rPr>
        <w:t>PART I  ·  FOUNDATIONS AND THE LONG MEMORY</w:t>
      </w:r>
    </w:p>
    <w:p w14:paraId="17454603" w14:textId="77777777" w:rsidR="007519C6" w:rsidRDefault="00000000">
      <w:pPr>
        <w:tabs>
          <w:tab w:val="right" w:leader="dot" w:pos="9026"/>
        </w:tabs>
        <w:spacing w:after="40"/>
      </w:pPr>
      <w:r>
        <w:rPr>
          <w:color w:val="1A1A1A"/>
          <w:sz w:val="21"/>
          <w:szCs w:val="21"/>
        </w:rPr>
        <w:t>1.  What Private Credit Is</w:t>
      </w:r>
    </w:p>
    <w:p w14:paraId="579BAFD7" w14:textId="77777777" w:rsidR="007519C6" w:rsidRDefault="00000000">
      <w:pPr>
        <w:tabs>
          <w:tab w:val="right" w:leader="dot" w:pos="9026"/>
        </w:tabs>
        <w:spacing w:after="40"/>
      </w:pPr>
      <w:r>
        <w:rPr>
          <w:color w:val="1A1A1A"/>
          <w:sz w:val="21"/>
          <w:szCs w:val="21"/>
        </w:rPr>
        <w:t>2.  Money and Mismatch: The Long Road to Structured Credit</w:t>
      </w:r>
    </w:p>
    <w:p w14:paraId="0AB5A147" w14:textId="77777777" w:rsidR="007519C6" w:rsidRDefault="00000000">
      <w:pPr>
        <w:tabs>
          <w:tab w:val="right" w:leader="dot" w:pos="9026"/>
        </w:tabs>
        <w:spacing w:after="40"/>
      </w:pPr>
      <w:r>
        <w:rPr>
          <w:color w:val="1A1A1A"/>
          <w:sz w:val="21"/>
          <w:szCs w:val="21"/>
        </w:rPr>
        <w:t>3.  High Yield, Leveraged Loans, and the Birth of the CLO</w:t>
      </w:r>
    </w:p>
    <w:p w14:paraId="74F8CFEC" w14:textId="77777777" w:rsidR="007519C6" w:rsidRDefault="00000000">
      <w:pPr>
        <w:tabs>
          <w:tab w:val="right" w:leader="dot" w:pos="9026"/>
        </w:tabs>
        <w:spacing w:after="40"/>
      </w:pPr>
      <w:r>
        <w:rPr>
          <w:color w:val="1A1A1A"/>
          <w:sz w:val="21"/>
          <w:szCs w:val="21"/>
        </w:rPr>
        <w:t>4.  The Arms Race and the Crisis</w:t>
      </w:r>
    </w:p>
    <w:p w14:paraId="084D743E" w14:textId="77777777" w:rsidR="007519C6" w:rsidRDefault="00000000">
      <w:pPr>
        <w:tabs>
          <w:tab w:val="right" w:leader="dot" w:pos="9026"/>
        </w:tabs>
        <w:spacing w:after="40"/>
      </w:pPr>
      <w:r>
        <w:rPr>
          <w:color w:val="1A1A1A"/>
          <w:sz w:val="21"/>
          <w:szCs w:val="21"/>
        </w:rPr>
        <w:t>5.  The Reckoning</w:t>
      </w:r>
    </w:p>
    <w:p w14:paraId="1E712A65" w14:textId="77777777" w:rsidR="007519C6" w:rsidRDefault="00000000">
      <w:pPr>
        <w:tabs>
          <w:tab w:val="right" w:leader="dot" w:pos="9026"/>
        </w:tabs>
        <w:spacing w:after="40"/>
      </w:pPr>
      <w:r>
        <w:rPr>
          <w:color w:val="1A1A1A"/>
          <w:sz w:val="21"/>
          <w:szCs w:val="21"/>
        </w:rPr>
        <w:t>6.  Sectoral Cycles and the Fading of Memory</w:t>
      </w:r>
    </w:p>
    <w:p w14:paraId="76741D2F" w14:textId="77777777" w:rsidR="007519C6" w:rsidRDefault="00000000">
      <w:pPr>
        <w:spacing w:before="200" w:after="80"/>
      </w:pPr>
      <w:r>
        <w:rPr>
          <w:b/>
          <w:bCs/>
          <w:color w:val="1F3A5F"/>
          <w:spacing w:val="30"/>
          <w:sz w:val="22"/>
          <w:szCs w:val="22"/>
        </w:rPr>
        <w:t>PART II  ·  THE CORE LENDING STRATEGIES</w:t>
      </w:r>
    </w:p>
    <w:p w14:paraId="5F9092A0" w14:textId="77777777" w:rsidR="007519C6" w:rsidRDefault="00000000">
      <w:pPr>
        <w:tabs>
          <w:tab w:val="right" w:leader="dot" w:pos="9026"/>
        </w:tabs>
        <w:spacing w:after="40"/>
      </w:pPr>
      <w:r>
        <w:rPr>
          <w:color w:val="1A1A1A"/>
          <w:sz w:val="21"/>
          <w:szCs w:val="21"/>
        </w:rPr>
        <w:t>7.  Direct Lending</w:t>
      </w:r>
    </w:p>
    <w:p w14:paraId="4855FC62" w14:textId="77777777" w:rsidR="007519C6" w:rsidRDefault="00000000">
      <w:pPr>
        <w:tabs>
          <w:tab w:val="right" w:leader="dot" w:pos="9026"/>
        </w:tabs>
        <w:spacing w:after="40"/>
      </w:pPr>
      <w:r>
        <w:rPr>
          <w:color w:val="1A1A1A"/>
          <w:sz w:val="21"/>
          <w:szCs w:val="21"/>
        </w:rPr>
        <w:t>8.  Asset-Based Finance</w:t>
      </w:r>
    </w:p>
    <w:p w14:paraId="25C029E6" w14:textId="77777777" w:rsidR="007519C6" w:rsidRDefault="00000000">
      <w:pPr>
        <w:tabs>
          <w:tab w:val="right" w:leader="dot" w:pos="9026"/>
        </w:tabs>
        <w:spacing w:after="40"/>
      </w:pPr>
      <w:r>
        <w:rPr>
          <w:color w:val="1A1A1A"/>
          <w:sz w:val="21"/>
          <w:szCs w:val="21"/>
        </w:rPr>
        <w:t>9.  Real Estate Debt</w:t>
      </w:r>
    </w:p>
    <w:p w14:paraId="58141E6A" w14:textId="77777777" w:rsidR="007519C6" w:rsidRDefault="00000000">
      <w:pPr>
        <w:tabs>
          <w:tab w:val="right" w:leader="dot" w:pos="9026"/>
        </w:tabs>
        <w:spacing w:after="40"/>
      </w:pPr>
      <w:r>
        <w:rPr>
          <w:color w:val="1A1A1A"/>
          <w:sz w:val="21"/>
          <w:szCs w:val="21"/>
        </w:rPr>
        <w:t>10.  Infrastructure Debt</w:t>
      </w:r>
    </w:p>
    <w:p w14:paraId="16DFBBC0" w14:textId="77777777" w:rsidR="007519C6" w:rsidRDefault="00000000">
      <w:pPr>
        <w:tabs>
          <w:tab w:val="right" w:leader="dot" w:pos="9026"/>
        </w:tabs>
        <w:spacing w:after="40"/>
      </w:pPr>
      <w:r>
        <w:rPr>
          <w:color w:val="1A1A1A"/>
          <w:sz w:val="21"/>
          <w:szCs w:val="21"/>
        </w:rPr>
        <w:t>11.  Distressed and Special Situations</w:t>
      </w:r>
    </w:p>
    <w:p w14:paraId="2032762A" w14:textId="77777777" w:rsidR="007519C6" w:rsidRDefault="00000000">
      <w:pPr>
        <w:tabs>
          <w:tab w:val="right" w:leader="dot" w:pos="9026"/>
        </w:tabs>
        <w:spacing w:after="40"/>
      </w:pPr>
      <w:r>
        <w:rPr>
          <w:color w:val="1A1A1A"/>
          <w:sz w:val="21"/>
          <w:szCs w:val="21"/>
        </w:rPr>
        <w:t>12.  Fund Finance</w:t>
      </w:r>
    </w:p>
    <w:p w14:paraId="4AEBF2B0" w14:textId="77777777" w:rsidR="007519C6" w:rsidRDefault="00000000">
      <w:pPr>
        <w:tabs>
          <w:tab w:val="right" w:leader="dot" w:pos="9026"/>
        </w:tabs>
        <w:spacing w:after="40"/>
      </w:pPr>
      <w:r>
        <w:rPr>
          <w:color w:val="1A1A1A"/>
          <w:sz w:val="21"/>
          <w:szCs w:val="21"/>
        </w:rPr>
        <w:t>13.  Venture Debt</w:t>
      </w:r>
    </w:p>
    <w:p w14:paraId="58CA2413" w14:textId="77777777" w:rsidR="007519C6" w:rsidRDefault="00000000">
      <w:pPr>
        <w:tabs>
          <w:tab w:val="right" w:leader="dot" w:pos="9026"/>
        </w:tabs>
        <w:spacing w:after="40"/>
      </w:pPr>
      <w:r>
        <w:rPr>
          <w:color w:val="1A1A1A"/>
          <w:sz w:val="21"/>
          <w:szCs w:val="21"/>
        </w:rPr>
        <w:t>14.  Private Credit and the AI Build-Out</w:t>
      </w:r>
    </w:p>
    <w:p w14:paraId="5DD6DA72" w14:textId="77777777" w:rsidR="007519C6" w:rsidRDefault="00000000">
      <w:pPr>
        <w:spacing w:before="200" w:after="80"/>
      </w:pPr>
      <w:r>
        <w:rPr>
          <w:b/>
          <w:bCs/>
          <w:color w:val="1F3A5F"/>
          <w:spacing w:val="30"/>
          <w:sz w:val="22"/>
          <w:szCs w:val="22"/>
        </w:rPr>
        <w:t>PART III  ·  SECURITIZATION AND STRUCTURED CREDIT</w:t>
      </w:r>
    </w:p>
    <w:p w14:paraId="168736AF" w14:textId="77777777" w:rsidR="007519C6" w:rsidRDefault="00000000">
      <w:pPr>
        <w:tabs>
          <w:tab w:val="right" w:leader="dot" w:pos="9026"/>
        </w:tabs>
        <w:spacing w:after="40"/>
      </w:pPr>
      <w:r>
        <w:rPr>
          <w:color w:val="1A1A1A"/>
          <w:sz w:val="21"/>
          <w:szCs w:val="21"/>
        </w:rPr>
        <w:t>15.  The Securitization Machine</w:t>
      </w:r>
    </w:p>
    <w:p w14:paraId="5C49A74C" w14:textId="77777777" w:rsidR="007519C6" w:rsidRDefault="00000000">
      <w:pPr>
        <w:tabs>
          <w:tab w:val="right" w:leader="dot" w:pos="9026"/>
        </w:tabs>
        <w:spacing w:after="40"/>
      </w:pPr>
      <w:r>
        <w:rPr>
          <w:color w:val="1A1A1A"/>
          <w:sz w:val="21"/>
          <w:szCs w:val="21"/>
        </w:rPr>
        <w:t>16.  The Collateralized Loan Obligation</w:t>
      </w:r>
    </w:p>
    <w:p w14:paraId="10A3F2A4" w14:textId="77777777" w:rsidR="007519C6" w:rsidRDefault="00000000">
      <w:pPr>
        <w:tabs>
          <w:tab w:val="right" w:leader="dot" w:pos="9026"/>
        </w:tabs>
        <w:spacing w:after="40"/>
      </w:pPr>
      <w:r>
        <w:rPr>
          <w:color w:val="1A1A1A"/>
          <w:sz w:val="21"/>
          <w:szCs w:val="21"/>
        </w:rPr>
        <w:lastRenderedPageBreak/>
        <w:t>17.  ABS: From Flow to Esoteric</w:t>
      </w:r>
    </w:p>
    <w:p w14:paraId="7CA043DC" w14:textId="77777777" w:rsidR="007519C6" w:rsidRDefault="00000000">
      <w:pPr>
        <w:tabs>
          <w:tab w:val="right" w:leader="dot" w:pos="9026"/>
        </w:tabs>
        <w:spacing w:after="40"/>
      </w:pPr>
      <w:r>
        <w:rPr>
          <w:color w:val="1A1A1A"/>
          <w:sz w:val="21"/>
          <w:szCs w:val="21"/>
        </w:rPr>
        <w:t>18.  RMBS and the Return of Residential Credit</w:t>
      </w:r>
    </w:p>
    <w:p w14:paraId="2B58374C" w14:textId="77777777" w:rsidR="007519C6" w:rsidRDefault="00000000">
      <w:pPr>
        <w:tabs>
          <w:tab w:val="right" w:leader="dot" w:pos="9026"/>
        </w:tabs>
        <w:spacing w:after="40"/>
      </w:pPr>
      <w:r>
        <w:rPr>
          <w:color w:val="1A1A1A"/>
          <w:sz w:val="21"/>
          <w:szCs w:val="21"/>
        </w:rPr>
        <w:t>19.  ABS CDOs, CDO-Squared, and the Limits of Complexity</w:t>
      </w:r>
    </w:p>
    <w:p w14:paraId="724E397F" w14:textId="77777777" w:rsidR="007519C6" w:rsidRDefault="00000000">
      <w:pPr>
        <w:tabs>
          <w:tab w:val="right" w:leader="dot" w:pos="9026"/>
        </w:tabs>
        <w:spacing w:after="40"/>
      </w:pPr>
      <w:r>
        <w:rPr>
          <w:color w:val="1A1A1A"/>
          <w:sz w:val="21"/>
          <w:szCs w:val="21"/>
        </w:rPr>
        <w:t>20.  Private CLOs and the Question of Memory</w:t>
      </w:r>
    </w:p>
    <w:p w14:paraId="3E00A3A4" w14:textId="77777777" w:rsidR="007519C6" w:rsidRDefault="00000000">
      <w:pPr>
        <w:tabs>
          <w:tab w:val="right" w:leader="dot" w:pos="9026"/>
        </w:tabs>
        <w:spacing w:after="40"/>
      </w:pPr>
      <w:r>
        <w:rPr>
          <w:color w:val="1A1A1A"/>
          <w:sz w:val="21"/>
          <w:szCs w:val="21"/>
        </w:rPr>
        <w:t>21.  The Blockchain Question</w:t>
      </w:r>
    </w:p>
    <w:p w14:paraId="399290A3" w14:textId="77777777" w:rsidR="007519C6" w:rsidRDefault="00000000">
      <w:pPr>
        <w:spacing w:before="200" w:after="80"/>
      </w:pPr>
      <w:r>
        <w:rPr>
          <w:b/>
          <w:bCs/>
          <w:color w:val="1F3A5F"/>
          <w:spacing w:val="30"/>
          <w:sz w:val="22"/>
          <w:szCs w:val="22"/>
        </w:rPr>
        <w:t>PART IV  ·  RISK, STRESS, AND THE MANAGEMENT OF BOTH</w:t>
      </w:r>
    </w:p>
    <w:p w14:paraId="46C390AF" w14:textId="77777777" w:rsidR="007519C6" w:rsidRDefault="00000000">
      <w:pPr>
        <w:tabs>
          <w:tab w:val="right" w:leader="dot" w:pos="9026"/>
        </w:tabs>
        <w:spacing w:after="40"/>
      </w:pPr>
      <w:r>
        <w:rPr>
          <w:color w:val="1A1A1A"/>
          <w:sz w:val="21"/>
          <w:szCs w:val="21"/>
        </w:rPr>
        <w:t>22.  Risk and Credit Analysis</w:t>
      </w:r>
    </w:p>
    <w:p w14:paraId="579270C0" w14:textId="77777777" w:rsidR="007519C6" w:rsidRDefault="00000000">
      <w:pPr>
        <w:tabs>
          <w:tab w:val="right" w:leader="dot" w:pos="9026"/>
        </w:tabs>
        <w:spacing w:after="40"/>
      </w:pPr>
      <w:r>
        <w:rPr>
          <w:color w:val="1A1A1A"/>
          <w:sz w:val="21"/>
          <w:szCs w:val="21"/>
        </w:rPr>
        <w:t>23.  Documentation and the Anatomy of a Covenant</w:t>
      </w:r>
    </w:p>
    <w:p w14:paraId="27FC5429" w14:textId="77777777" w:rsidR="007519C6" w:rsidRDefault="00000000">
      <w:pPr>
        <w:tabs>
          <w:tab w:val="right" w:leader="dot" w:pos="9026"/>
        </w:tabs>
        <w:spacing w:after="40"/>
      </w:pPr>
      <w:r>
        <w:rPr>
          <w:color w:val="1A1A1A"/>
          <w:sz w:val="21"/>
          <w:szCs w:val="21"/>
        </w:rPr>
        <w:t>24.  Valuation and the Question of Marks</w:t>
      </w:r>
    </w:p>
    <w:p w14:paraId="16357DA4" w14:textId="77777777" w:rsidR="007519C6" w:rsidRDefault="00000000">
      <w:pPr>
        <w:tabs>
          <w:tab w:val="right" w:leader="dot" w:pos="9026"/>
        </w:tabs>
        <w:spacing w:after="40"/>
      </w:pPr>
      <w:r>
        <w:rPr>
          <w:color w:val="1A1A1A"/>
          <w:sz w:val="21"/>
          <w:szCs w:val="21"/>
        </w:rPr>
        <w:t>25.  Transparency, Standardization, and the Data Problem</w:t>
      </w:r>
    </w:p>
    <w:p w14:paraId="1D21C0C4" w14:textId="77777777" w:rsidR="007519C6" w:rsidRDefault="00000000">
      <w:pPr>
        <w:tabs>
          <w:tab w:val="right" w:leader="dot" w:pos="9026"/>
        </w:tabs>
        <w:spacing w:after="40"/>
      </w:pPr>
      <w:r>
        <w:rPr>
          <w:color w:val="1A1A1A"/>
          <w:sz w:val="21"/>
          <w:szCs w:val="21"/>
        </w:rPr>
        <w:t>26.  Insurance Capital</w:t>
      </w:r>
    </w:p>
    <w:p w14:paraId="32ECDDEB" w14:textId="77777777" w:rsidR="007519C6" w:rsidRDefault="00000000">
      <w:pPr>
        <w:tabs>
          <w:tab w:val="right" w:leader="dot" w:pos="9026"/>
        </w:tabs>
        <w:spacing w:after="40"/>
      </w:pPr>
      <w:r>
        <w:rPr>
          <w:color w:val="1A1A1A"/>
          <w:sz w:val="21"/>
          <w:szCs w:val="21"/>
        </w:rPr>
        <w:t>27.  The Banks and the Partnership Era</w:t>
      </w:r>
    </w:p>
    <w:p w14:paraId="440A5B7C" w14:textId="77777777" w:rsidR="007519C6" w:rsidRDefault="00000000">
      <w:pPr>
        <w:tabs>
          <w:tab w:val="right" w:leader="dot" w:pos="9026"/>
        </w:tabs>
        <w:spacing w:after="40"/>
      </w:pPr>
      <w:r>
        <w:rPr>
          <w:color w:val="1A1A1A"/>
          <w:sz w:val="21"/>
          <w:szCs w:val="21"/>
        </w:rPr>
        <w:t>28.  The BDC Reckoning</w:t>
      </w:r>
    </w:p>
    <w:p w14:paraId="5C647917" w14:textId="77777777" w:rsidR="007519C6" w:rsidRDefault="00000000">
      <w:pPr>
        <w:tabs>
          <w:tab w:val="right" w:leader="dot" w:pos="9026"/>
        </w:tabs>
        <w:spacing w:after="40"/>
      </w:pPr>
      <w:r>
        <w:rPr>
          <w:color w:val="1A1A1A"/>
          <w:sz w:val="21"/>
          <w:szCs w:val="21"/>
        </w:rPr>
        <w:t>29.  The Secondary Market</w:t>
      </w:r>
    </w:p>
    <w:p w14:paraId="1586476B" w14:textId="77777777" w:rsidR="007519C6" w:rsidRDefault="00000000">
      <w:pPr>
        <w:spacing w:before="200" w:after="80"/>
      </w:pPr>
      <w:r>
        <w:rPr>
          <w:b/>
          <w:bCs/>
          <w:color w:val="1F3A5F"/>
          <w:spacing w:val="30"/>
          <w:sz w:val="22"/>
          <w:szCs w:val="22"/>
        </w:rPr>
        <w:t>PART V  ·  THE INVESTOR VANTAGE POINT AND THE ROAD AHEAD</w:t>
      </w:r>
    </w:p>
    <w:p w14:paraId="5B6E821A" w14:textId="77777777" w:rsidR="007519C6" w:rsidRDefault="00000000">
      <w:pPr>
        <w:tabs>
          <w:tab w:val="right" w:leader="dot" w:pos="9026"/>
        </w:tabs>
        <w:spacing w:after="40"/>
      </w:pPr>
      <w:r>
        <w:rPr>
          <w:color w:val="1A1A1A"/>
          <w:sz w:val="21"/>
          <w:szCs w:val="21"/>
        </w:rPr>
        <w:t>30.  The Investor Vantage Point</w:t>
      </w:r>
    </w:p>
    <w:p w14:paraId="3981FC0F" w14:textId="77777777" w:rsidR="007519C6" w:rsidRDefault="00000000">
      <w:pPr>
        <w:tabs>
          <w:tab w:val="right" w:leader="dot" w:pos="9026"/>
        </w:tabs>
        <w:spacing w:after="40"/>
      </w:pPr>
      <w:r>
        <w:rPr>
          <w:color w:val="1A1A1A"/>
          <w:sz w:val="21"/>
          <w:szCs w:val="21"/>
        </w:rPr>
        <w:t>31.  The Macroeconomic Lens</w:t>
      </w:r>
    </w:p>
    <w:p w14:paraId="4AAF9268" w14:textId="77777777" w:rsidR="007519C6" w:rsidRDefault="00000000">
      <w:pPr>
        <w:tabs>
          <w:tab w:val="right" w:leader="dot" w:pos="9026"/>
        </w:tabs>
        <w:spacing w:after="40"/>
      </w:pPr>
      <w:r>
        <w:rPr>
          <w:color w:val="1A1A1A"/>
          <w:sz w:val="21"/>
          <w:szCs w:val="21"/>
        </w:rPr>
        <w:t>32.  International Markets</w:t>
      </w:r>
    </w:p>
    <w:p w14:paraId="4C907A25" w14:textId="77777777" w:rsidR="007519C6" w:rsidRDefault="00000000">
      <w:pPr>
        <w:tabs>
          <w:tab w:val="right" w:leader="dot" w:pos="9026"/>
        </w:tabs>
        <w:spacing w:after="40"/>
      </w:pPr>
      <w:r>
        <w:rPr>
          <w:color w:val="1A1A1A"/>
          <w:sz w:val="21"/>
          <w:szCs w:val="21"/>
        </w:rPr>
        <w:t>33.  The Shape of the Market: Subsectors and the Next Decade</w:t>
      </w:r>
    </w:p>
    <w:p w14:paraId="5DAAB987" w14:textId="77777777" w:rsidR="007519C6" w:rsidRDefault="00000000">
      <w:pPr>
        <w:tabs>
          <w:tab w:val="right" w:leader="dot" w:pos="9026"/>
        </w:tabs>
        <w:spacing w:after="40"/>
      </w:pPr>
      <w:r>
        <w:rPr>
          <w:color w:val="1A1A1A"/>
          <w:sz w:val="21"/>
          <w:szCs w:val="21"/>
        </w:rPr>
        <w:t>34.  Regulation and the Perimeter</w:t>
      </w:r>
    </w:p>
    <w:p w14:paraId="799C52F2" w14:textId="77777777" w:rsidR="007519C6" w:rsidRDefault="00000000">
      <w:pPr>
        <w:tabs>
          <w:tab w:val="right" w:leader="dot" w:pos="9026"/>
        </w:tabs>
        <w:spacing w:after="40"/>
      </w:pPr>
      <w:r>
        <w:rPr>
          <w:color w:val="1A1A1A"/>
          <w:sz w:val="21"/>
          <w:szCs w:val="21"/>
        </w:rPr>
        <w:t>35.  What Comes Next, and Why</w:t>
      </w:r>
    </w:p>
    <w:p w14:paraId="7D27051F" w14:textId="77777777" w:rsidR="007519C6" w:rsidRDefault="00000000">
      <w:pPr>
        <w:tabs>
          <w:tab w:val="right" w:leader="dot" w:pos="9026"/>
        </w:tabs>
        <w:spacing w:after="40"/>
      </w:pPr>
      <w:r>
        <w:rPr>
          <w:color w:val="1A1A1A"/>
          <w:sz w:val="21"/>
          <w:szCs w:val="21"/>
        </w:rPr>
        <w:t>36.  What It Is All For</w:t>
      </w:r>
    </w:p>
    <w:p w14:paraId="5CFC762A" w14:textId="77777777" w:rsidR="007519C6" w:rsidRDefault="00000000">
      <w:pPr>
        <w:tabs>
          <w:tab w:val="right" w:leader="dot" w:pos="9026"/>
        </w:tabs>
        <w:spacing w:after="40"/>
      </w:pPr>
      <w:r>
        <w:rPr>
          <w:color w:val="1A1A1A"/>
          <w:sz w:val="21"/>
          <w:szCs w:val="21"/>
        </w:rPr>
        <w:lastRenderedPageBreak/>
        <w:t>Afterword</w:t>
      </w:r>
    </w:p>
    <w:p w14:paraId="5C4E057E" w14:textId="77777777" w:rsidR="007519C6" w:rsidRDefault="00000000">
      <w:pPr>
        <w:spacing w:before="200" w:after="80"/>
      </w:pPr>
      <w:r>
        <w:rPr>
          <w:b/>
          <w:bCs/>
          <w:color w:val="1F3A5F"/>
          <w:spacing w:val="30"/>
          <w:sz w:val="22"/>
          <w:szCs w:val="22"/>
        </w:rPr>
        <w:t>APPENDIX</w:t>
      </w:r>
    </w:p>
    <w:p w14:paraId="3835A39E" w14:textId="77777777" w:rsidR="007519C6" w:rsidRDefault="00000000">
      <w:pPr>
        <w:tabs>
          <w:tab w:val="right" w:leader="dot" w:pos="9026"/>
        </w:tabs>
        <w:spacing w:after="40"/>
      </w:pPr>
      <w:r>
        <w:rPr>
          <w:color w:val="1A1A1A"/>
          <w:sz w:val="21"/>
          <w:szCs w:val="21"/>
        </w:rPr>
        <w:t>Reference Data</w:t>
      </w:r>
    </w:p>
    <w:p w14:paraId="7CD2AD00" w14:textId="77777777" w:rsidR="007519C6" w:rsidRDefault="00000000">
      <w:r>
        <w:br w:type="page"/>
      </w:r>
    </w:p>
    <w:p w14:paraId="3943D994" w14:textId="77777777" w:rsidR="007519C6" w:rsidRDefault="00000000">
      <w:pPr>
        <w:pStyle w:val="Heading1"/>
      </w:pPr>
      <w:r>
        <w:lastRenderedPageBreak/>
        <w:t>About This Book</w:t>
      </w:r>
    </w:p>
    <w:p w14:paraId="7AFED0EA" w14:textId="77777777" w:rsidR="007519C6" w:rsidRDefault="00000000">
      <w:pPr>
        <w:spacing w:after="60"/>
        <w:jc w:val="both"/>
      </w:pPr>
      <w:r>
        <w:rPr>
          <w:color w:val="1A1A1A"/>
        </w:rPr>
        <w:t>This is a book about a market that was built in the open, in plain view, over the better part of two decades, and that almost nobody outside it fully understood until it had already become too large to ignore. Private credit did not announce itself. It accumulated. One loan at a time, one fund at a time, one retreat by the banks at a time, until a niche corner of institutional finance had grown into a parallel lending system measured in the trillions.</w:t>
      </w:r>
    </w:p>
    <w:p w14:paraId="1CA18C28" w14:textId="77777777" w:rsidR="007519C6" w:rsidRDefault="00000000">
      <w:pPr>
        <w:spacing w:after="60"/>
        <w:ind w:firstLine="360"/>
        <w:jc w:val="both"/>
      </w:pPr>
      <w:r>
        <w:rPr>
          <w:color w:val="1A1A1A"/>
        </w:rPr>
        <w:t>The aim here is modest in ambition and serious in execution. The book explains, clearly and without sales gloss, what private credit actually is, where it came from, how its pieces fit together, and how it behaves when the weather turns. It is written for the practitioner who wants the system mapped rather than marketed, for the allocator who needs to know what sits underneath a quarterly mark, and for the serious student who suspects, correctly, that the present did not arrive from nowhere.</w:t>
      </w:r>
    </w:p>
    <w:p w14:paraId="7C8AAAC7" w14:textId="77777777" w:rsidR="007519C6" w:rsidRDefault="00000000">
      <w:pPr>
        <w:spacing w:after="60"/>
        <w:ind w:firstLine="360"/>
        <w:jc w:val="both"/>
      </w:pPr>
      <w:r>
        <w:rPr>
          <w:color w:val="1A1A1A"/>
        </w:rPr>
        <w:t>It is not a product guide, nor a brief for the asset class. Private credit is neither the revolution its promoters describe nor the catastrophe its critics anticipate. It is a large, intricate, historically grounded market that is being tested in real time. The honest work is to describe it as it is, compare it to what came before, and let the reader draw the conclusions the evidence supports.</w:t>
      </w:r>
    </w:p>
    <w:p w14:paraId="6EC682BC" w14:textId="77777777" w:rsidR="007519C6" w:rsidRDefault="00000000">
      <w:r>
        <w:br w:type="page"/>
      </w:r>
    </w:p>
    <w:p w14:paraId="50925C9C" w14:textId="77777777" w:rsidR="007519C6" w:rsidRDefault="00000000">
      <w:pPr>
        <w:pStyle w:val="Heading1"/>
      </w:pPr>
      <w:r>
        <w:lastRenderedPageBreak/>
        <w:t>Preface</w:t>
      </w:r>
    </w:p>
    <w:p w14:paraId="19F79F52" w14:textId="77777777" w:rsidR="007519C6" w:rsidRDefault="00000000">
      <w:pPr>
        <w:spacing w:after="160"/>
        <w:ind w:left="200" w:right="200"/>
        <w:jc w:val="both"/>
      </w:pPr>
      <w:r>
        <w:rPr>
          <w:i/>
          <w:iCs/>
          <w:color w:val="33414F"/>
        </w:rPr>
        <w:t>I grew up in Buffalo, in a house where the news was taken seriously. My father worked with his hands. He spent years at a flour mill and then as a lathe operator at a machine shop, and he was laid off six months short of a full pension when the company that had bought the mill ran its arithmetic and found him on the wrong side of it. He kept working. He never quite got over what that felt like. But he never stopped paying attention to the world, and on Sunday mornings, the television carried the news programs, and somewhere in there, without knowing it, I was getting an education.</w:t>
      </w:r>
    </w:p>
    <w:p w14:paraId="4BA7CDAD" w14:textId="77777777" w:rsidR="007519C6" w:rsidRDefault="00000000">
      <w:pPr>
        <w:spacing w:after="160"/>
        <w:ind w:left="200" w:right="200"/>
        <w:jc w:val="both"/>
      </w:pPr>
      <w:r>
        <w:rPr>
          <w:i/>
          <w:iCs/>
          <w:color w:val="33414F"/>
        </w:rPr>
        <w:t>What I took from those mornings was a conviction that has never left me. Understanding what is actually happening, not the flattering version and not the easy one, is worth the work it takes. I paid my way through the University at Buffalo with the Army Reserves and shifts on factory floors. I was the first in my family to finish college. I had no map for how someone from where I was got into the world of capital and risk, which I had watched described on those broadcasts. I kept moving toward it.</w:t>
      </w:r>
    </w:p>
    <w:p w14:paraId="7F8A4B39" w14:textId="77777777" w:rsidR="007519C6" w:rsidRDefault="00000000">
      <w:pPr>
        <w:spacing w:after="160"/>
        <w:ind w:left="200" w:right="200"/>
        <w:jc w:val="both"/>
      </w:pPr>
      <w:r>
        <w:rPr>
          <w:i/>
          <w:iCs/>
          <w:color w:val="33414F"/>
        </w:rPr>
        <w:t xml:space="preserve">My first real assignment out of an accounting program, in the late 1990s, put me inside a collateralized bond obligation, one of the early ancestors of the structured credit market that would nearly bring down the financial system a decade later. I was in my twenties. I did not fully understand what I was looking at. But I looked closely, which turned out to be the more important habit. A few years later, on a trading floor, a senior man dropped a worn copy of Liar's Poker on my desk and told me to read it if I wanted to understand how the place worked. I read it that weekend. It told the story </w:t>
      </w:r>
      <w:r>
        <w:rPr>
          <w:i/>
          <w:iCs/>
          <w:color w:val="33414F"/>
        </w:rPr>
        <w:lastRenderedPageBreak/>
        <w:t>of mortgage securitization as it actually was, the ingenuity and the excess arriving together, and it showed me something I have seen confirmed in every market since. Innovation and fragility are usually the same structure viewed from different angles.</w:t>
      </w:r>
    </w:p>
    <w:p w14:paraId="7774C0B1" w14:textId="77777777" w:rsidR="007519C6" w:rsidRDefault="00000000">
      <w:pPr>
        <w:spacing w:after="160"/>
        <w:ind w:left="200" w:right="200"/>
        <w:jc w:val="both"/>
      </w:pPr>
      <w:r>
        <w:rPr>
          <w:i/>
          <w:iCs/>
          <w:color w:val="33414F"/>
        </w:rPr>
        <w:t>I watched the 2008 crisis from a desk in London, close enough to the instruments at its center to know exactly what I was seeing. It was not abstract. I knew what the assets were, why the leverage sat where it sat, and what it meant when the funding stopped. And I knew, because I had watched it happen on a smaller, more personal scale years earlier, what it does to people when the structures that were supposed to hold turn out not to hold.</w:t>
      </w:r>
    </w:p>
    <w:p w14:paraId="55113139" w14:textId="77777777" w:rsidR="007519C6" w:rsidRDefault="00000000">
      <w:pPr>
        <w:spacing w:after="160"/>
        <w:ind w:left="200" w:right="200"/>
        <w:jc w:val="both"/>
      </w:pPr>
      <w:r>
        <w:rPr>
          <w:i/>
          <w:iCs/>
          <w:color w:val="33414F"/>
        </w:rPr>
        <w:t>That formation is the foundation of this book. Not as an autobiography. As calibration. It is the reason the analysis here does not treat financial structures as abstractions, the reason the historical record matters to me beyond academic interest, and the reason I believe the most valuable thing a practitioner can bring to these markets is not optimism or pessimism but precision. The willingness to look squarely at what is in front of you, measure it honestly against what came before, and say what you see.</w:t>
      </w:r>
    </w:p>
    <w:p w14:paraId="0F9A3958" w14:textId="77777777" w:rsidR="007519C6" w:rsidRDefault="00000000">
      <w:pPr>
        <w:spacing w:after="160"/>
        <w:ind w:left="200" w:right="200"/>
        <w:jc w:val="both"/>
      </w:pPr>
      <w:r>
        <w:rPr>
          <w:i/>
          <w:iCs/>
          <w:color w:val="33414F"/>
        </w:rPr>
        <w:t>This book is the result of that effort. I hope it is useful.</w:t>
      </w:r>
    </w:p>
    <w:p w14:paraId="2A968C15" w14:textId="77777777" w:rsidR="007519C6" w:rsidRDefault="00000000">
      <w:pPr>
        <w:spacing w:before="200" w:after="40"/>
        <w:jc w:val="right"/>
      </w:pPr>
      <w:r>
        <w:rPr>
          <w:i/>
          <w:iCs/>
          <w:color w:val="33414F"/>
          <w:sz w:val="22"/>
          <w:szCs w:val="22"/>
        </w:rPr>
        <w:t>Sean Gibson</w:t>
      </w:r>
    </w:p>
    <w:p w14:paraId="6C88D46C" w14:textId="77777777" w:rsidR="007519C6" w:rsidRDefault="00000000">
      <w:pPr>
        <w:jc w:val="right"/>
      </w:pPr>
      <w:r>
        <w:rPr>
          <w:i/>
          <w:iCs/>
          <w:color w:val="33414F"/>
          <w:sz w:val="22"/>
          <w:szCs w:val="22"/>
        </w:rPr>
        <w:t>New York</w:t>
      </w:r>
    </w:p>
    <w:p w14:paraId="584A286C" w14:textId="77777777" w:rsidR="007519C6" w:rsidRDefault="00000000">
      <w:r>
        <w:br w:type="page"/>
      </w:r>
    </w:p>
    <w:p w14:paraId="2FFD945F" w14:textId="77777777" w:rsidR="007519C6" w:rsidRDefault="00000000">
      <w:pPr>
        <w:pStyle w:val="Heading1"/>
      </w:pPr>
      <w:r>
        <w:lastRenderedPageBreak/>
        <w:t>Introduction: Why Private Credit, Why Now</w:t>
      </w:r>
    </w:p>
    <w:p w14:paraId="2E31D1E3" w14:textId="77777777" w:rsidR="007519C6" w:rsidRDefault="00000000">
      <w:pPr>
        <w:spacing w:after="60"/>
        <w:jc w:val="both"/>
      </w:pPr>
      <w:r>
        <w:rPr>
          <w:color w:val="1A1A1A"/>
        </w:rPr>
        <w:t>Every asset class has a founding story, and private credit's is more honest than most. It was not designed. It was not the product of a policy choice or a regulatory blueprint. It emerged from a vacuum, the space left behind when the commercial banks that had long financed the middle of the economy pulled back after 2008, hemmed in by new capital rules, chastened by their losses, and newly focused on borrowers large enough to justify their reorganized balance sheets.</w:t>
      </w:r>
    </w:p>
    <w:p w14:paraId="484DAEFB" w14:textId="77777777" w:rsidR="007519C6" w:rsidRDefault="00000000">
      <w:pPr>
        <w:spacing w:after="60"/>
        <w:ind w:firstLine="360"/>
        <w:jc w:val="both"/>
      </w:pPr>
      <w:r>
        <w:rPr>
          <w:color w:val="1A1A1A"/>
        </w:rPr>
        <w:t>The managers who stepped into that space were not following a master plan. They were meeting a need that the existing system had stopped meeting. The borrowers were real companies with real cash flows and real obligations, businesses that had relied on regional banks and the syndicated loan market and now found those doors narrowed or closed. The lenders were institutions, pension funds, insurers, endowments, and sovereign wealth funds that had spent the years after the crisis hunting for yield in a world where central banks had compressed yields nearly out of existence.</w:t>
      </w:r>
    </w:p>
    <w:p w14:paraId="673EB1E4" w14:textId="77777777" w:rsidR="007519C6" w:rsidRDefault="00000000">
      <w:pPr>
        <w:spacing w:after="60"/>
        <w:ind w:firstLine="360"/>
        <w:jc w:val="both"/>
      </w:pPr>
      <w:r>
        <w:rPr>
          <w:color w:val="1A1A1A"/>
        </w:rPr>
        <w:t>The match was structural, not speculative. And it was durable, not temporary. The rules that drove the banks back from middle-market lending did not reverse. Institutional capital seeking yield did not disappear. The companies that needed credit did not stop needing it. What came out of that alignment was not a trade. It was a new piece of market infrastructure, and it is now large enough, intricate enough, and interconnected enough that understanding it is no longer optional for anyone who works in institutional finance, manages institutional money, or carries responsibility for the stability of the credit system.</w:t>
      </w:r>
    </w:p>
    <w:p w14:paraId="6B3B6871" w14:textId="77777777" w:rsidR="007519C6" w:rsidRDefault="00000000">
      <w:pPr>
        <w:spacing w:after="60"/>
        <w:ind w:firstLine="360"/>
        <w:jc w:val="both"/>
      </w:pPr>
      <w:r>
        <w:rPr>
          <w:color w:val="1A1A1A"/>
        </w:rPr>
        <w:lastRenderedPageBreak/>
        <w:t>This book is organized around five questions, each corresponding to one of its five parts.</w:t>
      </w:r>
    </w:p>
    <w:p w14:paraId="6122B77A" w14:textId="77777777" w:rsidR="007519C6" w:rsidRDefault="00000000">
      <w:pPr>
        <w:spacing w:after="60"/>
        <w:ind w:firstLine="360"/>
        <w:jc w:val="both"/>
      </w:pPr>
      <w:r>
        <w:rPr>
          <w:color w:val="1A1A1A"/>
        </w:rPr>
        <w:t>Part One asks where this came from. The answer runs back further than the crisis, to the high-yield revolution of the 1970s and 1980s, to the birth of mortgage securitization, to the development of the CLO, and to the panic that demonstrated both the resilience and the fragility that complex credit structures can contain. It also asks why the same kind of cycle keeps recurring, and why the hard lessons each one teaches tend to fade. You cannot understand what private credit is without understanding the architecture it inherited and the institutional memory it carries, whether its practitioners recognize that inheritance or not.</w:t>
      </w:r>
    </w:p>
    <w:p w14:paraId="0BE5AA0D" w14:textId="77777777" w:rsidR="007519C6" w:rsidRDefault="00000000">
      <w:pPr>
        <w:spacing w:after="60"/>
        <w:ind w:firstLine="360"/>
        <w:jc w:val="both"/>
      </w:pPr>
      <w:r>
        <w:rPr>
          <w:color w:val="1A1A1A"/>
        </w:rPr>
        <w:t>Part Two asks how it actually works. The machinery is more varied than the public image suggests. Direct lending, asset-backed finance, fund finance, real estate, and infrastructure, and the opportunistic strategies that live at the edges. Each plays a distinct role, carries a distinct risk, and responds differently when the cycle turns.</w:t>
      </w:r>
    </w:p>
    <w:p w14:paraId="04B96954" w14:textId="77777777" w:rsidR="007519C6" w:rsidRDefault="00000000">
      <w:pPr>
        <w:spacing w:after="60"/>
        <w:ind w:firstLine="360"/>
        <w:jc w:val="both"/>
      </w:pPr>
      <w:r>
        <w:rPr>
          <w:color w:val="1A1A1A"/>
        </w:rPr>
        <w:t>Part Three asks how a loan becomes a security. Securitization is the machinery that turns pools of private loans into the rated instruments that insurers and other institutions buy, and it is the bridge between private credit and the structured markets that came before it. The CLO that endured, the asset-backed and mortgage structures around it, the resecuritizations that failed in the last crisis, and the newer private structures that may or may not be repeating that history.</w:t>
      </w:r>
    </w:p>
    <w:p w14:paraId="580A5C42" w14:textId="77777777" w:rsidR="007519C6" w:rsidRDefault="00000000">
      <w:pPr>
        <w:spacing w:after="60"/>
        <w:ind w:firstLine="360"/>
        <w:jc w:val="both"/>
      </w:pPr>
      <w:r>
        <w:rPr>
          <w:color w:val="1A1A1A"/>
        </w:rPr>
        <w:t xml:space="preserve">Part Four asks how it behaves under stress, and how a careful investor manages that behavior. Defaults and recoveries, valuation and liquidity, the </w:t>
      </w:r>
      <w:r>
        <w:rPr>
          <w:color w:val="1A1A1A"/>
        </w:rPr>
        <w:lastRenderedPageBreak/>
        <w:t>covenants that either hold or do not when they are finally tested. These are not theoretical concerns. They are live questions, and the honest answers require both historical context and current data.</w:t>
      </w:r>
    </w:p>
    <w:p w14:paraId="20823847" w14:textId="77777777" w:rsidR="007519C6" w:rsidRDefault="00000000">
      <w:pPr>
        <w:spacing w:after="60"/>
        <w:ind w:firstLine="360"/>
        <w:jc w:val="both"/>
      </w:pPr>
      <w:r>
        <w:rPr>
          <w:color w:val="1A1A1A"/>
        </w:rPr>
        <w:t>Part Five asks who should own this, where it fits in a portfolio, and where it is heading. The asset class has matured into something an institution can build a real allocation around. Still, the dispersion between a good manager and a poor one can exceed the entire risk premium on offer. Selection is not a detail. It is most of the game.</w:t>
      </w:r>
    </w:p>
    <w:p w14:paraId="3EB5CFA3" w14:textId="77777777" w:rsidR="007519C6" w:rsidRDefault="00000000">
      <w:pPr>
        <w:spacing w:after="60"/>
        <w:ind w:firstLine="360"/>
        <w:jc w:val="both"/>
      </w:pPr>
      <w:r>
        <w:rPr>
          <w:color w:val="1A1A1A"/>
        </w:rPr>
        <w:t>A word on method. This book does not have a thesis to sell. It has a record to examine. Where the evidence is strong, it says so plainly. Where the market has not yet been tested, it says that too, because the most expensive sentence in finance is the one that mistakes a benign decade for a law of nature. The record has something to say about how this ends. Let us examine it.</w:t>
      </w:r>
    </w:p>
    <w:p w14:paraId="5FEB83DE" w14:textId="77777777" w:rsidR="007519C6" w:rsidRDefault="00000000">
      <w:r>
        <w:br w:type="page"/>
      </w:r>
    </w:p>
    <w:p w14:paraId="692ECBD0" w14:textId="77777777" w:rsidR="007519C6" w:rsidRDefault="00000000">
      <w:pPr>
        <w:spacing w:before="2400" w:after="120"/>
        <w:jc w:val="center"/>
      </w:pPr>
      <w:r>
        <w:rPr>
          <w:b/>
          <w:bCs/>
          <w:color w:val="B9933E"/>
          <w:spacing w:val="60"/>
          <w:sz w:val="40"/>
          <w:szCs w:val="40"/>
        </w:rPr>
        <w:lastRenderedPageBreak/>
        <w:t>PART I</w:t>
      </w:r>
    </w:p>
    <w:p w14:paraId="434DE78B" w14:textId="77777777" w:rsidR="007519C6" w:rsidRDefault="00000000">
      <w:pPr>
        <w:spacing w:after="240"/>
        <w:jc w:val="center"/>
      </w:pPr>
      <w:r>
        <w:rPr>
          <w:color w:val="1F3A5F"/>
          <w:sz w:val="38"/>
          <w:szCs w:val="38"/>
        </w:rPr>
        <w:t>Foundations and the Long Memory</w:t>
      </w:r>
    </w:p>
    <w:p w14:paraId="1EB89870" w14:textId="77777777" w:rsidR="007519C6" w:rsidRDefault="00000000">
      <w:pPr>
        <w:spacing w:before="120" w:after="200" w:line="320" w:lineRule="auto"/>
        <w:ind w:left="900" w:right="900"/>
        <w:jc w:val="center"/>
      </w:pPr>
      <w:r>
        <w:rPr>
          <w:i/>
          <w:iCs/>
          <w:color w:val="33414F"/>
          <w:sz w:val="22"/>
          <w:szCs w:val="22"/>
        </w:rPr>
        <w:t>Where this came from, and why the inheritance still matters.</w:t>
      </w:r>
    </w:p>
    <w:p w14:paraId="2ABCCB78" w14:textId="77777777" w:rsidR="007519C6" w:rsidRDefault="00000000">
      <w:r>
        <w:br w:type="page"/>
      </w:r>
    </w:p>
    <w:p w14:paraId="27D678B6" w14:textId="77777777" w:rsidR="007519C6" w:rsidRDefault="00000000">
      <w:pPr>
        <w:pStyle w:val="Heading1"/>
      </w:pPr>
      <w:r>
        <w:lastRenderedPageBreak/>
        <w:t>Chapter 1: What Private Credit Is</w:t>
      </w:r>
    </w:p>
    <w:p w14:paraId="69E1A7D8" w14:textId="77777777" w:rsidR="007519C6" w:rsidRDefault="00000000">
      <w:pPr>
        <w:spacing w:after="60"/>
        <w:jc w:val="both"/>
      </w:pPr>
      <w:r>
        <w:rPr>
          <w:color w:val="1A1A1A"/>
        </w:rPr>
        <w:t>Let me start with an admission. Private credit is a fuzzy term. It gets used loosely, sometimes carelessly, for a range of activities that share a family resemblance rather than a precise definition. The word has to be pinned down before it can be useful, and pinning it down teaches you something, because the vagueness is not an accident. It is a record of how the market actually grew.</w:t>
      </w:r>
    </w:p>
    <w:p w14:paraId="10F0FF7C" w14:textId="77777777" w:rsidR="007519C6" w:rsidRDefault="00000000">
      <w:pPr>
        <w:spacing w:after="60"/>
        <w:ind w:firstLine="360"/>
        <w:jc w:val="both"/>
      </w:pPr>
      <w:r>
        <w:rPr>
          <w:color w:val="1A1A1A"/>
        </w:rPr>
        <w:t>At its core, private credit is lending that occurs outside public markets and traditional banks. The debt is not a bond trading on an exchange. It is not syndicated out to hundreds of institutional holders through the leveraged loan market. It is originated directly, by an asset manager or a specialized fund, negotiated privately with the borrower, and held, in whole or in large part, on the lender's own books or in the funds it runs. The lender's own judgment is the market. No daily price, no anonymous secondary bid, no rating agency stamp standing between the analysis and the risk.</w:t>
      </w:r>
    </w:p>
    <w:p w14:paraId="0885EEC0" w14:textId="77777777" w:rsidR="007519C6" w:rsidRDefault="00000000">
      <w:pPr>
        <w:spacing w:after="60"/>
        <w:ind w:firstLine="360"/>
        <w:jc w:val="both"/>
      </w:pPr>
      <w:r>
        <w:rPr>
          <w:color w:val="1A1A1A"/>
        </w:rPr>
        <w:t>That is the spine of the definition. Everything else is variation. When a practitioner says "private credit," they usually mean direct lending to middle-market companies at its core. Senior secured loans to businesses too large for small-business finance and too small, or too private, to reach the public bond market without paying for the privilege. But the term has stretched from that center to cover much more ground, and an honest map has to take in the whole of it.</w:t>
      </w:r>
    </w:p>
    <w:p w14:paraId="1524DFCB" w14:textId="77777777" w:rsidR="007519C6" w:rsidRDefault="00000000">
      <w:pPr>
        <w:pStyle w:val="Heading2"/>
      </w:pPr>
      <w:r>
        <w:rPr>
          <w:color w:val="2E2E2E"/>
        </w:rPr>
        <w:t>What the Term Is Not</w:t>
      </w:r>
    </w:p>
    <w:p w14:paraId="42AA3062" w14:textId="77777777" w:rsidR="007519C6" w:rsidRDefault="00000000">
      <w:pPr>
        <w:spacing w:after="60"/>
        <w:ind w:firstLine="360"/>
        <w:jc w:val="both"/>
      </w:pPr>
      <w:r>
        <w:rPr>
          <w:color w:val="1A1A1A"/>
        </w:rPr>
        <w:t xml:space="preserve">It helps to clear away the near neighbors first. Private credit is not private equity, even though the two are often discussed in the same breath and even live </w:t>
      </w:r>
      <w:r>
        <w:rPr>
          <w:color w:val="1A1A1A"/>
        </w:rPr>
        <w:lastRenderedPageBreak/>
        <w:t>under the same roof. The difference is basic and worth saying plainly. A private equity investor buys ownership and gets paid through appreciation. It sits last in line and takes the first loss when the business loses value. A private credit investor lends. It gets paid through interest and the return of principal, sits ahead of the equity, and is protected by collateral and covenants. Equity ownership includes both the upside and the downside. The lender rents the cash flows and watches the exit: different jobs, different risks, different instruments.</w:t>
      </w:r>
    </w:p>
    <w:p w14:paraId="160EFDF0" w14:textId="77777777" w:rsidR="007519C6" w:rsidRDefault="00000000">
      <w:pPr>
        <w:spacing w:after="60"/>
        <w:ind w:firstLine="360"/>
        <w:jc w:val="both"/>
      </w:pPr>
      <w:r>
        <w:rPr>
          <w:color w:val="1A1A1A"/>
        </w:rPr>
        <w:t>Private credit is also not just the illiquid cousin of public credit. Investment-grade and high-yield bonds trade on exchanges. Broadly syndicated loans change hands in a real secondary market. All of these carry credit risk, the way private credit does. Where they part ways is in what matters under stress: liquidity, price transparency, standardized documents, and a broad base of holders. Private credit earns its premium precisely because you cannot sell it easily. The illiquidity is not a flaw in the product. It is the product. You are paid to hold what cannot be readily traded and to do the work that the missing price forces on you.</w:t>
      </w:r>
    </w:p>
    <w:p w14:paraId="5830ADF6" w14:textId="77777777" w:rsidR="007519C6" w:rsidRDefault="00000000">
      <w:pPr>
        <w:pStyle w:val="Heading2"/>
      </w:pPr>
      <w:r>
        <w:rPr>
          <w:color w:val="2E2E2E"/>
        </w:rPr>
        <w:t>The Investable Spectrum</w:t>
      </w:r>
    </w:p>
    <w:p w14:paraId="5E8EA509" w14:textId="77777777" w:rsidR="007519C6" w:rsidRDefault="00000000">
      <w:pPr>
        <w:spacing w:after="60"/>
        <w:ind w:firstLine="360"/>
        <w:jc w:val="both"/>
      </w:pPr>
      <w:r>
        <w:rPr>
          <w:color w:val="1A1A1A"/>
        </w:rPr>
        <w:t>With the center defined and the neighbors cleared away, the whole scope comes into view. The strategies in the table below are what a practitioner means by the word, singly or together. They share the private, non-bank spine. They differ in almost everything else. What secures the loan, where the lender sits, how the money gets made, and how the position behaves when the cycle turns.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23"/>
        <w:gridCol w:w="5475"/>
      </w:tblGrid>
      <w:tr w:rsidR="007519C6" w14:paraId="7C2D8D00" w14:textId="77777777">
        <w:tblPrEx>
          <w:tblCellMar>
            <w:top w:w="0" w:type="dxa"/>
            <w:bottom w:w="0" w:type="dxa"/>
          </w:tblCellMar>
        </w:tblPrEx>
        <w:trPr>
          <w:tblHeader/>
        </w:trPr>
        <w:tc>
          <w:tcPr>
            <w:tcW w:w="28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215E2EFA" w14:textId="77777777" w:rsidR="007519C6" w:rsidRDefault="00000000">
            <w:r>
              <w:rPr>
                <w:b/>
                <w:bCs/>
                <w:color w:val="FFFFFF"/>
                <w:sz w:val="20"/>
                <w:szCs w:val="20"/>
              </w:rPr>
              <w:lastRenderedPageBreak/>
              <w:t>Strategy</w:t>
            </w:r>
          </w:p>
        </w:tc>
        <w:tc>
          <w:tcPr>
            <w:tcW w:w="650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353CE518" w14:textId="77777777" w:rsidR="007519C6" w:rsidRDefault="00000000">
            <w:r>
              <w:rPr>
                <w:b/>
                <w:bCs/>
                <w:color w:val="FFFFFF"/>
                <w:sz w:val="20"/>
                <w:szCs w:val="20"/>
              </w:rPr>
              <w:t>What It Is</w:t>
            </w:r>
          </w:p>
        </w:tc>
      </w:tr>
      <w:tr w:rsidR="007519C6" w14:paraId="0CFEB84F"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A873D8B" w14:textId="77777777" w:rsidR="007519C6" w:rsidRDefault="00000000">
            <w:r>
              <w:rPr>
                <w:b/>
                <w:bCs/>
                <w:color w:val="1A1A1A"/>
                <w:sz w:val="20"/>
                <w:szCs w:val="20"/>
              </w:rPr>
              <w:t>Direct lending (senior secured)</w:t>
            </w:r>
          </w:p>
        </w:tc>
        <w:tc>
          <w:tcPr>
            <w:tcW w:w="65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1510A23" w14:textId="77777777" w:rsidR="007519C6" w:rsidRDefault="00000000">
            <w:r>
              <w:rPr>
                <w:color w:val="1A1A1A"/>
                <w:sz w:val="20"/>
                <w:szCs w:val="20"/>
              </w:rPr>
              <w:t>first-lien loans to middle-market companies, most often backed by private equity sponsors—the core of the asset class and its largest single segment.</w:t>
            </w:r>
          </w:p>
        </w:tc>
      </w:tr>
      <w:tr w:rsidR="007519C6" w14:paraId="20FE6A4B"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2F16F24" w14:textId="77777777" w:rsidR="007519C6" w:rsidRDefault="00000000">
            <w:r>
              <w:rPr>
                <w:b/>
                <w:bCs/>
                <w:color w:val="1A1A1A"/>
                <w:sz w:val="20"/>
                <w:szCs w:val="20"/>
              </w:rPr>
              <w:t>Unitranche</w:t>
            </w:r>
          </w:p>
        </w:tc>
        <w:tc>
          <w:tcPr>
            <w:tcW w:w="65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34173A6" w14:textId="77777777" w:rsidR="007519C6" w:rsidRDefault="00000000">
            <w:r>
              <w:rPr>
                <w:color w:val="1A1A1A"/>
                <w:sz w:val="20"/>
                <w:szCs w:val="20"/>
              </w:rPr>
              <w:t>A single blended facility that collapses senior and subordinated debt into one loan, simplifying the structure for the borrower while the lenders allocate risk behind the scenes.</w:t>
            </w:r>
          </w:p>
        </w:tc>
      </w:tr>
      <w:tr w:rsidR="007519C6" w14:paraId="0F9E1B7B"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B40818E" w14:textId="77777777" w:rsidR="007519C6" w:rsidRDefault="00000000">
            <w:r>
              <w:rPr>
                <w:b/>
                <w:bCs/>
                <w:color w:val="1A1A1A"/>
                <w:sz w:val="20"/>
                <w:szCs w:val="20"/>
              </w:rPr>
              <w:t>Mezzanine and junior debt</w:t>
            </w:r>
          </w:p>
        </w:tc>
        <w:tc>
          <w:tcPr>
            <w:tcW w:w="65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4B71B45" w14:textId="77777777" w:rsidR="007519C6" w:rsidRDefault="00000000">
            <w:r>
              <w:rPr>
                <w:color w:val="1A1A1A"/>
                <w:sz w:val="20"/>
                <w:szCs w:val="20"/>
              </w:rPr>
              <w:t>Subordinated capital sitting below the senior loans, often carrying warrants or PIK features. Higher yield for accepting structural subordination.</w:t>
            </w:r>
          </w:p>
        </w:tc>
      </w:tr>
      <w:tr w:rsidR="007519C6" w14:paraId="1E1BC5C0"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F91095D" w14:textId="77777777" w:rsidR="007519C6" w:rsidRDefault="00000000">
            <w:r>
              <w:rPr>
                <w:b/>
                <w:bCs/>
                <w:color w:val="1A1A1A"/>
                <w:sz w:val="20"/>
                <w:szCs w:val="20"/>
              </w:rPr>
              <w:t>Distressed and special situations</w:t>
            </w:r>
          </w:p>
        </w:tc>
        <w:tc>
          <w:tcPr>
            <w:tcW w:w="65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A20F9CB" w14:textId="77777777" w:rsidR="007519C6" w:rsidRDefault="00000000">
            <w:r>
              <w:rPr>
                <w:color w:val="1A1A1A"/>
                <w:sz w:val="20"/>
                <w:szCs w:val="20"/>
              </w:rPr>
              <w:t>Lending into stress, dislocation, or restructuring, where the return depends on workout skill and the documents holding as written.</w:t>
            </w:r>
          </w:p>
        </w:tc>
      </w:tr>
      <w:tr w:rsidR="007519C6" w14:paraId="5389BEBE"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A7E2AE5" w14:textId="77777777" w:rsidR="007519C6" w:rsidRDefault="00000000">
            <w:r>
              <w:rPr>
                <w:b/>
                <w:bCs/>
                <w:color w:val="1A1A1A"/>
                <w:sz w:val="20"/>
                <w:szCs w:val="20"/>
              </w:rPr>
              <w:t>Asset-based finance</w:t>
            </w:r>
          </w:p>
        </w:tc>
        <w:tc>
          <w:tcPr>
            <w:tcW w:w="65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5406C5B" w14:textId="77777777" w:rsidR="007519C6" w:rsidRDefault="00000000">
            <w:r>
              <w:rPr>
                <w:color w:val="1A1A1A"/>
                <w:sz w:val="20"/>
                <w:szCs w:val="20"/>
              </w:rPr>
              <w:t>Lending secured by pools of financial or hard assets, from equipment and receivables to royalties, rather than by the cash flows of an operating company.</w:t>
            </w:r>
          </w:p>
        </w:tc>
      </w:tr>
      <w:tr w:rsidR="007519C6" w14:paraId="3F23F7E9"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6675723" w14:textId="77777777" w:rsidR="007519C6" w:rsidRDefault="00000000">
            <w:r>
              <w:rPr>
                <w:b/>
                <w:bCs/>
                <w:color w:val="1A1A1A"/>
                <w:sz w:val="20"/>
                <w:szCs w:val="20"/>
              </w:rPr>
              <w:t>Real estate debt</w:t>
            </w:r>
          </w:p>
        </w:tc>
        <w:tc>
          <w:tcPr>
            <w:tcW w:w="65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586CAEF" w14:textId="77777777" w:rsidR="007519C6" w:rsidRDefault="00000000">
            <w:r>
              <w:rPr>
                <w:color w:val="1A1A1A"/>
                <w:sz w:val="20"/>
                <w:szCs w:val="20"/>
              </w:rPr>
              <w:t>Loans secured by commercial or residential property, spanning stabilized mortgages, transitional bridge loans, and construction finance.</w:t>
            </w:r>
          </w:p>
        </w:tc>
      </w:tr>
      <w:tr w:rsidR="007519C6" w14:paraId="125182C2"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1EA6B40" w14:textId="77777777" w:rsidR="007519C6" w:rsidRDefault="00000000">
            <w:r>
              <w:rPr>
                <w:b/>
                <w:bCs/>
                <w:color w:val="1A1A1A"/>
                <w:sz w:val="20"/>
                <w:szCs w:val="20"/>
              </w:rPr>
              <w:t>Infrastructure debt</w:t>
            </w:r>
          </w:p>
        </w:tc>
        <w:tc>
          <w:tcPr>
            <w:tcW w:w="65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9216CA2" w14:textId="77777777" w:rsidR="007519C6" w:rsidRDefault="00000000">
            <w:r>
              <w:rPr>
                <w:color w:val="1A1A1A"/>
                <w:sz w:val="20"/>
                <w:szCs w:val="20"/>
              </w:rPr>
              <w:t>Long-dated financing for essential assets in energy, transport, and digital infrastructure, valued for stability and duration.</w:t>
            </w:r>
          </w:p>
        </w:tc>
      </w:tr>
      <w:tr w:rsidR="007519C6" w14:paraId="6DC6E3F3"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C120259" w14:textId="77777777" w:rsidR="007519C6" w:rsidRDefault="00000000">
            <w:r>
              <w:rPr>
                <w:b/>
                <w:bCs/>
                <w:color w:val="1A1A1A"/>
                <w:sz w:val="20"/>
                <w:szCs w:val="20"/>
              </w:rPr>
              <w:lastRenderedPageBreak/>
              <w:t>Fund finance</w:t>
            </w:r>
          </w:p>
        </w:tc>
        <w:tc>
          <w:tcPr>
            <w:tcW w:w="65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9F1012D" w14:textId="77777777" w:rsidR="007519C6" w:rsidRDefault="00000000">
            <w:r>
              <w:rPr>
                <w:color w:val="1A1A1A"/>
                <w:sz w:val="20"/>
                <w:szCs w:val="20"/>
              </w:rPr>
              <w:t>Lending to the funds themselves through subscription lines, NAV facilities, and related structures—the credit market's own credit market.</w:t>
            </w:r>
          </w:p>
        </w:tc>
      </w:tr>
      <w:tr w:rsidR="007519C6" w14:paraId="4A9D76E7" w14:textId="77777777">
        <w:tblPrEx>
          <w:tblCellMar>
            <w:top w:w="0" w:type="dxa"/>
            <w:bottom w:w="0" w:type="dxa"/>
          </w:tblCellMar>
        </w:tblPrEx>
        <w:tc>
          <w:tcPr>
            <w:tcW w:w="28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223E1DC" w14:textId="77777777" w:rsidR="007519C6" w:rsidRDefault="00000000">
            <w:r>
              <w:rPr>
                <w:b/>
                <w:bCs/>
                <w:color w:val="1A1A1A"/>
                <w:sz w:val="20"/>
                <w:szCs w:val="20"/>
              </w:rPr>
              <w:t>Venture debt</w:t>
            </w:r>
          </w:p>
        </w:tc>
        <w:tc>
          <w:tcPr>
            <w:tcW w:w="65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59C5CB6" w14:textId="77777777" w:rsidR="007519C6" w:rsidRDefault="00000000">
            <w:r>
              <w:rPr>
                <w:color w:val="1A1A1A"/>
                <w:sz w:val="20"/>
                <w:szCs w:val="20"/>
              </w:rPr>
              <w:t>Growth-stage lending to venture-backed companies, typically with warrant coverage to compensate for the elevated failure rate.</w:t>
            </w:r>
          </w:p>
        </w:tc>
      </w:tr>
    </w:tbl>
    <w:p w14:paraId="15E76306" w14:textId="77777777" w:rsidR="007519C6" w:rsidRDefault="00000000">
      <w:pPr>
        <w:spacing w:before="80" w:after="200"/>
      </w:pPr>
      <w:r>
        <w:rPr>
          <w:i/>
          <w:iCs/>
          <w:color w:val="5A5A5A"/>
          <w:sz w:val="18"/>
          <w:szCs w:val="18"/>
        </w:rPr>
        <w:t>Figure 1.1  The principal investable strategies within private credit. The boundaries are deliberately soft. Many transactions could be filed under more than one heading.</w:t>
      </w:r>
    </w:p>
    <w:p w14:paraId="68CE8E41" w14:textId="77777777" w:rsidR="007519C6" w:rsidRDefault="00000000">
      <w:pPr>
        <w:spacing w:after="60"/>
        <w:ind w:firstLine="360"/>
        <w:jc w:val="both"/>
      </w:pPr>
      <w:r>
        <w:rPr>
          <w:color w:val="1A1A1A"/>
        </w:rPr>
        <w:t>The softness of those boundaries is the whole point. A loan to a manufacturer, backed by its equipment and receivables, could be classified under direct lending or asset-based finance, depending on what the underwriter relied on. A bridge loan to a developer could be real estate debt or opportunistic credit, depending on the fund's mandate. None of that is sloppiness in the taxonomy. It is what you get from a market that grew one transaction at a time, each deal negotiated on its own terms, none of it designed from a template. The categories came afterward, a convenience imposed on a market that never asked permission to be tidy.</w:t>
      </w:r>
    </w:p>
    <w:p w14:paraId="573452D7" w14:textId="77777777" w:rsidR="007519C6" w:rsidRDefault="00000000">
      <w:pPr>
        <w:pStyle w:val="Heading2"/>
      </w:pPr>
      <w:r>
        <w:rPr>
          <w:color w:val="2E2E2E"/>
        </w:rPr>
        <w:t>Why It Exists at All</w:t>
      </w:r>
    </w:p>
    <w:p w14:paraId="0D5AEC48" w14:textId="77777777" w:rsidR="007519C6" w:rsidRDefault="00000000">
      <w:pPr>
        <w:spacing w:after="60"/>
        <w:ind w:firstLine="360"/>
        <w:jc w:val="both"/>
      </w:pPr>
      <w:r>
        <w:rPr>
          <w:color w:val="1A1A1A"/>
        </w:rPr>
        <w:t>Markets this size do not appear without a reason. Private credit's reason is a real and durable mismatch between who needs credit and who is set up to supply it. The mismatch runs both ways, which is a large part of why the market has held up.</w:t>
      </w:r>
    </w:p>
    <w:p w14:paraId="74274864" w14:textId="77777777" w:rsidR="007519C6" w:rsidRDefault="00000000">
      <w:pPr>
        <w:spacing w:after="60"/>
        <w:ind w:firstLine="360"/>
        <w:jc w:val="both"/>
      </w:pPr>
      <w:r>
        <w:rPr>
          <w:color w:val="1A1A1A"/>
        </w:rPr>
        <w:t xml:space="preserve">On the demand side are the borrowers. The middle market, companies earning somewhere between ten and a hundred million dollars, sits in an </w:t>
      </w:r>
      <w:r>
        <w:rPr>
          <w:color w:val="1A1A1A"/>
        </w:rPr>
        <w:lastRenderedPageBreak/>
        <w:t>awkward gap. Too big for the lending built for small enterprises. Too small for the public bond market, where the practical minimum for an efficient deal runs into the hundreds of millions. The syndicated loan market is built around bigger names, where banks can pass risk along quickly. So the middle-market borrower needs something the public channels were never designed to provide. Patient capital. A structure shaped to its situation. A lender willing to build a relationship instead of distributing a loan and moving on. The private equity sponsors who own much of the middle-market prize do even more, because what they need above all is speed and certainty. A direct lender can commit in weeks, hold the whole loan, and shape terms a standardized market could never accommodate.</w:t>
      </w:r>
    </w:p>
    <w:p w14:paraId="2211140C" w14:textId="77777777" w:rsidR="007519C6" w:rsidRDefault="00000000">
      <w:pPr>
        <w:spacing w:after="60"/>
        <w:ind w:firstLine="360"/>
        <w:jc w:val="both"/>
      </w:pPr>
      <w:r>
        <w:rPr>
          <w:color w:val="1A1A1A"/>
        </w:rPr>
        <w:t>On the supply side are the institutions. Pension funds, insurers, endowments. They spent the decade after the crisis stuck with a problem that would not resolve, liabilities built on returns the public markets had stopped paying. Private credit answered. A yield premium over comparable public debt, diversification away from the daily theater of the public markets, and floating-rate structures that turned into a real advantage once rates finally rose. For an investor with a long horizon and no need for daily liquidity, the illiquidity premium was not a cost to bear. It was a return to harvest.</w:t>
      </w:r>
    </w:p>
    <w:p w14:paraId="043AE39C" w14:textId="77777777" w:rsidR="007519C6" w:rsidRDefault="00000000">
      <w:pPr>
        <w:spacing w:after="60"/>
        <w:ind w:firstLine="360"/>
        <w:jc w:val="both"/>
      </w:pPr>
      <w:r>
        <w:rPr>
          <w:color w:val="1A1A1A"/>
        </w:rPr>
        <w:t>Standing behind both was the regulatory reordering that followed 2008, which is the subject of the next two chapters and the single most important structural cause of everything that came after. For now it is enough to say that the rules rewritten after the crisis made it more expensive for banks to hold certain kinds of credit risk, and that the capital doing that work did not vanish when they pulled back. It moved. Private credit is, in large part, the record of where it went.</w:t>
      </w:r>
    </w:p>
    <w:p w14:paraId="623A8394" w14:textId="77777777" w:rsidR="007519C6" w:rsidRDefault="00000000">
      <w:pPr>
        <w:pStyle w:val="Heading2"/>
      </w:pPr>
      <w:r>
        <w:rPr>
          <w:color w:val="2E2E2E"/>
        </w:rPr>
        <w:lastRenderedPageBreak/>
        <w:t>What Holds Across the Whole</w:t>
      </w:r>
    </w:p>
    <w:p w14:paraId="79D6AF89" w14:textId="77777777" w:rsidR="007519C6" w:rsidRDefault="00000000">
      <w:pPr>
        <w:spacing w:after="60"/>
        <w:ind w:firstLine="360"/>
        <w:jc w:val="both"/>
      </w:pPr>
      <w:r>
        <w:rPr>
          <w:color w:val="1A1A1A"/>
        </w:rPr>
        <w:t>For all the variety, a handful of traits run through every strategy on the spectrum, and they are worth fixing in mind before the chapters ahead take each one apart.</w:t>
      </w:r>
    </w:p>
    <w:p w14:paraId="3C1914C1" w14:textId="77777777" w:rsidR="007519C6" w:rsidRDefault="00000000">
      <w:pPr>
        <w:spacing w:after="60"/>
        <w:ind w:firstLine="360"/>
        <w:jc w:val="both"/>
      </w:pPr>
      <w:r>
        <w:rPr>
          <w:color w:val="1A1A1A"/>
        </w:rPr>
        <w:t>The first is illiquidity. These positions cannot be readily sold. Lock-ups of five to seven years are normal, and the secondary market, though it is forming, remains thin compared with public alternatives. That is the source of the excess return. It is also the discipline the asset class imposes, because you have to be right going in. The easy exit is not there.</w:t>
      </w:r>
    </w:p>
    <w:p w14:paraId="293DFEDD" w14:textId="77777777" w:rsidR="007519C6" w:rsidRDefault="00000000">
      <w:pPr>
        <w:spacing w:after="60"/>
        <w:ind w:firstLine="360"/>
        <w:jc w:val="both"/>
      </w:pPr>
      <w:r>
        <w:rPr>
          <w:color w:val="1A1A1A"/>
        </w:rPr>
        <w:t>The second is the direct relationship. Where a bond has hundreds of anonymous holders, a private loan often has one lender, or a small club, in direct contact with the borrower. That relationship is an information edge in good times and a decisive one in bad times, when a few lenders who actually know the company can act while a scattered crowd of bondholders is still arguing about who speaks for it.</w:t>
      </w:r>
    </w:p>
    <w:p w14:paraId="4A673A74" w14:textId="77777777" w:rsidR="007519C6" w:rsidRDefault="00000000">
      <w:pPr>
        <w:spacing w:after="60"/>
        <w:ind w:firstLine="360"/>
        <w:jc w:val="both"/>
      </w:pPr>
      <w:r>
        <w:rPr>
          <w:color w:val="1A1A1A"/>
        </w:rPr>
        <w:t>The third is the floating rate. Most private credit is priced off a floating benchmark, which shifts interest-rate risk from the lender to the borrower. When the policy rate climbed from near zero to above five percent, private credit yields climbed right along with it, and the asset class threw off double-digit income while fixed-rate portfolios took losses. That same mechanism, and I will keep coming back to it, raises the borrower's debt service at the exact moment a slowing economy makes it harder to carry.</w:t>
      </w:r>
    </w:p>
    <w:p w14:paraId="753A49A2" w14:textId="77777777" w:rsidR="007519C6" w:rsidRDefault="00000000">
      <w:pPr>
        <w:spacing w:after="60"/>
        <w:ind w:firstLine="360"/>
        <w:jc w:val="both"/>
      </w:pPr>
      <w:r>
        <w:rPr>
          <w:color w:val="1A1A1A"/>
        </w:rPr>
        <w:t xml:space="preserve">The fourth is the covenant package. Private credit has largely kept the financial maintenance covenants that the broadly syndicated market discarded. </w:t>
      </w:r>
      <w:r>
        <w:rPr>
          <w:color w:val="1A1A1A"/>
        </w:rPr>
        <w:lastRenderedPageBreak/>
        <w:t>These quarterly tests serve as an early warning system, giving the lender a seat at the table before a missed payment rather than after. As later chapters argue, the covenant is not a legal nicety. It is the instrument. Whether the covenants written in the easy years hold up once they are finally tested is one of the open questions this book keeps circling back to.</w:t>
      </w:r>
    </w:p>
    <w:p w14:paraId="5827AF5B" w14:textId="77777777" w:rsidR="007519C6" w:rsidRDefault="00000000">
      <w:pPr>
        <w:spacing w:after="60"/>
        <w:ind w:firstLine="360"/>
        <w:jc w:val="both"/>
      </w:pPr>
      <w:r>
        <w:rPr>
          <w:color w:val="1A1A1A"/>
        </w:rPr>
        <w:t>The last one is simple. Private credit is work. It is not a security you buy and hold. It is a position you originate, monitor, and, when it comes to it, fight over. That operational intensity, the whole apparatus of underwriters and portfolio managers and workout specialists it takes, is part of what separates the managers who will compound capital through a full cycle from the ones who merely gathered assets during a calm one. The market has not yet had its calm seriously interrupted at this scale. When it is, the difference will show up fast.</w:t>
      </w:r>
    </w:p>
    <w:p w14:paraId="057F184B" w14:textId="77777777" w:rsidR="007519C6" w:rsidRDefault="00000000">
      <w:r>
        <w:br w:type="page"/>
      </w:r>
    </w:p>
    <w:p w14:paraId="77D3ADBD" w14:textId="77777777" w:rsidR="007519C6" w:rsidRDefault="00000000">
      <w:pPr>
        <w:pStyle w:val="Heading1"/>
      </w:pPr>
      <w:r>
        <w:lastRenderedPageBreak/>
        <w:t>Chapter 2: Money and Mismatch: The Long Road to Structured Credit</w:t>
      </w:r>
    </w:p>
    <w:p w14:paraId="0EBD2A38" w14:textId="77777777" w:rsidR="007519C6" w:rsidRDefault="00000000">
      <w:pPr>
        <w:spacing w:after="60"/>
        <w:jc w:val="both"/>
      </w:pPr>
      <w:r>
        <w:rPr>
          <w:color w:val="1A1A1A"/>
        </w:rPr>
        <w:t>Private credit gets described as something new. It is more accurate to call it the latest chapter in a very old story, the one about how capital finds borrowers when the existing machinery cannot connect them, and what happens when someone builds new machinery to make the connection on a greater scale. The story has recurring characters and a recurring shape. It does not begin with the first direct lending fund, or even with the first securitization. It begins with money itself, and with a mismatch that has broken financial institutions in every generation that forgot it. To understand the architecture private credit inherited, you have to start further back than most accounts bother to go.</w:t>
      </w:r>
    </w:p>
    <w:p w14:paraId="0A0951E1" w14:textId="77777777" w:rsidR="007519C6" w:rsidRDefault="00000000">
      <w:pPr>
        <w:spacing w:after="60"/>
        <w:ind w:firstLine="360"/>
        <w:jc w:val="both"/>
      </w:pPr>
      <w:r>
        <w:rPr>
          <w:color w:val="1A1A1A"/>
        </w:rPr>
        <w:t>Hold one idea in mind throughout, because it frames everything that follows. Financial markets move in long cycles. Not just the short business cycles of five to eight years, but the great debt supercycles that play out across decades and end in the kind of reckoning that comes maybe twice in a working life. Ray Dalio has spent a career mapping these long arcs, and the map earns its keep here. Where the system stands in the supercycle shapes the conditions under which credit expands, the terms on which it is lent, and the structures invented to carry it. Every innovation in this chapter and the next arrived at a particular point in that cycle, took its shape from the monetary weather of its moment, and said something about what would come after. Read these developments as expressions of a cycle rather than as isolated inventions, and you have the difference between knowing the history and understanding it.</w:t>
      </w:r>
    </w:p>
    <w:p w14:paraId="2296ECAC" w14:textId="77777777" w:rsidR="007519C6" w:rsidRDefault="00000000">
      <w:pPr>
        <w:pStyle w:val="Heading2"/>
      </w:pPr>
      <w:r>
        <w:rPr>
          <w:color w:val="2E2E2E"/>
        </w:rPr>
        <w:t>Bretton Woods and the Age of Fixed Things</w:t>
      </w:r>
    </w:p>
    <w:p w14:paraId="13024459" w14:textId="77777777" w:rsidR="007519C6" w:rsidRDefault="00000000">
      <w:pPr>
        <w:spacing w:after="60"/>
        <w:ind w:firstLine="360"/>
        <w:jc w:val="both"/>
      </w:pPr>
      <w:r>
        <w:rPr>
          <w:color w:val="1A1A1A"/>
        </w:rPr>
        <w:lastRenderedPageBreak/>
        <w:t>The modern story starts in 1944, in a hotel in New Hampshire, where the architects of the postwar order built a monetary system designed for stability above all. The Bretton Woods system fixed the world's major currencies to the United States dollar, and fixed the dollar to gold at $35 per ounce. Exchange rates did not float. They were pegged, adjusted only rarely, and on purpose. For a generation, it delivered what it was built to deliver: a stretch of monetary stability, predictable exchange rates, and low, steady interest rates that underwrote the long postwar expansion. Capital was patient because the ground beneath it did not move.</w:t>
      </w:r>
    </w:p>
    <w:p w14:paraId="5904D735" w14:textId="77777777" w:rsidR="007519C6" w:rsidRDefault="00000000">
      <w:pPr>
        <w:spacing w:after="60"/>
        <w:ind w:firstLine="360"/>
        <w:jc w:val="both"/>
      </w:pPr>
      <w:r>
        <w:rPr>
          <w:color w:val="1A1A1A"/>
        </w:rPr>
        <w:t>That stability is the backdrop you need to understand what came next, because the institutions of the era were built for a world that stood still. The American savings and loan, the thrift at the heart of home finance, was the purest case. It took in deposits, short-term money a saver could pull on demand, and lent that money out as thirty-year fixed-rate mortgages. The model worked beautifully as long as short-term rates stayed below long-term rates and neither moved much, which, under Bretton Woods, they did not. The thrift borrowed short and cheap, lent long and dear, and kept the spread. It was a machine tuned perfectly to a stable monetary world, which is another way of saying it had no defense against the end of one.</w:t>
      </w:r>
    </w:p>
    <w:p w14:paraId="29C0F408" w14:textId="77777777" w:rsidR="007519C6" w:rsidRDefault="00000000">
      <w:pPr>
        <w:pStyle w:val="Heading2"/>
      </w:pPr>
      <w:r>
        <w:rPr>
          <w:color w:val="2E2E2E"/>
        </w:rPr>
        <w:t>1971 and the End of the Anchor</w:t>
      </w:r>
    </w:p>
    <w:p w14:paraId="6A5EA055" w14:textId="77777777" w:rsidR="007519C6" w:rsidRDefault="00000000">
      <w:pPr>
        <w:spacing w:after="60"/>
        <w:ind w:firstLine="360"/>
        <w:jc w:val="both"/>
      </w:pPr>
      <w:r>
        <w:rPr>
          <w:color w:val="1A1A1A"/>
        </w:rPr>
        <w:t xml:space="preserve">The anchor did not hold. By the late 1960s, the United States was printing more dollars than its gold could back, strained by the cost of war and spending at home, and the fixed peg came under pressure that it could not survive. In August 1971, the Nixon administration closed the gold window, ending the </w:t>
      </w:r>
      <w:r>
        <w:rPr>
          <w:color w:val="1A1A1A"/>
        </w:rPr>
        <w:lastRenderedPageBreak/>
        <w:t>dollar's convertibility into gold and, with it, the whole architecture of fixed exchange rates. The world's currencies began to float. It was one of the most consequential financial decisions of the century, and it opened the era we still live in, the era of fiat money, floating rates, and the monetary volatility that fixed rates had held down.</w:t>
      </w:r>
    </w:p>
    <w:p w14:paraId="4B39DD61" w14:textId="77777777" w:rsidR="007519C6" w:rsidRDefault="00000000">
      <w:pPr>
        <w:spacing w:after="60"/>
        <w:ind w:firstLine="360"/>
        <w:jc w:val="both"/>
      </w:pPr>
      <w:r>
        <w:rPr>
          <w:color w:val="1A1A1A"/>
        </w:rPr>
        <w:t>In the language of the supercycle, 1971 was an inflection of the first order. The decades after it would bring inflation to levels not seen in peacetime, then a long campaign to break it, then a forty-year slide in interest rates from the early-1980s peak down to the near-zero rates of the 2010s. That long disinflationary tailwind sat beneath every credit structure built since. Almost everything in this book happened during that single long fall in the cost of money, which is exactly why its reversal, the return of real interest rates in the 2020s, is such a profound change of scene. A generation of credit professionals built their careers, their models, and their structures in a world where money mostly got cheaper. That world is over, and the structures built in it are being tested against conditions their designers never modeled.</w:t>
      </w:r>
    </w:p>
    <w:p w14:paraId="05EEBFCA" w14:textId="77777777" w:rsidR="007519C6" w:rsidRDefault="00000000">
      <w:pPr>
        <w:pStyle w:val="Heading2"/>
      </w:pPr>
      <w:r>
        <w:rPr>
          <w:color w:val="2E2E2E"/>
        </w:rPr>
        <w:t>The Thrift Catastrophe</w:t>
      </w:r>
    </w:p>
    <w:p w14:paraId="33404AED" w14:textId="77777777" w:rsidR="007519C6" w:rsidRDefault="00000000">
      <w:pPr>
        <w:spacing w:after="60"/>
        <w:ind w:firstLine="360"/>
        <w:jc w:val="both"/>
      </w:pPr>
      <w:r>
        <w:rPr>
          <w:color w:val="1A1A1A"/>
        </w:rPr>
        <w:t xml:space="preserve">The first institutions to find out the world had changed were the thrifts, and the discovery was catastrophic. When inflation tore through the 1970s and the Federal Reserve under Paul Volcker finally moved to break it at the end of the decade, short-term rates climbed past fifteen percent, levels that would have seemed impossible a decade before. For the savings and loan, this was a death sentence written in arithmetic. Its liabilities, the deposits, are repriced at once to the new high rates, because no saver leaves money in an account paying four </w:t>
      </w:r>
      <w:r>
        <w:rPr>
          <w:color w:val="1A1A1A"/>
        </w:rPr>
        <w:lastRenderedPageBreak/>
        <w:t>percent when the bank down the street pays double. Its assets, the thirty-year fixed mortgages written back in the calm years, were locked at the low rates of the past and could not reprice at all. The thrift was suddenly paying more for its money than it earned on its loans, and the spread that had been its whole livelihood flipped into a loss on every dollar it held.</w:t>
      </w:r>
    </w:p>
    <w:p w14:paraId="448735D2" w14:textId="77777777" w:rsidR="007519C6" w:rsidRDefault="00000000">
      <w:pPr>
        <w:spacing w:after="60"/>
        <w:ind w:firstLine="360"/>
        <w:jc w:val="both"/>
      </w:pPr>
      <w:r>
        <w:rPr>
          <w:color w:val="1A1A1A"/>
        </w:rPr>
        <w:t>This is the mismatch, the oldest hazard in finance. Funding long-term, illiquid assets with short-term money that can reprice or run. It had broken institutions before, and it would break them again, in the money market funds of 2008, in the structured vehicles of the same crisis, and, in a form this book looks at closely, in the semi-liquid private credit vehicles of today. The savings and loan crisis that played out through the 1980s ended up costing American taxpayers well over a hundred billion dollars and wiped out a third of the industry. But its wreckage produced something that would remake finance far beyond housing, because the plain lesson of the disaster was that the mortgage should never have been sitting on the thrift's balance sheet to begin with. Move the mortgages off the books of the firms that originated them and into the hands of investors who actually wanted long-duration assets, and the mismatch dissolves. That problem, getting the mortgage off the balance sheet, is the one securitization was invented to solve.</w:t>
      </w:r>
    </w:p>
    <w:p w14:paraId="12289D52" w14:textId="77777777" w:rsidR="007519C6" w:rsidRDefault="00000000">
      <w:pPr>
        <w:pStyle w:val="Heading2"/>
      </w:pPr>
      <w:r>
        <w:rPr>
          <w:color w:val="2E2E2E"/>
        </w:rPr>
        <w:t>Ranieri's Response</w:t>
      </w:r>
    </w:p>
    <w:p w14:paraId="3B281913" w14:textId="77777777" w:rsidR="007519C6" w:rsidRDefault="00000000">
      <w:pPr>
        <w:spacing w:after="60"/>
        <w:ind w:firstLine="360"/>
        <w:jc w:val="both"/>
      </w:pPr>
      <w:r>
        <w:rPr>
          <w:color w:val="1A1A1A"/>
        </w:rPr>
        <w:t xml:space="preserve">The solution took shape on the mortgage desk at Salomon Brothers, and its architect was Lewis Ranieri, a son of Brooklyn who had come up through the mailroom. Ranieri's insight was that the mortgage itself, the stream of principal and interest from a homeowner, was a perfectly sound asset trapped in the wrong </w:t>
      </w:r>
      <w:r>
        <w:rPr>
          <w:color w:val="1A1A1A"/>
        </w:rPr>
        <w:lastRenderedPageBreak/>
        <w:t>place. Take that stream off the thrift's books. Pool it with thousands of others, so no single borrower's default can sink the pool. Slice the pool into tranches with different durations and risk profiles, so a pension fund wanting long-dated assets and a money fund wanting short ones can each buy the piece that fits. Sell the slices to the investors who actually want that risk. The thrift gets its liquidity and sheds the mismatch. The investor gets a tailored instrument. The homeowner gets a mortgage. And the system gets a way to move interest-rate risk to whoever is best able to carry it.</w:t>
      </w:r>
    </w:p>
    <w:p w14:paraId="0C56AFEB" w14:textId="77777777" w:rsidR="007519C6" w:rsidRDefault="00000000">
      <w:pPr>
        <w:spacing w:after="60"/>
        <w:ind w:firstLine="360"/>
        <w:jc w:val="both"/>
      </w:pPr>
      <w:r>
        <w:rPr>
          <w:color w:val="1A1A1A"/>
        </w:rPr>
        <w:t>The mechanics were anything but simple. Ranieri and his team spent years grinding through the legal, tax, and accounting barriers that stood between the concept and a working market. The treatment of the pass-through vehicle. The accounting for the transfer of the assets. The rating frameworks for judging a pool of mortgages, instead of a single borrower. They were inventing answers to problems nobody had solved because nobody had faced them. The word securitization, Ranieri's own coinage, entered the language next to the instruments it named. The first multi-class collateralized mortgage obligation came from Freddie Mac in 1983, splitting the mortgage cash flows into tranches of different durations, and the government-sponsored enterprises, Fannie Mae and Freddie Mac, became the great engines that standardized and scaled the market. Notice where this sat in the supercycle. Securitization was born at the very moment interest rates peaked and started their forty-year descent, so the new market would spend its entire formative life with the wind of falling rates at its back. That tailwind flattered every structure built on it and hid, for decades, how those structures would behave when the wind turned.</w:t>
      </w:r>
    </w:p>
    <w:p w14:paraId="74A77ED1" w14:textId="77777777" w:rsidR="007519C6" w:rsidRDefault="00000000">
      <w:pPr>
        <w:spacing w:after="60"/>
        <w:ind w:firstLine="360"/>
        <w:jc w:val="both"/>
      </w:pPr>
      <w:r>
        <w:rPr>
          <w:color w:val="1A1A1A"/>
        </w:rPr>
        <w:lastRenderedPageBreak/>
        <w:t>That is the foundational act of structured finance, and everything downstream of it, the asset-backed market, the collateralized loan obligation, the private credit securitizations this book takes apart later, is a variation on one principle. Pool, tranche, distribute. The assets change. The investors change. The rules change. The structural logic does not. Ranieri himself later said securitization was among the most powerful financial innovations of the twentieth century, and that its power made it dangerous in the wrong hands. He was right on both counts, and the market would spend the next quarter-century proving each half of that sentence in turn.</w:t>
      </w:r>
    </w:p>
    <w:p w14:paraId="58B91DD2" w14:textId="77777777" w:rsidR="007519C6" w:rsidRDefault="00000000">
      <w:r>
        <w:br w:type="page"/>
      </w:r>
    </w:p>
    <w:p w14:paraId="50B9F1E8" w14:textId="77777777" w:rsidR="007519C6" w:rsidRDefault="00000000">
      <w:pPr>
        <w:pStyle w:val="Heading1"/>
      </w:pPr>
      <w:r>
        <w:lastRenderedPageBreak/>
        <w:t>Chapter 3: High Yield, Leveraged Loans, and the Birth of the CLO</w:t>
      </w:r>
    </w:p>
    <w:p w14:paraId="08822B59" w14:textId="77777777" w:rsidR="007519C6" w:rsidRDefault="00000000">
      <w:pPr>
        <w:spacing w:after="60"/>
        <w:jc w:val="both"/>
      </w:pPr>
      <w:r>
        <w:rPr>
          <w:color w:val="1A1A1A"/>
        </w:rPr>
        <w:t>While Ranieri was building the machinery to move mortgages off balance sheets, a parallel revolution was running through corporate credit, and it rode the same supercycle tailwind of falling rates and rising appetite for risk. Securitization began as a response to a catastrophe. The corporate-credit revolution began as a response to an inefficiency, a wall in the capital markets that separated the companies judged worthy of credit from the far larger number judged not. The man who saw the wall most clearly built a career on tearing it down, and the infrastructure he built, for all the controversy, is the direct ancestor of every non-bank corporate lending market alive today, private credit very much included.</w:t>
      </w:r>
    </w:p>
    <w:p w14:paraId="04C5B58D" w14:textId="77777777" w:rsidR="007519C6" w:rsidRDefault="00000000">
      <w:pPr>
        <w:pStyle w:val="Heading2"/>
      </w:pPr>
      <w:r>
        <w:rPr>
          <w:color w:val="2E2E2E"/>
        </w:rPr>
        <w:t>Milken and the Price of Risk</w:t>
      </w:r>
    </w:p>
    <w:p w14:paraId="2FD288E3" w14:textId="77777777" w:rsidR="007519C6" w:rsidRDefault="00000000">
      <w:pPr>
        <w:spacing w:after="60"/>
        <w:ind w:firstLine="360"/>
        <w:jc w:val="both"/>
      </w:pPr>
      <w:r>
        <w:rPr>
          <w:color w:val="1A1A1A"/>
        </w:rPr>
        <w:t>Michael Milken did not invent the below-investment-grade bond. What he invented was the conviction that the market had mispriced it, and the distribution machinery to act on that conviction at scale. His research at Drexel Burnham Lambert started from an observation that looks almost embarrassingly simple in hindsight. A diversified portfolio of low-rated bonds, properly built and held through a full credit cycle, returned more on a risk-adjusted basis than investment-grade debt, because the spread investors demanded for the stigma of the low rating more than paid for the higher rate of actual default. The market was pricing convention, the social stigma of the rating, rather than the economics of the cash flows underneath. The bet was that the two were different things. They were.</w:t>
      </w:r>
    </w:p>
    <w:p w14:paraId="3ADA3BD1" w14:textId="77777777" w:rsidR="007519C6" w:rsidRDefault="00000000">
      <w:pPr>
        <w:spacing w:after="60"/>
        <w:ind w:firstLine="360"/>
        <w:jc w:val="both"/>
      </w:pPr>
      <w:r>
        <w:rPr>
          <w:color w:val="1A1A1A"/>
        </w:rPr>
        <w:lastRenderedPageBreak/>
        <w:t>The insight alone was not enough. The institutional structures of the day, the rating requirements of insurers and pension funds, the guidelines of bank trust departments, and the social norms of the bond market had built a wall between investment-grade debt and everything below it. On one side, capital was abundant and cheap. On the other hand, scarce and expensive, no matter how creditworthy the borrower actually was. Milken's first move was to build a secondary market in the existing bonds of fallen angels, companies that had been investment grade and slipped beneath it, cultivating a network of buyers willing to cross the wall. His second move was the bigger one, the primary market, underwriting brand-new bonds for companies that had never been investment grade at all. For the first time a cable operator, a regional airline, an independent broadcaster, a leveraged buyout could raise public debt on terms the banks, with their investment-grade requirements and their caution, would never have offered.</w:t>
      </w:r>
    </w:p>
    <w:p w14:paraId="6135821D" w14:textId="77777777" w:rsidR="007519C6" w:rsidRDefault="00000000">
      <w:pPr>
        <w:spacing w:after="60"/>
        <w:ind w:firstLine="360"/>
        <w:jc w:val="both"/>
      </w:pPr>
      <w:r>
        <w:rPr>
          <w:color w:val="1A1A1A"/>
        </w:rPr>
        <w:t xml:space="preserve">The scale of what followed is hard to overstate. The high-yield market grew from a few billion dollars of issuance in the late 1970s to over two hundred billion by the end of the 1980s. Milken's network financed the cable television industry when the banks would not, the early cellular networks, and the leveraged buyout wave that reordered American corporate ownership across the decade. The excesses were real, and they were large, ending in Milken's 1989 guilty plea and Drexel's bankruptcy, and the market hit a genuine crisis at the turn of the decade as defaults climbed and a structure that had grown too fast contracted hard. But here is the lesson that matters, and it is a lesson about what survives a crisis and what does not. The high-yield market lived, because the logic under it was sound. The borrowers were real. The cash flows were real. The investors who had been </w:t>
      </w:r>
      <w:r>
        <w:rPr>
          <w:color w:val="1A1A1A"/>
        </w:rPr>
        <w:lastRenderedPageBreak/>
        <w:t>shown the economics were not wrong to want the exposure. By the mid-1990s, the market had rebuilt itself on sturdier institutional foundations, with broader dealer participation, more transparent pricing, and a base of investors who understood what they held. The disgrace of the architect did not invalidate the architecture. That distinction, between a structure that fails because its logic is unsound and one that merely stumbles because it grew too fast in an easy part of the cycle, runs all through this history, and telling the two apart is one of the hardest and most important judgments a credit professional ever makes.</w:t>
      </w:r>
    </w:p>
    <w:p w14:paraId="5CCD6D6C" w14:textId="77777777" w:rsidR="007519C6" w:rsidRDefault="00000000">
      <w:pPr>
        <w:pStyle w:val="Heading2"/>
      </w:pPr>
      <w:r>
        <w:rPr>
          <w:color w:val="2E2E2E"/>
        </w:rPr>
        <w:t>The Syndicated Loan Market</w:t>
      </w:r>
    </w:p>
    <w:p w14:paraId="4FEBAEBC" w14:textId="77777777" w:rsidR="007519C6" w:rsidRDefault="00000000">
      <w:pPr>
        <w:spacing w:after="60"/>
        <w:ind w:firstLine="360"/>
        <w:jc w:val="both"/>
      </w:pPr>
      <w:r>
        <w:rPr>
          <w:color w:val="1A1A1A"/>
        </w:rPr>
        <w:t>Running alongside the high-yield bond was a quieter but just as important development in the market for leveraged loans. The two are cousins, often confused, and the difference matters. A high-yield bond is a security, usually fixed-rate, sold to investors in a public offering. A leveraged loan is a loan, usually floating-rate and senior secured, originated by banks and, more and more, sold on to institutional investors. For most of its life, the leveraged loan had belonged entirely to the commercial banks, which made loans and held them on their own books to maturity. The shift of the late 1980s and 1990s was the building of a market where those loans could trade after origination, distributed to a widening base of non-bank investors instead of being held to term.</w:t>
      </w:r>
    </w:p>
    <w:p w14:paraId="1F9B4EB8" w14:textId="77777777" w:rsidR="007519C6" w:rsidRDefault="00000000">
      <w:pPr>
        <w:spacing w:after="60"/>
        <w:ind w:firstLine="360"/>
        <w:jc w:val="both"/>
      </w:pPr>
      <w:r>
        <w:rPr>
          <w:color w:val="1A1A1A"/>
        </w:rPr>
        <w:t xml:space="preserve">The key innovation, and the one most relevant to where private credit sits today, was standardization. A loan cannot trade unless its terms are standard enough for a buyer to grasp quickly and a seller to hand over cleanly. Through the 1990s and 2000s, the Loan Syndications and Trading Association in the United States and its counterpart in Europe built the common documentation, </w:t>
      </w:r>
      <w:r>
        <w:rPr>
          <w:color w:val="1A1A1A"/>
        </w:rPr>
        <w:lastRenderedPageBreak/>
        <w:t>the assignment mechanics, the settlement conventions, and the market practices that made secondary trading work. This was slow, unglamorous, institutional work, the laying of plumbing rather than the invention of products, and it is exactly the kind of work a maturing market needs and a young one lacks. Hold this in mind, because the private credit market of today sits roughly where the leveraged loan market sat in the early 1990s. The products exist, the volume is climbing, and the standardization that will eventually make the assets liquid and comparable is being built, imperfectly and under pressure, and is not yet finished.</w:t>
      </w:r>
    </w:p>
    <w:p w14:paraId="2427BC51" w14:textId="77777777" w:rsidR="007519C6" w:rsidRDefault="00000000">
      <w:pPr>
        <w:pStyle w:val="Heading2"/>
      </w:pPr>
      <w:r>
        <w:rPr>
          <w:color w:val="2E2E2E"/>
        </w:rPr>
        <w:t>The CBO, the Early CLO, and a Structure Finding Its Form</w:t>
      </w:r>
    </w:p>
    <w:p w14:paraId="2370303E" w14:textId="77777777" w:rsidR="007519C6" w:rsidRDefault="00000000">
      <w:pPr>
        <w:spacing w:after="60"/>
        <w:ind w:firstLine="360"/>
        <w:jc w:val="both"/>
      </w:pPr>
      <w:r>
        <w:rPr>
          <w:color w:val="1A1A1A"/>
        </w:rPr>
        <w:t>The collateralized loan obligation is now the most trusted vehicle in structured credit, but it did not arrive fully formed, and its early history is a useful corrective to the idea that successful structures are designed correctly from the start. Many are not. They begin as workarounds, rough solutions to a particular problem, and get refined across cycles into the durable instruments they end up as. The CLO is one of those.</w:t>
      </w:r>
    </w:p>
    <w:p w14:paraId="21F77292" w14:textId="77777777" w:rsidR="007519C6" w:rsidRDefault="00000000">
      <w:pPr>
        <w:spacing w:after="60"/>
        <w:ind w:firstLine="360"/>
        <w:jc w:val="both"/>
      </w:pPr>
      <w:r>
        <w:rPr>
          <w:color w:val="1A1A1A"/>
        </w:rPr>
        <w:t xml:space="preserve">Its immediate ancestor was the collateralized bond obligation, the CBO, which applied securitization's pool-tranche-distribute logic to portfolios of high-yield bonds instead of mortgages. The CBO took a diversified pool of junk bonds, financed it by issuing tranches of different seniority, and sold those tranches to investors with different risk-return profiles. It was a natural marriage of Milken's market and Ranieri's technology, high-yield credit meeting structured finance, and in the late 1990s, it grew fast. It also, in many of its early forms, performed badly. The high-yield default wave at the turn of the millennium, driven by the </w:t>
      </w:r>
      <w:r>
        <w:rPr>
          <w:color w:val="1A1A1A"/>
        </w:rPr>
        <w:lastRenderedPageBreak/>
        <w:t>collapse of the telecom and technology buildout, dealt serious losses to CBO structures whose diversification assumptions and subordination levels were not up to the concentration of stress in particular sectors. Many early CBOs were, in honest hindsight, not well thought through. Their correlation assumptions were too optimistic. Their sector concentrations ran too high. Their structures were too fragile for the cycle they ran into.</w:t>
      </w:r>
    </w:p>
    <w:p w14:paraId="2CF31FC9" w14:textId="77777777" w:rsidR="007519C6" w:rsidRDefault="00000000">
      <w:pPr>
        <w:spacing w:after="60"/>
        <w:ind w:firstLine="360"/>
        <w:jc w:val="both"/>
      </w:pPr>
      <w:r>
        <w:rPr>
          <w:color w:val="1A1A1A"/>
        </w:rPr>
        <w:t>The collateralized loan obligation that grew up alongside and after the CBO learned from those failures, and the learning is the whole point. By building its pools from senior secured leveraged loans rather than subordinated high-yield bonds, the CLO started from collateral with higher recoveries and better protection. By imposing tighter diversity requirements, limits on any single borrower and any single industry, it guarded against the sector concentration that had sunk the early CBOs. By adding the overcollateralization and interest-coverage tests that divert cash to protect senior investors when quality slips, it built in an automatic defense that the cruder structures had lacked. And by adding active management, a manager is free to trade out of deteriorating credits during a reinvestment period, it gave the structure a way to address trouble rather than just absorb it. The CLO, in short, was the CBO with its lessons learned, refined across a cycle from a fragile experiment into a durable instrument. That refinement is how structured products mature. It is exactly the process that private credit's own securitizations are starting to go through now.</w:t>
      </w:r>
    </w:p>
    <w:p w14:paraId="06172635" w14:textId="77777777" w:rsidR="007519C6" w:rsidRDefault="00000000">
      <w:pPr>
        <w:pStyle w:val="Heading2"/>
      </w:pPr>
      <w:r>
        <w:rPr>
          <w:color w:val="2E2E2E"/>
        </w:rPr>
        <w:t>Arbitrage and Balance-Sheet CLOs</w:t>
      </w:r>
    </w:p>
    <w:p w14:paraId="41217DF8" w14:textId="77777777" w:rsidR="007519C6" w:rsidRDefault="00000000">
      <w:pPr>
        <w:spacing w:after="60"/>
        <w:ind w:firstLine="360"/>
        <w:jc w:val="both"/>
      </w:pPr>
      <w:r>
        <w:rPr>
          <w:color w:val="1A1A1A"/>
        </w:rPr>
        <w:t xml:space="preserve">One distinction inside the CLO market is worth dwelling on, because it shows how the same structure can serve two completely different purposes, and because </w:t>
      </w:r>
      <w:r>
        <w:rPr>
          <w:color w:val="1A1A1A"/>
        </w:rPr>
        <w:lastRenderedPageBreak/>
        <w:t>it foreshadows a dynamic that runs straight to the present. The CLOs most people mean are arbitrage CLOs, vehicles that an asset manager assembles to capture the spread between the yield on a pool of loans and the cost of the debt issued against it, with the equity holders pocketing the difference. The arbitrage CLO exists to make money from the spread, and its sponsor is an investment manager.</w:t>
      </w:r>
    </w:p>
    <w:p w14:paraId="3CEA6E35" w14:textId="77777777" w:rsidR="007519C6" w:rsidRDefault="00000000">
      <w:pPr>
        <w:spacing w:after="60"/>
        <w:ind w:firstLine="360"/>
        <w:jc w:val="both"/>
      </w:pPr>
      <w:r>
        <w:rPr>
          <w:color w:val="1A1A1A"/>
        </w:rPr>
        <w:t>The balance-sheet CLO is a different animal with a different motive. Here, the sponsor is a bank, and the point is not to capture a spread but to manage the bank's own balance sheet, to move loans off the books, cut the regulatory capital held against them, and free up room for new lending. The bank originates the loans, pools them into a CLO, and sells the tranches, handing the credit risk and the capital burden to outside investors while often keeping the customer relationship and the servicing. In its origins, this was partly a regulatory workaround, a way to optimize the capital treatment of a loan book under the rules of the time. But it set a pattern that would prove enormously consequential, the use of securitization by banks not to fund themselves but to shed risk and economize on capital, keeping the origination franchise while passing the balance-sheet weight to non-bank money. Hold that pattern in mind. When the post-crisis rules made it far more expensive for banks to hold credit risk, the same logic, originating the loan, keeping the client, moving the risk to a non-bank, would become one of the central mechanisms by which the private credit ecosystem got built. The balance-sheet CLO of the 1990s and 2000s was the prototype for the bank-to-private-credit risk transfer of the 2020s. The motive never changed. The bank wants the relationship and the fee, not the capital charge.</w:t>
      </w:r>
    </w:p>
    <w:p w14:paraId="0892BC4D" w14:textId="77777777" w:rsidR="007519C6" w:rsidRDefault="00000000">
      <w:r>
        <w:br w:type="page"/>
      </w:r>
    </w:p>
    <w:p w14:paraId="004E8FAC" w14:textId="77777777" w:rsidR="007519C6" w:rsidRDefault="00000000">
      <w:pPr>
        <w:pStyle w:val="Heading1"/>
      </w:pPr>
      <w:r>
        <w:lastRenderedPageBreak/>
        <w:t>Chapter 4: The Arms Race and the Crisis</w:t>
      </w:r>
    </w:p>
    <w:p w14:paraId="60EA67B7" w14:textId="77777777" w:rsidR="007519C6" w:rsidRDefault="00000000">
      <w:pPr>
        <w:spacing w:after="60"/>
        <w:jc w:val="both"/>
      </w:pPr>
      <w:r>
        <w:rPr>
          <w:color w:val="1A1A1A"/>
        </w:rPr>
        <w:t>By the early 2000s, the pieces were all in place. A mature high-yield market. A leveraged loan market that had standardized its documents and built a secondary market. A securitization technology refined from the humble mortgage pass-through into a whole family of structured products. And a banking industry that had learned to use that technology to move risk off its own balance sheet. What came next was an arms race. The great financial institutions competed to build bigger and more complex structured credit operations, financed with more and more leverage, chasing the returns that the long fall in interest rates was draining out of everything else. The race produced the most sophisticated credit machinery the world had ever seen. It also produced the crisis that nearly destroyed the system, and, in the wreckage, the conditions that made private credit. You cannot understand the present without understanding that escalation, because the people, the techniques, and the risk transfer plumbing that it built are the direct ancestors of the private credit world.</w:t>
      </w:r>
    </w:p>
    <w:p w14:paraId="1B99B419" w14:textId="77777777" w:rsidR="007519C6" w:rsidRDefault="00000000">
      <w:pPr>
        <w:pStyle w:val="Heading2"/>
      </w:pPr>
      <w:r>
        <w:rPr>
          <w:color w:val="2E2E2E"/>
        </w:rPr>
        <w:t>September 2001</w:t>
      </w:r>
    </w:p>
    <w:p w14:paraId="729ED20F" w14:textId="77777777" w:rsidR="007519C6" w:rsidRDefault="00000000">
      <w:pPr>
        <w:spacing w:after="60"/>
        <w:ind w:firstLine="360"/>
        <w:jc w:val="both"/>
      </w:pPr>
      <w:r>
        <w:rPr>
          <w:color w:val="1A1A1A"/>
        </w:rPr>
        <w:t xml:space="preserve">The decade that built the arms race opened with a rupture that had nothing to do with finance and changed it anyway. On the morning of the eleventh of September 2001, two hijacked airliners brought down the towers of the World Trade Center, a third struck the Pentagon, and a fourth went down in a field in Pennsylvania. Close to three thousand people were killed in a single morning. The effect on the country was not measured in any market. It was a wound to the national sense of safety, the abrupt end of a decade in which Americans had imagined themselves beyond the reach of that kind of harm, and the start of a </w:t>
      </w:r>
      <w:r>
        <w:rPr>
          <w:color w:val="1A1A1A"/>
        </w:rPr>
        <w:lastRenderedPageBreak/>
        <w:t>long turn toward fear, surveillance, and war. The foreign policy of the next twenty years, two wars and a permanent security apparatus, was set in motion that day. The markets felt it too. The stock exchanges closed for four trading days, the longest shutdown since the Depression, and when they reopened, the selling was heavy, and the Federal Reserve cut rates and pushed liquidity into the system to keep the financial plumbing working, part of the long move toward the low rates that would later feed everything this chapter describes. But the markets are the least of it, and I want to say that plainly before going on. The number that matters is the human one. Nearly three thousand families. The firefighters who climbed the stairs while everyone else came down. The firms that lost hundreds of their own people in a morning, one bond brokerage alone losing six hundred and fifty-eight. Whatever the day did to markets and to policy, it did something far larger and more lasting to people, and no account that leads with the financial cost has its priorities straight.</w:t>
      </w:r>
    </w:p>
    <w:p w14:paraId="51ED8561" w14:textId="77777777" w:rsidR="007519C6" w:rsidRDefault="00000000">
      <w:pPr>
        <w:spacing w:after="160"/>
        <w:ind w:left="200" w:right="200"/>
        <w:jc w:val="both"/>
      </w:pPr>
      <w:r>
        <w:rPr>
          <w:i/>
          <w:iCs/>
          <w:color w:val="33414F"/>
        </w:rPr>
        <w:t>I was on the trading floor on Park Avenue that morning, a few miles north of it, and I watched the start of it the way the whole floor did, on the bank of monitors that normally carried prices. The screens built to show the market were showing the towers instead, and the room, which is never quiet, went quiet. [Author note. The detail you remember most from those first minutes belongs here.] By the time the second plane hit, there was nothing left to misread, and the work simply stopped. The market did not open. There was nothing to do but watch, and then to leave, and to walk out into a city that had become, in the space of a morning, something none of us had seen before. [Author note. A line here about the walk home, or whom you reached, or what the streets looked like.]</w:t>
      </w:r>
    </w:p>
    <w:p w14:paraId="2022C4DD" w14:textId="77777777" w:rsidR="007519C6" w:rsidRDefault="00000000">
      <w:pPr>
        <w:spacing w:after="160"/>
        <w:ind w:left="200" w:right="200"/>
        <w:jc w:val="both"/>
      </w:pPr>
      <w:r>
        <w:rPr>
          <w:i/>
          <w:iCs/>
          <w:color w:val="33414F"/>
        </w:rPr>
        <w:lastRenderedPageBreak/>
        <w:t>I took photographs that day and in the days after, and I have kept them. They are not good photographs in any technical sense. They are only what one person standing in one place happened to see, which is the kind of record most of us ever have of the moments that mark us. A few of them are set here.</w:t>
      </w:r>
    </w:p>
    <w:p w14:paraId="70E717F7" w14:textId="77777777" w:rsidR="007519C6" w:rsidRDefault="00000000">
      <w:pPr>
        <w:pBdr>
          <w:top w:val="dashed" w:sz="6" w:space="0" w:color="B9933E"/>
          <w:left w:val="dashed" w:sz="6" w:space="0" w:color="B9933E"/>
          <w:bottom w:val="dashed" w:sz="6" w:space="0" w:color="B9933E"/>
          <w:right w:val="dashed" w:sz="6" w:space="0" w:color="B9933E"/>
        </w:pBdr>
        <w:spacing w:before="220"/>
        <w:jc w:val="center"/>
      </w:pPr>
      <w:r>
        <w:br/>
      </w:r>
      <w:r>
        <w:rPr>
          <w:i/>
          <w:iCs/>
          <w:color w:val="9A9A9A"/>
          <w:sz w:val="20"/>
          <w:szCs w:val="20"/>
        </w:rPr>
        <w:t>[  PHOTOGRAPH TO BE PLACED HERE  ]</w:t>
      </w:r>
      <w:r>
        <w:br/>
      </w:r>
      <w:r>
        <w:br/>
      </w:r>
    </w:p>
    <w:p w14:paraId="6C8F5C15" w14:textId="77777777" w:rsidR="007519C6" w:rsidRDefault="00000000">
      <w:pPr>
        <w:spacing w:before="60" w:after="220"/>
        <w:jc w:val="center"/>
      </w:pPr>
      <w:r>
        <w:rPr>
          <w:i/>
          <w:iCs/>
          <w:color w:val="5A5A5A"/>
          <w:sz w:val="18"/>
          <w:szCs w:val="18"/>
        </w:rPr>
        <w:t>Photograph by the author, September 2001. [Caption to come.]</w:t>
      </w:r>
    </w:p>
    <w:p w14:paraId="52CC8D7C" w14:textId="77777777" w:rsidR="007519C6" w:rsidRDefault="00000000">
      <w:pPr>
        <w:pBdr>
          <w:top w:val="dashed" w:sz="6" w:space="0" w:color="B9933E"/>
          <w:left w:val="dashed" w:sz="6" w:space="0" w:color="B9933E"/>
          <w:bottom w:val="dashed" w:sz="6" w:space="0" w:color="B9933E"/>
          <w:right w:val="dashed" w:sz="6" w:space="0" w:color="B9933E"/>
        </w:pBdr>
        <w:spacing w:before="220"/>
        <w:jc w:val="center"/>
      </w:pPr>
      <w:r>
        <w:br/>
      </w:r>
      <w:r>
        <w:rPr>
          <w:i/>
          <w:iCs/>
          <w:color w:val="9A9A9A"/>
          <w:sz w:val="20"/>
          <w:szCs w:val="20"/>
        </w:rPr>
        <w:t>[  PHOTOGRAPH TO BE PLACED HERE  ]</w:t>
      </w:r>
      <w:r>
        <w:br/>
      </w:r>
      <w:r>
        <w:br/>
      </w:r>
    </w:p>
    <w:p w14:paraId="0C5CB1A1" w14:textId="77777777" w:rsidR="007519C6" w:rsidRDefault="00000000">
      <w:pPr>
        <w:spacing w:before="60" w:after="220"/>
        <w:jc w:val="center"/>
      </w:pPr>
      <w:r>
        <w:rPr>
          <w:i/>
          <w:iCs/>
          <w:color w:val="5A5A5A"/>
          <w:sz w:val="18"/>
          <w:szCs w:val="18"/>
        </w:rPr>
        <w:t>Photograph by the author. [Caption to come.]</w:t>
      </w:r>
    </w:p>
    <w:p w14:paraId="5B173053" w14:textId="77777777" w:rsidR="007519C6" w:rsidRDefault="00000000">
      <w:pPr>
        <w:pBdr>
          <w:top w:val="dashed" w:sz="6" w:space="0" w:color="B9933E"/>
          <w:left w:val="dashed" w:sz="6" w:space="0" w:color="B9933E"/>
          <w:bottom w:val="dashed" w:sz="6" w:space="0" w:color="B9933E"/>
          <w:right w:val="dashed" w:sz="6" w:space="0" w:color="B9933E"/>
        </w:pBdr>
        <w:spacing w:before="220"/>
        <w:jc w:val="center"/>
      </w:pPr>
      <w:r>
        <w:br/>
      </w:r>
      <w:r>
        <w:rPr>
          <w:i/>
          <w:iCs/>
          <w:color w:val="9A9A9A"/>
          <w:sz w:val="20"/>
          <w:szCs w:val="20"/>
        </w:rPr>
        <w:t>[  PHOTOGRAPH TO BE PLACED HERE  ]</w:t>
      </w:r>
      <w:r>
        <w:br/>
      </w:r>
      <w:r>
        <w:br/>
      </w:r>
    </w:p>
    <w:p w14:paraId="23A5BAE4" w14:textId="77777777" w:rsidR="007519C6" w:rsidRDefault="00000000">
      <w:pPr>
        <w:spacing w:before="60" w:after="220"/>
        <w:jc w:val="center"/>
      </w:pPr>
      <w:r>
        <w:rPr>
          <w:i/>
          <w:iCs/>
          <w:color w:val="5A5A5A"/>
          <w:sz w:val="18"/>
          <w:szCs w:val="18"/>
        </w:rPr>
        <w:t>Photograph by the author. [Caption to come.]</w:t>
      </w:r>
    </w:p>
    <w:p w14:paraId="27FF9565" w14:textId="77777777" w:rsidR="007519C6" w:rsidRDefault="00000000">
      <w:pPr>
        <w:pStyle w:val="Heading2"/>
      </w:pPr>
      <w:r>
        <w:rPr>
          <w:color w:val="2E2E2E"/>
        </w:rPr>
        <w:t>The Proprietary Build-Out</w:t>
      </w:r>
    </w:p>
    <w:p w14:paraId="131311FF" w14:textId="77777777" w:rsidR="007519C6" w:rsidRDefault="00000000">
      <w:pPr>
        <w:spacing w:after="60"/>
        <w:ind w:firstLine="360"/>
        <w:jc w:val="both"/>
      </w:pPr>
      <w:r>
        <w:rPr>
          <w:color w:val="1A1A1A"/>
        </w:rPr>
        <w:t xml:space="preserve">Through the 2000s, the major investment banks expanded their proprietary credit operations with an aggression that, looking back, marked the late stage of a supercycle. As falling rates squeezed the returns from ordinary lending and </w:t>
      </w:r>
      <w:r>
        <w:rPr>
          <w:color w:val="1A1A1A"/>
        </w:rPr>
        <w:lastRenderedPageBreak/>
        <w:t>market making, the banks reached for yield, the way institutions always do late in a cycle, through complexity and leverage. They built enormous structured credit desks and staffed them with the most quantitatively gifted people the industry had ever hired. Those desks built, traded, and warehoused a rising tide of collateralized debt obligations, correlation products, and synthetic structures. The proprietary desk, putting the bank's own capital at risk, became a profit center of the first rank. And the competition to dominate structured credit pushed every firm to take more risk, hold more inventory, and build more complex instruments than the last.</w:t>
      </w:r>
    </w:p>
    <w:p w14:paraId="5DA60FFE" w14:textId="77777777" w:rsidR="007519C6" w:rsidRDefault="00000000">
      <w:pPr>
        <w:spacing w:after="60"/>
        <w:ind w:firstLine="360"/>
        <w:jc w:val="both"/>
      </w:pPr>
      <w:r>
        <w:rPr>
          <w:color w:val="1A1A1A"/>
        </w:rPr>
        <w:t>This build-out is worth sitting with, because it is the hinge of the whole story this book tells. The structured credit desks of Bear Stearns, Lehman Brothers, Merrill Lynch, and their peers gathered extraordinary concentrations of talent and technique. They worked out the methods for structuring, tranching, and risk-managing complex credit portfolios. They built the warehouses that held loans and securities before they were packaged. They wrote the correlation models, designed the hedges, and cultivated the relationships with rating agencies and institutional buyers. Chasing proprietary profit, the banks built inside themselves the most capable credit structuring machines that had ever existed. Then the crisis came, and the rules that followed pushed those machines, and very often the people who ran them, out of the banks altogether. The capability did not vanish. It moved. The structured credit expertise the banks had assembled at vast expense became, after the crisis, the human and technical foundation of the private credit industry. The arms race built the talent. The regulatory response exiled it. The exile populated the firms that now manage trillions. That is not a coincidence in history. It is the mechanism of it.</w:t>
      </w:r>
    </w:p>
    <w:p w14:paraId="46C0717E" w14:textId="77777777" w:rsidR="007519C6" w:rsidRDefault="00000000">
      <w:pPr>
        <w:pStyle w:val="Heading2"/>
      </w:pPr>
      <w:r>
        <w:rPr>
          <w:color w:val="2E2E2E"/>
        </w:rPr>
        <w:lastRenderedPageBreak/>
        <w:t>The Super-Senior and the Scramble for Loans</w:t>
      </w:r>
    </w:p>
    <w:p w14:paraId="5FCED007" w14:textId="77777777" w:rsidR="007519C6" w:rsidRDefault="00000000">
      <w:pPr>
        <w:spacing w:after="60"/>
        <w:ind w:firstLine="360"/>
        <w:jc w:val="both"/>
      </w:pPr>
      <w:r>
        <w:rPr>
          <w:color w:val="1A1A1A"/>
        </w:rPr>
        <w:t>The competition did not stay at the desk. To win the structured credit race, a firm needed two things in ever greater quantity: the raw loans to package and a place to put the parts of the package nobody else wanted, and the chase for both reshaped the industry. Issuance of mortgage-backed securities and the CDOs built from them climbed year after year through the middle of the decade, and the volume itself became the point. A desk measured its standing by how much it could push through the machine. Feeding a machine that large took more mortgages than the traditional lenders could supply, so the banks went out and bought the supply. Merrill Lynch bought the subprime lender First Franklin. Bear Stearns owned EMC Mortgage and reached for more origination on top of it. Lehman ran BNC Mortgage and Aurora. Morgan Stanley bought Saxon. The logic was vertical integration, the same logic a manufacturer uses when it buys its parts supplier. Own the origination, and you control the flow of raw material into the securitization line, and you capture the margin at every stage from the loan officer to the final tranche. It worked beautifully while house prices rose. It meant, when they fell, that the bank owned the factory as well as the inventory, and the losses ran the length of the chain.</w:t>
      </w:r>
    </w:p>
    <w:p w14:paraId="1C0F93E8" w14:textId="77777777" w:rsidR="007519C6" w:rsidRDefault="00000000">
      <w:pPr>
        <w:spacing w:after="60"/>
        <w:ind w:firstLine="360"/>
        <w:jc w:val="both"/>
      </w:pPr>
      <w:r>
        <w:rPr>
          <w:color w:val="1A1A1A"/>
        </w:rPr>
        <w:t xml:space="preserve">The other half of the scramble was quieter and, in the end, far more dangerous. Every CDO had a top layer, larger than the ordinary triple-A and so safe by the math of the structure that it was rated above triple-A and called super-senior. It paid almost nothing, a handful of basis points over funding, because it was supposed to be the last thing in the world to take a loss. Precisely because it paid so little, outside buyers had no appetite for it, and so the banks kept it themselves, in enormous size, booking the tiny spread as riskless profit. Some </w:t>
      </w:r>
      <w:r>
        <w:rPr>
          <w:color w:val="1A1A1A"/>
        </w:rPr>
        <w:lastRenderedPageBreak/>
        <w:t>hedged the position by buying protection from a monoline insurer or from AIG, a maneuver that turned a sliver of spread into a reported gain and went by the name of the negative basis trade. Much of it was not really hedged at all. The result was that the institutions arranging these deals quietly accumulated hundreds of billions of dollars of the one tranche everyone agreed could never lose money. When the correlation assumptions underneath the CDO turned out to be fantasy, the tranche that could never lose money was exactly where the losses landed. By the middle of 2008, Merrill Lynch sold a pile of super-senior CDOs with a face value of 30.6 billion dollars for about 22 cents on the dollar, and even that price flattered the result, because Merrill lent the buyer roughly three-quarters of the purchase price to get the trade done. The safest thing on the balance sheet had become the thing that broke the firm.</w:t>
      </w:r>
    </w:p>
    <w:p w14:paraId="1CA9EC52" w14:textId="77777777" w:rsidR="007519C6" w:rsidRDefault="00000000">
      <w:pPr>
        <w:pStyle w:val="Heading2"/>
      </w:pPr>
      <w:r>
        <w:rPr>
          <w:color w:val="2E2E2E"/>
        </w:rPr>
        <w:t>Learning to Bet Against It</w:t>
      </w:r>
    </w:p>
    <w:p w14:paraId="3DDBD2BE" w14:textId="77777777" w:rsidR="007519C6" w:rsidRDefault="00000000">
      <w:pPr>
        <w:spacing w:after="60"/>
        <w:ind w:firstLine="360"/>
        <w:jc w:val="both"/>
      </w:pPr>
      <w:r>
        <w:rPr>
          <w:color w:val="1A1A1A"/>
        </w:rPr>
        <w:t xml:space="preserve">While one part of the market manufactured exposure to mortgages, another part was building the tools to bet against them, and the two grew up together. A credit default swap let one party pay a periodic premium and the other promise to make good any loss on a specific bond, which is to say it let you insure a security you did not own, or short it outright. Applied to a single mortgage bond, the swap turned a static long instrument into something you could take either side of. In 2006, the machinery went further with the arrival of the ABX, a tradable index referencing a basket of subprime mortgage securities, which for the first time let an investor short the whole subprime complex through one liquid instrument and watch the price move every day. And the synthetic CDO carried the idea to its conclusion. Instead of holding actual mortgage bonds, a </w:t>
      </w:r>
      <w:r>
        <w:rPr>
          <w:color w:val="1A1A1A"/>
        </w:rPr>
        <w:lastRenderedPageBreak/>
        <w:t>synthetic CDO referenced them through swaps, which meant the supply of CDOs no longer depended on the supply of mortgages at all. A deal could be assembled out of nothing more than two parties wanting opposite sides of the same bet. For every investor reaching for yield on the long side, the structure now needed someone willing to be short, and a small group of people had begun to volunteer.</w:t>
      </w:r>
    </w:p>
    <w:p w14:paraId="35308B68" w14:textId="77777777" w:rsidR="007519C6" w:rsidRDefault="00000000">
      <w:pPr>
        <w:spacing w:after="60"/>
        <w:ind w:firstLine="360"/>
        <w:jc w:val="both"/>
      </w:pPr>
      <w:r>
        <w:rPr>
          <w:color w:val="1A1A1A"/>
        </w:rPr>
        <w:t xml:space="preserve">The short that came good is the part of the story everyone knows, and it earned its fame, because seeing clearly when almost no one else does is rare and was punished for years before it paid. A handful of investors, John Paulson's fund among the most prominent, studied the underlying loans, concluded that a nationwide fall in house prices would wreck the lower tranches, and bought protection on them through exactly the swaps and indices the market had just built. When the loans went bad, the bet paid on a scale with few equals in the history of markets, billions of dollars made on a wager the consensus had called foolish. But the same instruments that rewarded clear sight also opened a door that should trouble anyone who cares how markets are supposed to work. Some of the banks selling these structures to clients were themselves positioning to profit when the structures failed. The most notorious case, Goldman Sachs and a synthetic CDO called Abacus, involved a deal whose reference portfolio was shaped with input from an investor who was at the same time betting against it, while the long side was sold to others who were never told. Goldman settled with the Securities and Exchange Commission in 2010 for 550 million dollars, then a record, conceding that its marketing materials had left out important information. In the same season of Senate hearings, an internal email describing one of these deals in crude and dismissive terms surfaced and became shorthand for the whole affair. The instruments were not the scandal. Selling a thing to a </w:t>
      </w:r>
      <w:r>
        <w:rPr>
          <w:color w:val="1A1A1A"/>
        </w:rPr>
        <w:lastRenderedPageBreak/>
        <w:t>client while arranging to be paid when it failed was the scandal, and the memory of it still colors how the public reads everything Wall Street builds.</w:t>
      </w:r>
    </w:p>
    <w:p w14:paraId="2260DA18" w14:textId="77777777" w:rsidR="007519C6" w:rsidRDefault="00000000">
      <w:pPr>
        <w:pStyle w:val="Heading2"/>
      </w:pPr>
      <w:r>
        <w:rPr>
          <w:color w:val="2E2E2E"/>
        </w:rPr>
        <w:t>What the Crisis Was</w:t>
      </w:r>
    </w:p>
    <w:p w14:paraId="789B7EDE" w14:textId="77777777" w:rsidR="007519C6" w:rsidRDefault="00000000">
      <w:pPr>
        <w:spacing w:after="60"/>
        <w:ind w:firstLine="360"/>
        <w:jc w:val="both"/>
      </w:pPr>
      <w:r>
        <w:rPr>
          <w:color w:val="1A1A1A"/>
        </w:rPr>
        <w:t>The financial crisis of 2007 through 2009 has been studied more thoroughly than almost any event in economic history, and a full accounting is well beyond this chapter. But the essential point, the one most often misremembered, is what kind of crisis it was in its acute phase. At the start it was not mainly a crisis of credit quality. It was a crisis of funding. The structured products at its center, the mortgage-backed securities, the collateralized debt obligations built from them, the CDO-squareds built from those, were financed in large part with short-term, mark-to-market money. It was the same maturity mismatch that had destroyed the thrifts three decades earlier, rebuilt now at the heart of the most sophisticated institutions in finance.</w:t>
      </w:r>
    </w:p>
    <w:p w14:paraId="005EF4AD" w14:textId="77777777" w:rsidR="007519C6" w:rsidRDefault="00000000">
      <w:pPr>
        <w:spacing w:after="60"/>
        <w:ind w:firstLine="360"/>
        <w:jc w:val="both"/>
      </w:pPr>
      <w:r>
        <w:rPr>
          <w:color w:val="1A1A1A"/>
        </w:rPr>
        <w:t xml:space="preserve">When the underlying mortgages started to go bad and the first marks came down, the short-term funding that had been rolling over every night simply stopped. Not because the assets were worthless. Many of them turned out to be worth a great deal. It stopped because leverage and overnight funding together created a forced selling spiral that fed on itself. A vehicle facing a margin call had to sell assets into a market with no buyers. The forced sale drove prices down. The lower prices triggered more margin calls. The cycle accelerated. This spiral, of forced selling, falling prices, and withdrawn funding, is the signature of any leveraged market when confidence in the collateral breaks. It is exactly why the CLO, whose term funding cannot be yanked overnight, would survive the same </w:t>
      </w:r>
      <w:r>
        <w:rPr>
          <w:color w:val="1A1A1A"/>
        </w:rPr>
        <w:lastRenderedPageBreak/>
        <w:t>storm that destroyed the mark-to-market vehicles around it. The same loans fell in price. The CLO held them, because it could. They recovered. The CLO paid.</w:t>
      </w:r>
    </w:p>
    <w:p w14:paraId="55DD4539" w14:textId="77777777" w:rsidR="007519C6" w:rsidRDefault="00000000">
      <w:pPr>
        <w:spacing w:after="160"/>
        <w:ind w:left="200" w:right="200"/>
        <w:jc w:val="both"/>
      </w:pPr>
      <w:r>
        <w:rPr>
          <w:i/>
          <w:iCs/>
          <w:color w:val="33414F"/>
        </w:rPr>
        <w:t>I watched it from London, close enough to the instruments at the center to know exactly what I was looking at. The silence on the floor the morning a major firm went toward two dollars a share was not the silence of surprise. Most of the serious people in the room had understood for months that something was wrong with the funding architecture beneath the structured market. It was the silence of a thesis becoming a fact. And it carried a second recognition for anyone who had watched, on a smaller and more personal scale, what happens when a structure that was supposed to hold does not. The people on the other side of it rarely chose the risk that takes them down.</w:t>
      </w:r>
    </w:p>
    <w:p w14:paraId="24B57447" w14:textId="77777777" w:rsidR="007519C6" w:rsidRDefault="00000000">
      <w:pPr>
        <w:pStyle w:val="Heading2"/>
      </w:pPr>
      <w:r>
        <w:rPr>
          <w:color w:val="2E2E2E"/>
        </w:rPr>
        <w:t>The Anatomy of the Failures</w:t>
      </w:r>
    </w:p>
    <w:p w14:paraId="603A7E1D" w14:textId="77777777" w:rsidR="007519C6" w:rsidRDefault="00000000">
      <w:pPr>
        <w:spacing w:after="60"/>
        <w:ind w:firstLine="360"/>
        <w:jc w:val="both"/>
      </w:pPr>
      <w:r>
        <w:rPr>
          <w:color w:val="1A1A1A"/>
        </w:rPr>
        <w:t>The funding crisis did not strike every institution the same way. It found the weak point in each one and pressed until something broke, and because the institutions were built differently, they broke differently. Six failures from 2008 map the distinct ways a credit system comes apart. They are worth walking through, not for the drama, but because each one is a clean illustration of a particular failure mode, and the failure modes are the lessons.</w:t>
      </w:r>
    </w:p>
    <w:p w14:paraId="3F0512D3" w14:textId="77777777" w:rsidR="007519C6" w:rsidRDefault="00000000">
      <w:pPr>
        <w:spacing w:after="60"/>
        <w:ind w:firstLine="360"/>
        <w:jc w:val="both"/>
      </w:pPr>
      <w:r>
        <w:rPr>
          <w:color w:val="1A1A1A"/>
        </w:rPr>
        <w:t xml:space="preserve">Bear Stearns went first, in March, and it died of a funding run. Bear was an investment bank built on structured credit and financed, dangerously, on overnight money. It borrowed in the repo market every night against assets it could not sell quickly, which is the mismatch in its purest form. The warning had come nine months earlier, in the summer of 2007, when two of Bear's own hedge funds, both stuffed with subprime CDOs, collapsed. Bear put up about 1.6 billion </w:t>
      </w:r>
      <w:r>
        <w:rPr>
          <w:color w:val="1A1A1A"/>
        </w:rPr>
        <w:lastRenderedPageBreak/>
        <w:t>dollars to rescue the less leveraged of the two and let the other one go. Both filed for bankruptcy by the end of July. The firm took the reputational hit and survived, for a while. Then in March 2008 the confidence ran out. Bear's cash pool stood at about 18 billion dollars on a Monday and drained away within days as counterparties refused to roll their funding. A bank that had been solvent on paper could no longer fund itself. Over a single weekend the Federal Reserve arranged a sale to JPMorgan, backstopped by a loan of roughly 29 billion dollars against a pool of Bear's least sellable assets. The first offer was two dollars a share. It was raised to ten a week later to quiet shareholder fury. A storied firm vanished in a weekend because its funding did, which is the defining feature of a run.</w:t>
      </w:r>
    </w:p>
    <w:p w14:paraId="40AFFEE5" w14:textId="77777777" w:rsidR="007519C6" w:rsidRDefault="00000000">
      <w:pPr>
        <w:spacing w:after="60"/>
        <w:ind w:firstLine="360"/>
        <w:jc w:val="both"/>
      </w:pPr>
      <w:r>
        <w:rPr>
          <w:color w:val="1A1A1A"/>
        </w:rPr>
        <w:t xml:space="preserve">Lehman Brothers went six months later, in September, and it died the same structural death as Bear but with a different ending, because this time there was no rescue. Lehman was bigger, more leveraged, and just as dependent on short-term funding. It had pushed hard into commercial real estate and mortgages near the top of the market, and it had used an accounting maneuver known inside the firm as Repo 105 to shift about 50 billion dollars off its balance sheet at quarter-end, making its leverage look tamer than it was. When confidence broke, the rescue talks failed one by one. A Korean bank passed. Bank of America walked away and bought Merrill Lynch instead. Barclays was willing, but British regulators refused to let it guarantee Lehman's trades. On the fifteenth of September 2008, Lehman filed the largest bankruptcy in American history, with something like 639 billion dollars in assets. Whether the government could have saved it is still argued. Officials said afterward that Lehman was insolvent and lacked the collateral the Fed needed to lend against, so a loan could not have </w:t>
      </w:r>
      <w:r>
        <w:rPr>
          <w:color w:val="1A1A1A"/>
        </w:rPr>
        <w:lastRenderedPageBreak/>
        <w:t>rescued it. Critics call that a convenient explanation found after the fact. Either way, the decision to let Lehman fail turned a severe crisis into a global panic, because it taught the market that no one was safe, and the funding froze everywhere at once.</w:t>
      </w:r>
    </w:p>
    <w:p w14:paraId="3AD273A7" w14:textId="77777777" w:rsidR="007519C6" w:rsidRDefault="00000000">
      <w:pPr>
        <w:spacing w:after="60"/>
        <w:ind w:firstLine="360"/>
        <w:jc w:val="both"/>
      </w:pPr>
      <w:r>
        <w:rPr>
          <w:color w:val="1A1A1A"/>
        </w:rPr>
        <w:t>AIG failed the next day, and its collapse was a different species, because AIG was not a bank at all. It was an insurer, and the unit that destroyed it, AIG Financial Products, had written credit default swaps on the very mortgage CDOs that were now falling apart. The swaps were a promise to pay if those securities lost value, and as they did, and as AIG was downgraded, the contracts forced AIG to post collateral it did not have. The company had sold protection on a portfolio of hundreds of billions of dollars, and the collateral calls drained its liquidity in days. On the sixteenth of September the Federal Reserve lent AIG 85 billion dollars in exchange for nearly eighty percent of the company, a commitment that grew over time to around 182 billion. What made the AIG rescue so bitter, and so instructive, is where the money went. A large share flowed straight through AIG to its counterparties, the banks on the other side of those swaps, who were paid in full. Goldman Sachs alone received roughly 13 billion dollars. The rescue of AIG was, in part, a quiet rescue of everyone AIG owed. Months later, while running on more than 170 billion dollars of public support, AIG paid about 165 million dollars in retention bonuses to employees of the same division that had caused the collapse. The public reaction was incandescent, and it was not wrong to be.</w:t>
      </w:r>
    </w:p>
    <w:p w14:paraId="36ABAD0D" w14:textId="77777777" w:rsidR="007519C6" w:rsidRDefault="00000000">
      <w:pPr>
        <w:spacing w:after="60"/>
        <w:ind w:firstLine="360"/>
        <w:jc w:val="both"/>
      </w:pPr>
      <w:r>
        <w:rPr>
          <w:color w:val="1A1A1A"/>
        </w:rPr>
        <w:t xml:space="preserve">While the investment banks and AIG were failing on Wall Street, two large deposit-taking institutions were failing the old-fashioned way, on bad mortgages and a run on the deposits. Washington Mutual was the largest bank failure in </w:t>
      </w:r>
      <w:r>
        <w:rPr>
          <w:color w:val="1A1A1A"/>
        </w:rPr>
        <w:lastRenderedPageBreak/>
        <w:t>American history. It had loaded its book with option-ARM and subprime mortgages, the kind that let borrowers pay less than the interest they owed, and when those loans went bad and depositors got nervous, the money left. About 16.7 billion dollars in deposits walked out the door over ten days in September 2008. Regulators seized the bank on the twenty-fifth and sold its operations to JPMorgan for about 1.9 billion dollars. No taxpayer money went in, but the holding company's bondholders and shareholders were wiped out completely. Washington Mutual failed the way banks have always failed, by lending badly and funding short, only at enormous scale.</w:t>
      </w:r>
    </w:p>
    <w:p w14:paraId="731AAE53" w14:textId="77777777" w:rsidR="007519C6" w:rsidRDefault="00000000">
      <w:pPr>
        <w:spacing w:after="60"/>
        <w:ind w:firstLine="360"/>
        <w:jc w:val="both"/>
      </w:pPr>
      <w:r>
        <w:rPr>
          <w:color w:val="1A1A1A"/>
        </w:rPr>
        <w:t>Wachovia nearly followed it down within the week, undone by a single acquisition. In 2006, near the peak, Wachovia had bought Golden West Financial and inherited about 120 billion dollars of option-ARM mortgages, the same toxic product that sank Washington Mutual. After Washington Mutual failed, Wachovia's funding began to go, and it was forced to find a buyer fast. The first deal, brokered by the FDIC, had Citigroup buying Wachovia's banking operations for about 2.16 billion dollars with the government sharing in the losses. Then Wells Fargo stepped in with a competing offer for the whole company, around 15 billion dollars in stock and no government help, made possible by a change in the tax treatment of the losses. Wachovia took the Wells Fargo deal, Citigroup sued, and the matter was settled. Wachovia is the case that resolved through acquisition rather than failure, which is to say it is the one where the system worked closer to the way it is supposed to, a weak bank absorbed by a stronger one before it actually collapsed.</w:t>
      </w:r>
    </w:p>
    <w:p w14:paraId="619EA7DA" w14:textId="77777777" w:rsidR="007519C6" w:rsidRDefault="00000000">
      <w:pPr>
        <w:spacing w:after="60"/>
        <w:ind w:firstLine="360"/>
        <w:jc w:val="both"/>
      </w:pPr>
      <w:r>
        <w:rPr>
          <w:color w:val="1A1A1A"/>
        </w:rPr>
        <w:t xml:space="preserve">The sixth failure was the largest and the quietest. Fannie Mae and Freddie Mac, the two government-sponsored enterprises at the center of the American </w:t>
      </w:r>
      <w:r>
        <w:rPr>
          <w:color w:val="1A1A1A"/>
        </w:rPr>
        <w:lastRenderedPageBreak/>
        <w:t>mortgage market, owned or guaranteed something like five trillion dollars of mortgages between them, on a sliver of capital, protected by the market's belief that the government stood behind them implicitly. That belief let them grow enormous while holding almost nothing in reserve against losses, and when the losses mounted, the sliver of capital was not nearly enough. On the sixth of September 2008 the government placed both into conservatorship and pledged to keep them solvent, a commitment that began at 100 billion dollars apiece, was doubled, and was eventually made effectively unlimited. The two firms drew about 187.5 billion dollars in the end. Their failure mode was neither a run nor a single bad acquisition. It was thin capital standing behind an implicit guarantee, a structure that let private gains build on public backing until the public was called on to honor it.</w:t>
      </w:r>
    </w:p>
    <w:p w14:paraId="1E9A4039" w14:textId="77777777" w:rsidR="007519C6" w:rsidRDefault="00000000">
      <w:pPr>
        <w:spacing w:after="60"/>
        <w:ind w:firstLine="360"/>
        <w:jc w:val="both"/>
      </w:pPr>
      <w:r>
        <w:rPr>
          <w:color w:val="1A1A1A"/>
        </w:rPr>
        <w:t xml:space="preserve">Two more breakdowns turned these failures into a system-wide seizure, and they ran through the plumbing rather than the institutions. The day after Lehman filed, a large money market fund called the Reserve Primary Fund broke the buck. It held 785 million dollars of Lehman commercial paper, and when Lehman defaulted, the fund's value fell below the sacred one dollar a share that money funds are supposed to hold. Money market funds were supposed to be the safest thing short of cash, and now one had lost money. Investors pulled something like 172 billion dollars from prime money funds in a matter of days, and the run only stopped when the Treasury stepped in to guarantee them. At nearly the same moment the commercial paper market, the short-term funding that ordinary companies use to make payroll and buy inventory, simply froze, because the money funds that bought that paper were now fleeing. The Federal Reserve had to become the buyer of last resort for commercial paper to keep the </w:t>
      </w:r>
      <w:r>
        <w:rPr>
          <w:color w:val="1A1A1A"/>
        </w:rPr>
        <w:lastRenderedPageBreak/>
        <w:t>real economy funded. This was the moment the crisis stopped being a Wall Street problem and reached into every company that relied on short-term credit, which is to say nearly all of them.</w:t>
      </w:r>
    </w:p>
    <w:p w14:paraId="1E9E7F02" w14:textId="77777777" w:rsidR="007519C6" w:rsidRDefault="00000000">
      <w:pPr>
        <w:pStyle w:val="Heading2"/>
      </w:pPr>
      <w:r>
        <w:rPr>
          <w:color w:val="2E2E2E"/>
        </w:rPr>
        <w:t>What Died, and Why</w:t>
      </w:r>
    </w:p>
    <w:p w14:paraId="417B4153" w14:textId="77777777" w:rsidR="007519C6" w:rsidRDefault="00000000">
      <w:pPr>
        <w:spacing w:after="60"/>
        <w:ind w:firstLine="360"/>
        <w:jc w:val="both"/>
      </w:pPr>
      <w:r>
        <w:rPr>
          <w:color w:val="1A1A1A"/>
        </w:rPr>
        <w:t>Step back from the institutions to the structures they held, and the crisis sorts into an even sharper lesson. It was a brutal sorting mechanism, and what it killed and what it spared tells you, with rare clarity, what makes a credit structure sound. The casualties are worth naming precisely, because the reasons they died are the reasons careful investors still recite them.</w:t>
      </w:r>
    </w:p>
    <w:p w14:paraId="3085DF93" w14:textId="77777777" w:rsidR="007519C6" w:rsidRDefault="00000000">
      <w:pPr>
        <w:spacing w:after="60"/>
        <w:ind w:firstLine="360"/>
        <w:jc w:val="both"/>
      </w:pPr>
      <w:r>
        <w:rPr>
          <w:color w:val="1A1A1A"/>
        </w:rPr>
        <w:t xml:space="preserve">The structured investment vehicle, the SIV, died first and most completely. A SIV held long-dated assets and funded them with short-term commercial paper, pocketing the spread between the two. That is the maturity mismatch in almost pure form. When the paper market froze, the SIVs could not roll their funding, were forced to sell into a falling market, and disappeared as a category. They died because their basic design, funding long with short, was the thrift's fatal flaw rebuilt without even the thrift's eventual protections. The ABS CDO died next, and most expensively. Its flaw was different. Not a funding mismatch but a collapse of diversification, built on correlation assumptions that a nationwide fall in house prices exposed as fantasy. A CDO assembled from tranches of other mortgage securitizations was leverage stacked on leverage and correlation hidden inside correlation, so a single shock to housing could bring the whole thing down at once. The CDO-squared, built from tranches of CDOs, was the same mistake compounded, opacity piled on opacity until nobody could say what they actually owned. And the monoline insurers that had guaranteed many of </w:t>
      </w:r>
      <w:r>
        <w:rPr>
          <w:color w:val="1A1A1A"/>
        </w:rPr>
        <w:lastRenderedPageBreak/>
        <w:t>these structures, having charged far too little for a risk they did not understand, went down with them.</w:t>
      </w:r>
    </w:p>
    <w:p w14:paraId="1ADEDCC0" w14:textId="77777777" w:rsidR="007519C6" w:rsidRDefault="00000000">
      <w:pPr>
        <w:spacing w:after="60"/>
        <w:ind w:firstLine="360"/>
        <w:jc w:val="both"/>
      </w:pPr>
      <w:r>
        <w:rPr>
          <w:color w:val="1A1A1A"/>
        </w:rPr>
        <w:t>Against that catalogue of death stands the CLO, which lived, and the contrast is the most instructive thing in the history of structured credit. The CLO looked enough like the CDO that in the panic many investors tarred them with the same brush. But the differences were the difference between living and dying. The CLO's collateral was individual senior secured loans to real companies in different industries with their own separate fortunes, not tranches of other securitizations all moving together. Its funding was term debt that could not be pulled, not overnight paper. Its coverage tests automatically diverted cash to protect the senior investors the moment quality slipped. Its managers could trade out of deteriorating credits instead of just holding them down. Every feature the CDO lacked, the CLO had, and the result is that no CLO rated triple-A, from before the crisis or after it, has ever defaulted. The same basic technology, pool and tranche and distribute, produced both the instrument that nearly destroyed the system and the instrument that came through it intact. The difference was never the technology. It was the soundness of the collateral, the stability of the funding, and the honesty of the assumptions. That one sentence is the whole moral of structured credit history, and it is the sentence a private credit investor should keep closest to hand.</w:t>
      </w:r>
    </w:p>
    <w:p w14:paraId="72C77D20" w14:textId="77777777" w:rsidR="007519C6" w:rsidRDefault="00000000">
      <w:r>
        <w:br w:type="page"/>
      </w:r>
    </w:p>
    <w:p w14:paraId="6A182A7C" w14:textId="77777777" w:rsidR="007519C6" w:rsidRDefault="00000000">
      <w:pPr>
        <w:pStyle w:val="Heading1"/>
      </w:pPr>
      <w:r>
        <w:lastRenderedPageBreak/>
        <w:t>Chapter 5: The Reckoning</w:t>
      </w:r>
    </w:p>
    <w:p w14:paraId="3C22CC9C" w14:textId="77777777" w:rsidR="007519C6" w:rsidRDefault="00000000">
      <w:pPr>
        <w:spacing w:after="60"/>
        <w:jc w:val="both"/>
      </w:pPr>
      <w:r>
        <w:rPr>
          <w:color w:val="1A1A1A"/>
        </w:rPr>
        <w:t>The failures were the crisis. What came after, the rescue and the reaction to it, shaped the world that private credit grew up in, and it left a residue of anger and mistrust that still colors how the public sees finance. The numbers involved became political weapons, thrown around with far more heat than accuracy, so it is worth setting them down carefully and plainly, because the true figures tell a more complicated and more interesting story than the headline ones. The rescue was, by the measures that matter, both far cheaper than its reputation and far more consequential than its cost would suggest.</w:t>
      </w:r>
    </w:p>
    <w:p w14:paraId="1E10564A" w14:textId="77777777" w:rsidR="007519C6" w:rsidRDefault="00000000">
      <w:pPr>
        <w:pStyle w:val="Heading2"/>
      </w:pPr>
      <w:r>
        <w:rPr>
          <w:color w:val="2E2E2E"/>
        </w:rPr>
        <w:t>The Rescue, by the Numbers That Matter</w:t>
      </w:r>
    </w:p>
    <w:p w14:paraId="73CB11A6" w14:textId="77777777" w:rsidR="007519C6" w:rsidRDefault="00000000">
      <w:pPr>
        <w:spacing w:after="60"/>
        <w:ind w:firstLine="360"/>
        <w:jc w:val="both"/>
      </w:pPr>
      <w:r>
        <w:rPr>
          <w:color w:val="1A1A1A"/>
        </w:rPr>
        <w:t xml:space="preserve">Start with the number everyone remembers, the 700 billion dollars of the Troubled Asset Relief Program. That figure is an authorization, a ceiling Congress set in October 2008, and it is not what the rescue cost. The program was first voted down by the House late in September, and the stock market fell nearly 778 points that day, the largest one-day point drop to that point in history, which concentrated congressional minds and got a revised bill passed within the week. Treasury then changed course, from buying troubled assets, which is what the program was named for, to injecting capital directly into banks in exchange for stock. And here is the part the 700 billion figure hides completely. By the time every program was wound down in 2023, the lifetime cost to the taxpayer was about 31 billion dollars, according to the Government Accountability Office, and almost all of that came from foreclosure relief that was never meant to be repaid. The bank rescues themselves turned a profit. Taxpayers got back more than they </w:t>
      </w:r>
      <w:r>
        <w:rPr>
          <w:color w:val="1A1A1A"/>
        </w:rPr>
        <w:lastRenderedPageBreak/>
        <w:t>put into the banks. The rescue of the financial system, the part people are angriest about, very nearly paid for itself.</w:t>
      </w:r>
    </w:p>
    <w:p w14:paraId="5070F30F" w14:textId="77777777" w:rsidR="007519C6" w:rsidRDefault="00000000">
      <w:pPr>
        <w:spacing w:after="60"/>
        <w:ind w:firstLine="360"/>
        <w:jc w:val="both"/>
      </w:pPr>
      <w:r>
        <w:rPr>
          <w:color w:val="1A1A1A"/>
        </w:rPr>
        <w:t>The Federal Reserve's support is the other figure that gets misused, and it needs the same care. You will see a number of around 16 trillion dollars cited for the Fed's crisis lending, and sometimes 7.77 trillion. Both are real, and both mislead without explanation. The 16 trillion is a cumulative total, produced by adding up every loan the Fed made across all its emergency programs over several years. The trouble is that many of those were overnight loans that rolled over again and again. A 10 billion dollar loan renewed every night for a month shows up in that total as 300 billion, even though only 10 billion was ever at risk at one time. The honest measure of the Fed's exposure is the peak amount outstanding at any single moment, and that was somewhere around 1 to 1.2 trillion dollars. Large, certainly. But not 16 trillion, and not a gift, because nearly all of it was lent against collateral, repaid with interest, and cost the public essentially nothing. The one piece of the rescue that did lose money was the support for the car industry, which ran through the same program, on the order of 9 to 11 billion dollars on roughly 80 billion lent. In exchange, the government is generally credited with saving the American auto industry during a depression in car sales.</w:t>
      </w:r>
    </w:p>
    <w:p w14:paraId="182953B4" w14:textId="77777777" w:rsidR="007519C6" w:rsidRDefault="00000000">
      <w:pPr>
        <w:pStyle w:val="Heading2"/>
      </w:pPr>
      <w:r>
        <w:rPr>
          <w:color w:val="2E2E2E"/>
        </w:rPr>
        <w:t>Necessity and Disillusionment</w:t>
      </w:r>
    </w:p>
    <w:p w14:paraId="047CDE49" w14:textId="77777777" w:rsidR="007519C6" w:rsidRDefault="00000000">
      <w:pPr>
        <w:spacing w:after="60"/>
        <w:ind w:firstLine="360"/>
        <w:jc w:val="both"/>
      </w:pPr>
      <w:r>
        <w:rPr>
          <w:color w:val="1A1A1A"/>
        </w:rPr>
        <w:t xml:space="preserve">The accurate numbers, though, do not settle the matter, because the deepest cost of the rescue was never financial. It was the sense, widespread and durable and not unreasonable, that the system had one set of rules for Wall Street and another for everyone else. While the banks were being rescued and made whole, </w:t>
      </w:r>
      <w:r>
        <w:rPr>
          <w:color w:val="1A1A1A"/>
        </w:rPr>
        <w:lastRenderedPageBreak/>
        <w:t>ordinary people were losing their homes and their jobs. The recession that the crisis caused destroyed about 8.7 million jobs and pushed unemployment to ten percent. It wiped out something like 16 trillion dollars of household wealth. Roughly ten million families lost their homes to foreclosure. And almost no one at the top of the institutions that caused it went to prison. By most accounting, exactly one senior Wall Street executive was jailed in the United States for conduct tied to the crisis. The contrast, between the speed and generosity of the bank rescue and the slow, grudging help offered to homeowners, is the root of a disillusionment that outlasted the crisis by years. The Tea Party on the right and Occupy Wall Street on the left were both, in their different languages, expressions of the same grievance, that the people who broke the system were caught when they fell and the people who trusted it were not.</w:t>
      </w:r>
    </w:p>
    <w:p w14:paraId="45684B58" w14:textId="77777777" w:rsidR="007519C6" w:rsidRDefault="00000000">
      <w:pPr>
        <w:spacing w:after="60"/>
        <w:ind w:firstLine="360"/>
        <w:jc w:val="both"/>
      </w:pPr>
      <w:r>
        <w:rPr>
          <w:color w:val="1A1A1A"/>
        </w:rPr>
        <w:t xml:space="preserve">And yet the harder truth, the one that sits uncomfortably beside the anger, is that the rescue was probably necessary, and that the alternative was very likely worse for exactly the people who resented it most. The case for the bailouts is not that the institutions deserved saving. Many did not. It is that letting them fail in a disorderly cascade would have brought down the payment system, the credit that companies use to make payroll, and the savings of ordinary people, and turned a severe recession into something closer to a second Great Depression. The clearest evidence comes from the one experiment that was actually run. The government let Lehman fail, and the result was not a tidy lesson in market discipline. It was a global panic that froze funding for sound and unsound firms alike and required a far larger rescue to contain. The most cited study of the alternative, by the economists Alan Blinder and Mark Zandi, estimated that without the combined financial and fiscal response the economy would have lost </w:t>
      </w:r>
      <w:r>
        <w:rPr>
          <w:color w:val="1A1A1A"/>
        </w:rPr>
        <w:lastRenderedPageBreak/>
        <w:t>millions more jobs, output would have fallen much further, and the country would have tipped into deflation. Ben Bernanke, who ran the Federal Reserve through the crisis, had spent his academic career studying how the collapse of credit deepened the Great Depression, and he acted to prevent the rerun he understood better than anyone. You can believe both things at once, and the honest reader probably should. The rescue was unfair, and it rewarded the people who caused the damage. And it very likely saved the country from something far worse. Holding those two facts together, without collapsing into either the comfortable anger or the comfortable defense, is the beginning of understanding what actually happened.</w:t>
      </w:r>
    </w:p>
    <w:p w14:paraId="4D1F4AFB" w14:textId="77777777" w:rsidR="007519C6" w:rsidRDefault="00000000">
      <w:pPr>
        <w:pStyle w:val="Heading2"/>
      </w:pPr>
      <w:r>
        <w:rPr>
          <w:color w:val="2E2E2E"/>
        </w:rPr>
        <w:t>The Banks Got Bigger</w:t>
      </w:r>
    </w:p>
    <w:p w14:paraId="448C5B1F" w14:textId="77777777" w:rsidR="007519C6" w:rsidRDefault="00000000">
      <w:pPr>
        <w:spacing w:after="60"/>
        <w:ind w:firstLine="360"/>
        <w:jc w:val="both"/>
      </w:pPr>
      <w:r>
        <w:rPr>
          <w:color w:val="1A1A1A"/>
        </w:rPr>
        <w:t xml:space="preserve">There is one more consequence of the rescue that matters for everything that follows in this book, and it is the most troubling. The crisis, and the way it was resolved, made the biggest institutions bigger. The failures were cleaned up largely by having strong banks swallow weak ones. JPMorgan absorbed Bear Stearns and Washington Mutual. Bank of America absorbed Merrill Lynch and the subprime lender Countrywide. Wells Fargo absorbed Wachovia. The institutions that were already too big to fail came out of the crisis larger, more concentrated, and more central than ever, and the market drew the obvious lesson, that the largest banks would be caught if they fell. That belief is worth money. It lowers the rate at which the biggest banks can borrow, because lenders assume the government stands behind them, an implicit subsidy that studies have put in the tens of billions of dollars. The post-crisis reforms tried to address this, but the basic problem, that a handful of institutions are too large and too </w:t>
      </w:r>
      <w:r>
        <w:rPr>
          <w:color w:val="1A1A1A"/>
        </w:rPr>
        <w:lastRenderedPageBreak/>
        <w:t>interconnected to be allowed to fail, was not so much solved as managed. Hold that thought, because it returns later in this book wearing a new costume. The same logic, that risk gathered in institutions too important to fail invites the rescue that proves the point, is exactly the question now hanging over the private credit system that grew up in the wreckage.</w:t>
      </w:r>
    </w:p>
    <w:p w14:paraId="5790893B" w14:textId="77777777" w:rsidR="007519C6" w:rsidRDefault="00000000">
      <w:pPr>
        <w:pStyle w:val="Heading2"/>
      </w:pPr>
      <w:r>
        <w:rPr>
          <w:color w:val="2E2E2E"/>
        </w:rPr>
        <w:t>The Regulatory Reordering</w:t>
      </w:r>
    </w:p>
    <w:p w14:paraId="5EED7586" w14:textId="77777777" w:rsidR="007519C6" w:rsidRDefault="00000000">
      <w:pPr>
        <w:spacing w:after="60"/>
        <w:ind w:firstLine="360"/>
        <w:jc w:val="both"/>
      </w:pPr>
      <w:r>
        <w:rPr>
          <w:color w:val="1A1A1A"/>
        </w:rPr>
        <w:t>The legislative response was extensive, well meant, and consequential in ways its authors did not fully foresee, and it is the direct cause of private credit's explosive growth. The Dodd-Frank Act of 2010 was the broadest financial reform since the Depression. The Volcker Rule curbed proprietary trading and limited what banks could do with private funds, dismantling the very proprietary credit desks whose talent would soon populate the alternative-credit industry. Basel III made banks hold far more capital against risky assets, and a below-investment-grade loan, with its heavy risk weighting, ate up a lot of it. The 2013 leveraged lending guidance, though never a formal rule, pressed an unofficial leverage ceiling on the banks and pushed many of them out of exactly the lending the middle market relied on. Risk retention rules made securitization sponsors keep some skin in the game, realigning the incentives that the originate-to-distribute model had turned upside down.</w:t>
      </w:r>
    </w:p>
    <w:p w14:paraId="56C26E65" w14:textId="77777777" w:rsidR="007519C6" w:rsidRDefault="00000000">
      <w:pPr>
        <w:spacing w:after="60"/>
        <w:ind w:firstLine="360"/>
        <w:jc w:val="both"/>
      </w:pPr>
      <w:r>
        <w:rPr>
          <w:color w:val="1A1A1A"/>
        </w:rPr>
        <w:t xml:space="preserve">Each rule addressed a real failure the crisis had exposed, and together they hit their main target. The banking system came out safer, better capitalized, and far less prone to the mismatched, overleveraged risk-taking that had nearly destroyed it. But every action in a financial system has a second effect, and the second effect here was decisive. Making it expensive for banks to hold credit risk </w:t>
      </w:r>
      <w:r>
        <w:rPr>
          <w:color w:val="1A1A1A"/>
        </w:rPr>
        <w:lastRenderedPageBreak/>
        <w:t>did nothing of the kind to the non-bank funds operating outside the banking perimeter, which faced no capital charge, no leverage limit, and no rule against concentrated positions in low-rated loans. The asymmetry was the result, whether or not it was the intent. Capital follows incentives, and the incentive now pointed away from bank balance sheets and toward private funds. The risk did not leave the system. It moved to a part of the system the new rules had left largely alone. Whether that move made the whole thing safer, by shifting risk to long-horizon investors with no deposits to run, or merely pushed it somewhere the regulators could no longer see, is one of the central questions this book keeps returning to, and one the next stress will answer.</w:t>
      </w:r>
    </w:p>
    <w:p w14:paraId="7C11F4ED" w14:textId="77777777" w:rsidR="007519C6" w:rsidRDefault="00000000">
      <w:pPr>
        <w:pStyle w:val="Heading2"/>
      </w:pPr>
      <w:r>
        <w:rPr>
          <w:color w:val="2E2E2E"/>
        </w:rPr>
        <w:t>The Market That Did Not Come Back</w:t>
      </w:r>
    </w:p>
    <w:p w14:paraId="57EE18F0" w14:textId="77777777" w:rsidR="007519C6" w:rsidRDefault="00000000">
      <w:pPr>
        <w:spacing w:after="60"/>
        <w:ind w:firstLine="360"/>
        <w:jc w:val="both"/>
      </w:pPr>
      <w:r>
        <w:rPr>
          <w:color w:val="1A1A1A"/>
        </w:rPr>
        <w:t xml:space="preserve">One casualty of the crisis never recovered, and its absence shaped the years that followed. Through the boom, private lenders had financed an enormous volume of mortgages with no government guarantee behind them, packaging the loans into what the market called non-agency or private-label securities, the bonds that carried real credit risk and paid for taking it. At the peak in the middle of the decade, issuance of these private-label mortgage bonds ran past a trillion dollars in a single year. Then the losses came, the buyers vanished, and the market for new private-label mortgage securities essentially shut. It did not shrink. It closed, and it has never reopened at anything close to its former scale. In the vacuum, the government-backed channels, Fannie Mae and Freddie Mac and Ginnie Mae, were left to carry almost the entire mortgage market, which they still do. A whole avenue of private credit creation, one that had grown to a trillion dollars a year, simply ceased, and the financing it once supplied had to be found </w:t>
      </w:r>
      <w:r>
        <w:rPr>
          <w:color w:val="1A1A1A"/>
        </w:rPr>
        <w:lastRenderedPageBreak/>
        <w:t>somewhere else or not at all. Where some of it eventually went, into the hands of non-bank lenders willing to hold residential credit directly, is a thread this book picks up later, when the residential market begins, slowly and on different terms, to draw private capital back.</w:t>
      </w:r>
    </w:p>
    <w:p w14:paraId="643F9E4E" w14:textId="77777777" w:rsidR="007519C6" w:rsidRDefault="00000000">
      <w:pPr>
        <w:pStyle w:val="Heading2"/>
      </w:pPr>
      <w:r>
        <w:rPr>
          <w:color w:val="2E2E2E"/>
        </w:rPr>
        <w:t>From Wreckage to System</w:t>
      </w:r>
    </w:p>
    <w:p w14:paraId="77A8FE7C" w14:textId="77777777" w:rsidR="007519C6" w:rsidRDefault="00000000">
      <w:pPr>
        <w:spacing w:after="60"/>
        <w:ind w:firstLine="360"/>
        <w:jc w:val="both"/>
      </w:pPr>
      <w:r>
        <w:rPr>
          <w:color w:val="1A1A1A"/>
        </w:rPr>
        <w:t>So the vacuum opened, the capital to fill it existed, and the people who knew how to deploy it had just been shown the door by their old employers. The pieces fit together almost too neatly. Banks pulled back from middle-market lending under the weight of the new capital rules. Institutional investors, starved of yield by the same central banks that had cut rates to zero to fight the crisis, went looking for return wherever they could find it. And the structured credit professionals exiled from the proprietary desks, carrying the techniques, the relationships, and the risk transfer plumbing the arms race had built, landed at asset managers that could originate, structure, and hold the credit the banks had abandoned. The firms that had been small and early before the crisis, the ones that had built the unglamorous origination machinery while no one was watching, were suddenly positioned to scale into the largest opportunity in the history of non-bank lending.</w:t>
      </w:r>
    </w:p>
    <w:p w14:paraId="2937C752" w14:textId="77777777" w:rsidR="007519C6" w:rsidRDefault="00000000">
      <w:pPr>
        <w:spacing w:after="60"/>
        <w:ind w:firstLine="360"/>
        <w:jc w:val="both"/>
      </w:pPr>
      <w:r>
        <w:rPr>
          <w:color w:val="1A1A1A"/>
        </w:rPr>
        <w:t xml:space="preserve">Through the 2010s, private credit grew from roughly 375 billion dollars to more than a trillion, compounding at better than ten percent a year, the whole ascent riding the falling-rate tailwind of the late supercycle. The partnership with private equity deepened, each feeding the other. The leading firms built national origination, specialized underwriting, and the portfolio machinery that scale rewards. The market spread into Europe, where the banks had retreated even </w:t>
      </w:r>
      <w:r>
        <w:rPr>
          <w:color w:val="1A1A1A"/>
        </w:rPr>
        <w:lastRenderedPageBreak/>
        <w:t>harder. Then the pandemic arrived, the first real stress test of the modern market, and private credit came through it with more poise than many expected, helped enormously by a fiscal and monetary response of staggering size, the kind of extraordinary support that makes the pandemic a poor stand-in for an ordinary downturn. By the end of 2024 the asset class had passed three and a half trillion dollars, more than triple its pre-pandemic size. And the rising rates of the 2020s, the reversal of the long tailwind, had become both its great advantage, lifting the yields on its floating-rate assets, and its great unanswered question, raising the debt service of the borrowers underneath it.</w:t>
      </w:r>
    </w:p>
    <w:p w14:paraId="5BE65A65" w14:textId="77777777" w:rsidR="007519C6" w:rsidRDefault="00000000">
      <w:pPr>
        <w:pStyle w:val="Heading2"/>
      </w:pPr>
      <w:r>
        <w:rPr>
          <w:color w:val="2E2E2E"/>
        </w:rPr>
        <w:t>The Broken Bonds</w:t>
      </w:r>
    </w:p>
    <w:p w14:paraId="2F26CB14" w14:textId="77777777" w:rsidR="007519C6" w:rsidRDefault="00000000">
      <w:pPr>
        <w:spacing w:after="160"/>
        <w:ind w:left="200" w:right="200"/>
        <w:jc w:val="both"/>
      </w:pPr>
      <w:r>
        <w:rPr>
          <w:i/>
          <w:iCs/>
          <w:color w:val="33414F"/>
        </w:rPr>
        <w:t xml:space="preserve">A few years after it was all over, a young banker who had worked the structured credit desks published a memoir and gave it the title "How I Caused the Credit Crunch." The title was a provocation, and a good one, half confession and half dark joke about how many hands it actually took to do the thing. Let me be plain. I am not making that claim. I did not cause the credit crisis, and neither, in truth, did he. No single person did. It was a system that failed, not a culprit who can be named. But I was in the room. I stood close enough to the machinery in those years, in London and after, to watch these instruments get built and sold and hedged and shorted, to see which assumptions everyone had quietly agreed to stop questioning, and to know the gap between what was actually happening and the story being told about it. That nearness is the only authority I claim in these pages. Not that I saw the end coming more clearly than anyone else, but </w:t>
      </w:r>
      <w:r>
        <w:rPr>
          <w:i/>
          <w:iCs/>
          <w:color w:val="33414F"/>
        </w:rPr>
        <w:lastRenderedPageBreak/>
        <w:t>that I was standing close enough to see the thing itself, and what I saw is what I am setting down as honestly as I can.</w:t>
      </w:r>
    </w:p>
    <w:p w14:paraId="7E4997CD" w14:textId="77777777" w:rsidR="007519C6" w:rsidRDefault="00000000">
      <w:pPr>
        <w:spacing w:after="160"/>
        <w:ind w:left="200" w:right="200"/>
        <w:jc w:val="both"/>
      </w:pPr>
      <w:r>
        <w:rPr>
          <w:i/>
          <w:iCs/>
          <w:color w:val="33414F"/>
        </w:rPr>
        <w:t>I came back from London into the wreckage and spent the next stretch of my working life inside it, trading the broken bonds the crisis had left behind. They were the distressed and discarded pieces of the structured market, the securities everyone had fled, marked at prices that assumed something close to total loss. A good part of the job was telling the difference between the paper that deserved those prices and the paper that did not, and there was a great deal of the second kind. Bonds that had been thrown out with the rest turned out to sit on cash flows that were still paying, attached to loans that were still good, priced for a catastrophe that was never going to reach them. Many of them, bought for cents, eventually paid in full. That was the lesson of the whole period reduced to a daily exercise. The funding had broken, not the collateral, and the market had punished the two as if they were the same thing. The patient buyer who could tell them apart, and who could hold, was paid for the distinction.</w:t>
      </w:r>
    </w:p>
    <w:p w14:paraId="685195FF" w14:textId="77777777" w:rsidR="007519C6" w:rsidRDefault="00000000">
      <w:pPr>
        <w:spacing w:after="160"/>
        <w:ind w:left="200" w:right="200"/>
        <w:jc w:val="both"/>
      </w:pPr>
      <w:r>
        <w:rPr>
          <w:i/>
          <w:iCs/>
          <w:color w:val="33414F"/>
        </w:rPr>
        <w:t xml:space="preserve">The firm I was doing this at was MF Global, and the way it ended taught the other half of the same lesson, the hard way and at close range. While I sat there sorting good bonds from bad, the top of the house had made a large bet of its own, a leveraged wager on the sovereign debt of Europe's troubled countries, financed short and stacked high on a thin base of capital. It was, once you stripped away the particulars, the same structure that had killed the firms in 2008. Borrow short, hold a concentrated position you cannot quickly sell, and lean on confidence that can leave </w:t>
      </w:r>
      <w:r>
        <w:rPr>
          <w:i/>
          <w:iCs/>
          <w:color w:val="33414F"/>
        </w:rPr>
        <w:lastRenderedPageBreak/>
        <w:t>overnight. In the autumn of 2011 the confidence left. The margin calls came, the funding evaporated, the ratings were cut, and a firm with a lineage stretching back more than two centuries filed for bankruptcy in a matter of days. Worse, when the dust settled, more than a billion dollars of customer money that was never supposed to be touched could not be accounted for, most of it eventually traced and returned, though the breach of the one line you are never to cross was the part nobody forgot. I had spent my days proving that sound assets survive a funding panic, and I watched my own employer die of a funding panic brought on by assets it should never have held that way. The maturity mismatch is not a museum piece. It is the same hazard, waiting in the same place, and it does not care how sophisticated the people standing on top of it believe themselves to be.</w:t>
      </w:r>
    </w:p>
    <w:p w14:paraId="1CF441AA" w14:textId="77777777" w:rsidR="007519C6" w:rsidRDefault="00000000">
      <w:pPr>
        <w:pStyle w:val="Heading2"/>
      </w:pPr>
      <w:r>
        <w:rPr>
          <w:color w:val="2E2E2E"/>
        </w:rPr>
        <w:t>What the Maturation Teaches</w:t>
      </w:r>
    </w:p>
    <w:p w14:paraId="6187CB0E" w14:textId="77777777" w:rsidR="007519C6" w:rsidRDefault="00000000">
      <w:pPr>
        <w:spacing w:after="60"/>
        <w:ind w:firstLine="360"/>
        <w:jc w:val="both"/>
      </w:pPr>
      <w:r>
        <w:rPr>
          <w:color w:val="1A1A1A"/>
        </w:rPr>
        <w:t xml:space="preserve">Step back from the particulars, and the history offers a pattern, and the pattern is the most valuable thing a private credit investor can take from all of this, because private credit is now traveling the same road the structured products market traveled before it. Every structured credit asset class has followed the same arc. It starts as an innovation, often a rough one, sometimes a workaround, usually flawed in its first version. It grows fast in a permissive stretch of the cycle, when capital is plentiful and discipline is loose. It meets a crisis that exposes its weakest structures and kills the ones whose logic was unsound. The survivors get refined, their assumptions corrected, their protections strengthened, their documents standardized. And the asset class that comes out the far side, humbled and improved, becomes durable institutional </w:t>
      </w:r>
      <w:r>
        <w:rPr>
          <w:color w:val="1A1A1A"/>
        </w:rPr>
        <w:lastRenderedPageBreak/>
        <w:t>infrastructure. The high-yield bond walked this road through the default wave at the turn of the millennium. The leveraged loan walked it through the standardization of the 1990s and 2000s. The CLO walked it from the fragile early CBO through the crisis that proved its design. Each came out stronger for the testing.</w:t>
      </w:r>
    </w:p>
    <w:p w14:paraId="3185D00C" w14:textId="77777777" w:rsidR="007519C6" w:rsidRDefault="00000000">
      <w:pPr>
        <w:spacing w:after="60"/>
        <w:ind w:firstLine="360"/>
        <w:jc w:val="both"/>
      </w:pPr>
      <w:r>
        <w:rPr>
          <w:color w:val="1A1A1A"/>
        </w:rPr>
        <w:t>Private credit is early on the same road, and the lessons of those who walked it before are there for anyone willing to learn them instead of relearning them. The first lesson is that a structure is only as sound as its collateral, its funding, and the honesty of its assumptions, never as sound as its complexity or its yield. The second is that maturity mismatch, funding illiquid assets with money that can run, is the oldest and most reliable cause of financial failure, and the semi-liquid private credit vehicles now multiplying are a version of it that has not been tested at scale. The third is that documentation erodes in the easy part of the cycle and gets tested in the hard part, and the loans written in the easy years of the 2010s and early 2020s have not yet met their test. The fourth is that the crisis, when it comes, will sort the sound structures from the unsound exactly as every crisis before it has, and the managers who come through intact will be the ones who kept their discipline when the cycle made discipline expensive. None of this is a forecast of doom. It is the opposite. It is the accumulated knowledge of a market that has been through this cycle several times before, handed to a market that is just entering it. The history does not have to repeat. But it tends to rhyme, and the practitioner who knows the verse has an edge on the one who does not. Bring the record. Read it honestly. It has a great deal to say about what comes next.</w:t>
      </w:r>
    </w:p>
    <w:p w14:paraId="758B2EC7" w14:textId="77777777" w:rsidR="007519C6" w:rsidRDefault="00000000">
      <w:r>
        <w:br w:type="page"/>
      </w:r>
    </w:p>
    <w:p w14:paraId="778E8100" w14:textId="77777777" w:rsidR="007519C6" w:rsidRDefault="00000000">
      <w:pPr>
        <w:pStyle w:val="Heading1"/>
      </w:pPr>
      <w:r>
        <w:lastRenderedPageBreak/>
        <w:t>Chapter 6: Sectoral Cycles and the Fading of Memory</w:t>
      </w:r>
    </w:p>
    <w:p w14:paraId="30F7CED1" w14:textId="77777777" w:rsidR="007519C6" w:rsidRDefault="00000000">
      <w:pPr>
        <w:spacing w:after="60"/>
        <w:jc w:val="both"/>
      </w:pPr>
      <w:r>
        <w:rPr>
          <w:color w:val="1A1A1A"/>
        </w:rPr>
        <w:t>You have now seen the largest credit cycle of the modern era, the one that reshaped Wall Street and cleared the ground for everything this book describes. This chapter steps back from that single event to the pattern behind it, because the crisis of 2008 was not a singular accident. It was the largest instance of something that happens again and again, a sector debt cycle, and the smaller versions on either side of it teach the same lesson in a quieter voice. The lesson is not only about leverage and structure. It is about memory, and how quickly it fades once the people who paid for it are gone.</w:t>
      </w:r>
    </w:p>
    <w:p w14:paraId="2DC5FE78" w14:textId="77777777" w:rsidR="007519C6" w:rsidRDefault="00000000">
      <w:pPr>
        <w:pStyle w:val="Heading2"/>
      </w:pPr>
      <w:r>
        <w:rPr>
          <w:color w:val="2E2E2E"/>
        </w:rPr>
        <w:t>The Shape of a Sector Cycle</w:t>
      </w:r>
    </w:p>
    <w:p w14:paraId="1FC01391" w14:textId="77777777" w:rsidR="007519C6" w:rsidRDefault="00000000">
      <w:pPr>
        <w:spacing w:after="60"/>
        <w:ind w:firstLine="360"/>
        <w:jc w:val="both"/>
      </w:pPr>
      <w:r>
        <w:rPr>
          <w:color w:val="1A1A1A"/>
        </w:rPr>
        <w:t>Strip away the particulars and a sector cycle has the same four acts every time. It begins with a real story. Not a fraud and not a delusion, but a genuine change in the world, a new technology, a new source of supply, a new kind of demand, that promises to be big and turns out to be right about that much. The fiber that carried the internet was real. The shale that remade American energy was real. The mortgage that let a family buy a house was real. The story has to be true at the start, because a false one cannot raise the kind of capital that does the damage.</w:t>
      </w:r>
    </w:p>
    <w:p w14:paraId="26BB7094" w14:textId="77777777" w:rsidR="007519C6" w:rsidRDefault="00000000">
      <w:pPr>
        <w:spacing w:after="60"/>
        <w:ind w:firstLine="360"/>
        <w:jc w:val="both"/>
      </w:pPr>
      <w:r>
        <w:rPr>
          <w:color w:val="1A1A1A"/>
        </w:rPr>
        <w:t xml:space="preserve">The second act is the rush. Capital sees the story and comes for it, faster than the discipline to deploy it well. Equity first, then debt, then more debt on looser terms, because once the early money looks smart the late money stops asking hard questions. Lenders who would not have financed the tenth entrant into a business find themselves financing the fortieth, on the theory that a rising sector </w:t>
      </w:r>
      <w:r>
        <w:rPr>
          <w:color w:val="1A1A1A"/>
        </w:rPr>
        <w:lastRenderedPageBreak/>
        <w:t>forgives a multitude of sins. This is the act where the cushion gets thin without anyone deciding to make it thin. It happens deal by deal, each one only slightly more aggressive than the last.</w:t>
      </w:r>
    </w:p>
    <w:p w14:paraId="7FDA9B81" w14:textId="77777777" w:rsidR="007519C6" w:rsidRDefault="00000000">
      <w:pPr>
        <w:spacing w:after="60"/>
        <w:ind w:firstLine="360"/>
        <w:jc w:val="both"/>
      </w:pPr>
      <w:r>
        <w:rPr>
          <w:color w:val="1A1A1A"/>
        </w:rPr>
        <w:t>The third act is the loosening you can read in the documents. Leverage that started at a sober multiple drifts higher. Covenants that protected the early lenders get competed away to win the later deals. Pricing that compensated for the risk compresses as the risk is forgotten. The loans written near the top look nothing like the loans written near the bottom, and the difference is not a judgment about the borrowers. It is a record of where the cycle stood when the ink dried.</w:t>
      </w:r>
    </w:p>
    <w:p w14:paraId="008C977B" w14:textId="77777777" w:rsidR="007519C6" w:rsidRDefault="00000000">
      <w:pPr>
        <w:spacing w:after="60"/>
        <w:ind w:firstLine="360"/>
        <w:jc w:val="both"/>
      </w:pPr>
      <w:r>
        <w:rPr>
          <w:color w:val="1A1A1A"/>
        </w:rPr>
        <w:t>The fourth act is the meeting with reality. Sometimes it is a price, oil at forty instead of a hundred. Sometimes it is demand that never arrives at the scale the buildout assumed. Sometimes it is simply that the cost of money rises and the math that worked at zero does not work at five. The story was true, but the capital structure built on top of it assumed the story would pay off faster and more reliably than it did, and the gap between the assumption and the delivery is where the losses live. The defaults cluster, because everyone in the sector made the same bet. The recoveries disappoint, because everyone is selling the same assets at the same time. And the structures that held the debt find out whether they were built for this.</w:t>
      </w:r>
    </w:p>
    <w:p w14:paraId="2C9C07A7" w14:textId="77777777" w:rsidR="007519C6" w:rsidRDefault="00000000">
      <w:pPr>
        <w:spacing w:after="60"/>
        <w:ind w:firstLine="360"/>
        <w:jc w:val="both"/>
      </w:pPr>
      <w:r>
        <w:rPr>
          <w:color w:val="1A1A1A"/>
        </w:rPr>
        <w:t>The cast changes every time. The structure of the thing does not. Hold that pattern in mind and the episodes that follow stop looking like separate disasters and start looking like one disaster in a series of costumes.</w:t>
      </w:r>
    </w:p>
    <w:p w14:paraId="78DE4D75" w14:textId="77777777" w:rsidR="007519C6" w:rsidRDefault="00000000">
      <w:pPr>
        <w:pStyle w:val="Heading2"/>
      </w:pPr>
      <w:r>
        <w:rPr>
          <w:color w:val="2E2E2E"/>
        </w:rPr>
        <w:t>Dot-Com, Fiber, and the Telecom Frauds</w:t>
      </w:r>
    </w:p>
    <w:p w14:paraId="034E8B43" w14:textId="77777777" w:rsidR="007519C6" w:rsidRDefault="00000000">
      <w:pPr>
        <w:spacing w:after="60"/>
        <w:ind w:firstLine="360"/>
        <w:jc w:val="both"/>
      </w:pPr>
      <w:r>
        <w:rPr>
          <w:color w:val="1A1A1A"/>
        </w:rPr>
        <w:lastRenderedPageBreak/>
        <w:t>The cycle that ran from roughly 2000 to 2002 is remembered as the dot-com crash, and in the stock market that is what it was. In the credit market it was something more specific. It was a telecom cycle, and it produced the largest wave of high-yield defaults the market had seen to that point.</w:t>
      </w:r>
    </w:p>
    <w:p w14:paraId="77414E0C" w14:textId="77777777" w:rsidR="007519C6" w:rsidRDefault="00000000">
      <w:pPr>
        <w:spacing w:after="60"/>
        <w:ind w:firstLine="360"/>
        <w:jc w:val="both"/>
      </w:pPr>
      <w:r>
        <w:rPr>
          <w:color w:val="1A1A1A"/>
        </w:rPr>
        <w:t>The story was the internet, and it was true. Traffic was growing at rates that genuinely strained the existing network, and someone was going to have to build the capacity to carry it. The companies that set out to build it, Global Crossing, WorldCom, Level 3, Qwest, and a long list of smaller players, raised enormous amounts of debt to lay fiber across the country and under the oceans. The high-yield bond market financed much of it. By the end of the 1990s telecom had become one of the largest sectors in high yield, a concentration that would matter enormously when the cycle turned.</w:t>
      </w:r>
    </w:p>
    <w:p w14:paraId="1F5C11DB" w14:textId="77777777" w:rsidR="007519C6" w:rsidRDefault="00000000">
      <w:pPr>
        <w:spacing w:after="60"/>
        <w:ind w:firstLine="360"/>
        <w:jc w:val="both"/>
      </w:pPr>
      <w:r>
        <w:rPr>
          <w:color w:val="1A1A1A"/>
        </w:rPr>
        <w:t>The buildout assumed demand would grow into the capacity quickly. It did not. The fiber that was laid ran far ahead of the traffic that materialized, and much of it went dark, installed and lit by no one, earning nothing. A business with enormous fixed debt service and revenue that arrives years later than the plan is a business in trouble, and as the equity bubble burst and the funding markets closed, the telecom borrowers could not refinance their way across the gap. They defaulted in numbers that overwhelmed the sector.</w:t>
      </w:r>
    </w:p>
    <w:p w14:paraId="2A25D3E7" w14:textId="77777777" w:rsidR="007519C6" w:rsidRDefault="00000000">
      <w:pPr>
        <w:spacing w:after="60"/>
        <w:ind w:firstLine="360"/>
        <w:jc w:val="both"/>
      </w:pPr>
      <w:r>
        <w:rPr>
          <w:color w:val="1A1A1A"/>
        </w:rPr>
        <w:t xml:space="preserve">Two of the largest defaults were not only cycle casualties. They were frauds. WorldCom had been booking ordinary operating costs as capital investment to inflate its earnings, a deception that ran into the billions, and when it unraveled the company filed what was then the largest bankruptcy in American history, with around a hundred billion dollars in assets. Global Crossing had pumped up </w:t>
      </w:r>
      <w:r>
        <w:rPr>
          <w:color w:val="1A1A1A"/>
        </w:rPr>
        <w:lastRenderedPageBreak/>
        <w:t>its reported revenue through capacity swaps with other carriers, round-trip trades that manufactured the appearance of business where little existed, and it filed its own enormous bankruptcy early in 2002. Enron, an energy and trading company rather than a telecom, belongs in the same chapter of the same story, a fraud of staggering scale that collapsed in late 2001 and took its accounting firm down with it. The era did not invent corporate fraud. But it showed, again, that fraud tends to surface when the tide goes out, because the rising market that hid it stops rising.</w:t>
      </w:r>
    </w:p>
    <w:p w14:paraId="083F1A7D" w14:textId="77777777" w:rsidR="007519C6" w:rsidRDefault="00000000">
      <w:pPr>
        <w:spacing w:after="60"/>
        <w:ind w:firstLine="360"/>
        <w:jc w:val="both"/>
      </w:pPr>
      <w:r>
        <w:rPr>
          <w:color w:val="1A1A1A"/>
        </w:rPr>
        <w:t>For the structured credit market, the telecom cycle carried a lesson almost no one heeded. The vehicle of the day was the collateralized bond obligation, the CBO, the predecessor to the CLO, which pooled high-yield bonds and issued tranches against them. Many CBOs of the late-1990s vintages held heavy concentrations of telecom paper, because telecom was where the issuance was, and when the sector defaulted as a bloc, the diversification the structures were supposed to provide turned out to be far thinner than the models had assumed. Bonds that were supposed to default independently defaulted together, because they were all bets on the same buildout. The CBO tranches took losses their ratings had called remote. The market mostly concluded that the problem was high-yield bonds and moved on to the CLO, which pooled loans instead. That conclusion was half right. Loans did prove more robust than bonds. But the deeper lesson, that pooling correlated exposures does not diversify them, and that a structure is only as sound as the independence of the things inside it, was the exact lesson the mortgage CDO would teach again, at far greater cost, six years later. The rehearsal happened. The understudy did not learn the part.</w:t>
      </w:r>
    </w:p>
    <w:p w14:paraId="77E7F184" w14:textId="77777777" w:rsidR="007519C6" w:rsidRDefault="00000000">
      <w:pPr>
        <w:pStyle w:val="Heading2"/>
      </w:pPr>
      <w:r>
        <w:rPr>
          <w:color w:val="2E2E2E"/>
        </w:rPr>
        <w:lastRenderedPageBreak/>
        <w:t>The Oil and Gas Bust</w:t>
      </w:r>
    </w:p>
    <w:p w14:paraId="1829596E" w14:textId="77777777" w:rsidR="007519C6" w:rsidRDefault="00000000">
      <w:pPr>
        <w:spacing w:after="60"/>
        <w:ind w:firstLine="360"/>
        <w:jc w:val="both"/>
      </w:pPr>
      <w:r>
        <w:rPr>
          <w:color w:val="1A1A1A"/>
        </w:rPr>
        <w:t>The energy cycle of 2015 and 2016 is the cleaner experiment, because by then the structures had been rebuilt. It is the post-crisis test of whether the lessons of 2008 had actually been learned.</w:t>
      </w:r>
    </w:p>
    <w:p w14:paraId="055889D6" w14:textId="77777777" w:rsidR="007519C6" w:rsidRDefault="00000000">
      <w:pPr>
        <w:spacing w:after="60"/>
        <w:ind w:firstLine="360"/>
        <w:jc w:val="both"/>
      </w:pPr>
      <w:r>
        <w:rPr>
          <w:color w:val="1A1A1A"/>
        </w:rPr>
        <w:t>The story, once again, was real. Hydraulic fracturing and horizontal drilling had unlocked an enormous quantity of American oil and gas that had been uneconomic to produce, and the shale boom that followed was one of the genuine industrial transformations of the era. It was also enormously hungry for capital, and the capital came as debt. Exploration and production companies borrowed heavily in both the high-yield bond market and the leveraged loan market to fund drilling, on cost structures that worked comfortably when oil sold near a hundred dollars a barrel. At the peak, energy was something like a sixth of the high-yield market, another sector concentration built on another true story.</w:t>
      </w:r>
    </w:p>
    <w:p w14:paraId="30AC850D" w14:textId="77777777" w:rsidR="007519C6" w:rsidRDefault="00000000">
      <w:pPr>
        <w:spacing w:after="60"/>
        <w:ind w:firstLine="360"/>
        <w:jc w:val="both"/>
      </w:pPr>
      <w:r>
        <w:rPr>
          <w:color w:val="1A1A1A"/>
        </w:rPr>
        <w:t>The cost structures did not work at forty. When oil began falling in late 2014, pushed down by the oversupply the shale boom had itself helped create, the producers with the most debt and the highest costs broke first. The price kept sliding through 2015 and into early 2016, reaching the mid-twenties at the bottom, a level at which a great many shale wells lost money on every barrel produced. The default wave ran through the sector. More than a hundred North American oil and gas producers filed for bankruptcy across 2015 and 2016, and the losses concentrated, as they always do, in the lenders and the vehicles that had leaned hardest into the sector on the way up.</w:t>
      </w:r>
    </w:p>
    <w:p w14:paraId="657900F0" w14:textId="77777777" w:rsidR="007519C6" w:rsidRDefault="00000000">
      <w:pPr>
        <w:spacing w:after="60"/>
        <w:ind w:firstLine="360"/>
        <w:jc w:val="both"/>
      </w:pPr>
      <w:r>
        <w:rPr>
          <w:color w:val="1A1A1A"/>
        </w:rPr>
        <w:t xml:space="preserve">Here is where the experiment gets interesting, because the structures held. The CLOs that financed leveraged loans carried energy exposure, and the loans to the weakest producers defaulted and were marked down. Some CLOs saw their </w:t>
      </w:r>
      <w:r>
        <w:rPr>
          <w:color w:val="1A1A1A"/>
        </w:rPr>
        <w:lastRenderedPageBreak/>
        <w:t>coverage tests come under pressure as the energy names deteriorated. But the senior tranches did not take losses. The coverage tests did exactly what they were designed to do, diverting cash to protect the senior notes as the weak credits fell away, and the structures that had been rebuilt after the crisis, with real subordination, genuine diversification limits, and none of the resecuritized buckets that had hidden correlation last time, absorbed a concentrated sector shock without failing. The energy cycle was a real test, and the post-crisis CLO passed it.</w:t>
      </w:r>
    </w:p>
    <w:p w14:paraId="6E25E062" w14:textId="77777777" w:rsidR="007519C6" w:rsidRDefault="00000000">
      <w:pPr>
        <w:spacing w:after="60"/>
        <w:ind w:firstLine="360"/>
        <w:jc w:val="both"/>
      </w:pPr>
      <w:r>
        <w:rPr>
          <w:color w:val="1A1A1A"/>
        </w:rPr>
        <w:t>It also revealed something the headline numbers hide, which is how much the manager mattered. Two CLOs with similar mandates could carry very different energy exposure depending on the choices their managers had made, and the spread in outcomes between the managers who had stayed light on the sector or picked the more resilient credits and those who had chased the yield was wide. The structure protected the senior investor. But inside the band the structure allowed, the difference between a careful manager and a careless one was the difference between a fund that performed and a fund that limped. That lesson, that selection inside a sound structure is most of the game, is one this book returns to in its final part.</w:t>
      </w:r>
    </w:p>
    <w:p w14:paraId="3E1E10B4" w14:textId="77777777" w:rsidR="007519C6" w:rsidRDefault="00000000">
      <w:pPr>
        <w:pStyle w:val="Heading2"/>
      </w:pPr>
      <w:r>
        <w:rPr>
          <w:color w:val="2E2E2E"/>
        </w:rPr>
        <w:t>What Died, What Survived, What Sharpened</w:t>
      </w:r>
    </w:p>
    <w:p w14:paraId="2273A208" w14:textId="77777777" w:rsidR="007519C6" w:rsidRDefault="00000000">
      <w:pPr>
        <w:spacing w:after="60"/>
        <w:ind w:firstLine="360"/>
        <w:jc w:val="both"/>
      </w:pPr>
      <w:r>
        <w:rPr>
          <w:color w:val="1A1A1A"/>
        </w:rPr>
        <w:t>Look across these cycles, and the crisis between them, and a throughline emerges that is more useful than any single episode. Each one killed something, spared something, and sharpened something, and the pattern of what survived tells you what is actually load-bearing in credit.</w:t>
      </w:r>
    </w:p>
    <w:p w14:paraId="491BE22D" w14:textId="77777777" w:rsidR="007519C6" w:rsidRDefault="00000000">
      <w:pPr>
        <w:spacing w:after="60"/>
        <w:ind w:firstLine="360"/>
        <w:jc w:val="both"/>
      </w:pPr>
      <w:r>
        <w:rPr>
          <w:color w:val="1A1A1A"/>
        </w:rPr>
        <w:lastRenderedPageBreak/>
        <w:t>What died tended to be the structures that depended on correlation staying low when it would not. The CBO, overexposed to a single sector and unable to survive its synchronized default, faded as a vehicle. The ABS CDO and the resecuritized mortgage structures of the next cycle died outright and did not come back, for the same underlying reason. When the thing inside the structure is a pile of bets on the same outcome, no amount of slicing makes the senior claim safe, and the market eventually stops pretending otherwise.</w:t>
      </w:r>
    </w:p>
    <w:p w14:paraId="4DC0A6F2" w14:textId="77777777" w:rsidR="007519C6" w:rsidRDefault="00000000">
      <w:pPr>
        <w:spacing w:after="60"/>
        <w:ind w:firstLine="360"/>
        <w:jc w:val="both"/>
      </w:pPr>
      <w:r>
        <w:rPr>
          <w:color w:val="1A1A1A"/>
        </w:rPr>
        <w:t>What survived tended to be the structures that respected the difference between diversification on paper and diversification in fact. The CLO came through the telecom cycle, the financial crisis, and the energy bust, not because its collateral never defaulted but because its design, real diversification limits, funding that could not be yanked, coverage tests that protected the senior notes, was built for collateral that defaults. The survival was not luck. It followed from a structure that had been honest about what could go wrong.</w:t>
      </w:r>
    </w:p>
    <w:p w14:paraId="72D18081" w14:textId="77777777" w:rsidR="007519C6" w:rsidRDefault="00000000">
      <w:pPr>
        <w:spacing w:after="60"/>
        <w:ind w:firstLine="360"/>
        <w:jc w:val="both"/>
      </w:pPr>
      <w:r>
        <w:rPr>
          <w:color w:val="1A1A1A"/>
        </w:rPr>
        <w:t xml:space="preserve">What sharpened was the documentation and the discipline, each cycle buying an improvement paid for in losses. The telecom cycle taught the structured market that sector concentration and correlation were real, and the better CLOs that followed wrote tighter diversification limits. The crisis taught the whole system that originate-to-distribute lending with no retained risk was a recipe for careless underwriting, and the risk-retention rules that followed made the managers keep skin in the game. The energy cycle taught the leveraged loan market, again, that commodity exposure has to be stress-tested against the commodity actually falling, and the underwriting that followed took the downside cases more seriously, for a while. These were real improvements. The </w:t>
      </w:r>
      <w:r>
        <w:rPr>
          <w:color w:val="1A1A1A"/>
        </w:rPr>
        <w:lastRenderedPageBreak/>
        <w:t>structures genuinely got better. The question the next section asks is how long better lasts.</w:t>
      </w:r>
    </w:p>
    <w:p w14:paraId="6A3BD8F6" w14:textId="77777777" w:rsidR="007519C6" w:rsidRDefault="00000000">
      <w:pPr>
        <w:pStyle w:val="Heading2"/>
      </w:pPr>
      <w:r>
        <w:rPr>
          <w:color w:val="2E2E2E"/>
        </w:rPr>
        <w:t>The Supercycle and the Half-Life of Memory</w:t>
      </w:r>
    </w:p>
    <w:p w14:paraId="14FF3833" w14:textId="77777777" w:rsidR="007519C6" w:rsidRDefault="00000000">
      <w:pPr>
        <w:spacing w:after="60"/>
        <w:ind w:firstLine="360"/>
        <w:jc w:val="both"/>
      </w:pPr>
      <w:r>
        <w:rPr>
          <w:color w:val="1A1A1A"/>
        </w:rPr>
        <w:t>There is a longer rhythm underneath these episodes, and it is worth naming directly, because it frames everything that follows in this book. The individual cycles run their course over five to eight years. Underneath them runs a far longer arc, the kind Ray Dalio has spent his career mapping, a debt supercycle that unfolds across decades and bends the conditions inside which all the shorter cycles play out. The roughly forty-year decline in interest rates from the early 1980s to the early 2020s was the back half of one such arc, and it flattered everything. Credit could expand on looser terms year after year, not because borrowers got better but because the cost of money kept falling and the macro environment kept forgiving. The reversal of that arc, the return of real interest rates in the 2020s, is the deep context for the stress private credit is being tested by now, and no amount of structural improvement at the level of a single deal changes the gravity of the larger turn.</w:t>
      </w:r>
    </w:p>
    <w:p w14:paraId="1E1BC669" w14:textId="77777777" w:rsidR="007519C6" w:rsidRDefault="00000000">
      <w:pPr>
        <w:spacing w:after="60"/>
        <w:ind w:firstLine="360"/>
        <w:jc w:val="both"/>
      </w:pPr>
      <w:r>
        <w:rPr>
          <w:color w:val="1A1A1A"/>
        </w:rPr>
        <w:t xml:space="preserve">But the part of this that matters most is not financial. It is human. The improvement each cycle buys is encoded in people, in the underwriters and structurers and risk officers who lived through the losses and carry the lesson in their judgment, the way my father carried what the mill did to him. And people cycle out. The analyst who watched the telecom CBOs come apart in 2002 is, by the 2020s, either running the firm or long retired from it, and the analyst now at the desk has read about that episode at best. The risk officer who tightened the energy underwriting after 2016 has moved on, and the tightening, no longer </w:t>
      </w:r>
      <w:r>
        <w:rPr>
          <w:color w:val="1A1A1A"/>
        </w:rPr>
        <w:lastRenderedPageBreak/>
        <w:t>defended by anyone who remembers why it was put there, gets relaxed by increments to win business, until one day it is gone. The memory has a half-life. It decays. And it decays fastest in exactly the conditions, a long benign stretch with no fresh losses to renew it, that most need it to hold.</w:t>
      </w:r>
    </w:p>
    <w:p w14:paraId="2A97615E" w14:textId="77777777" w:rsidR="007519C6" w:rsidRDefault="00000000">
      <w:pPr>
        <w:spacing w:after="60"/>
        <w:ind w:firstLine="360"/>
        <w:jc w:val="both"/>
      </w:pPr>
      <w:r>
        <w:rPr>
          <w:color w:val="1A1A1A"/>
        </w:rPr>
        <w:t>This is why the cycles rhyme even when the rules have changed. The rules are written down. The judgment that knows when the rules are about to fail is not, and it leaves the building one retirement at a time. Howard Marks put the whole of it in a single sentence this book has already quoted and will quote again, because it is the truest thing anyone has said about these markets. Financial markets have a long memory, and most of the people in them have a short one. Hold that against what comes next. When we reach the newer structures of the present, the private CLOs and the levered vehicles that look, to an eye trained on the last cycle, a little like the structures that failed in it, the question will not be whether the rules have improved. They have. The question will be whether anyone still in the room remembers why the rules are there. We will not settle that question here. But we will know enough to ask it.</w:t>
      </w:r>
    </w:p>
    <w:p w14:paraId="0C7F27F9" w14:textId="77777777" w:rsidR="007519C6" w:rsidRDefault="00000000">
      <w:r>
        <w:br w:type="page"/>
      </w:r>
    </w:p>
    <w:p w14:paraId="052D2040" w14:textId="77777777" w:rsidR="007519C6" w:rsidRDefault="00000000">
      <w:pPr>
        <w:spacing w:before="2400" w:after="120"/>
        <w:jc w:val="center"/>
      </w:pPr>
      <w:r>
        <w:rPr>
          <w:b/>
          <w:bCs/>
          <w:color w:val="B9933E"/>
          <w:spacing w:val="60"/>
          <w:sz w:val="40"/>
          <w:szCs w:val="40"/>
        </w:rPr>
        <w:lastRenderedPageBreak/>
        <w:t>PART II</w:t>
      </w:r>
    </w:p>
    <w:p w14:paraId="2F3AF1D8" w14:textId="77777777" w:rsidR="007519C6" w:rsidRDefault="00000000">
      <w:pPr>
        <w:spacing w:after="240"/>
        <w:jc w:val="center"/>
      </w:pPr>
      <w:r>
        <w:rPr>
          <w:color w:val="1F3A5F"/>
          <w:sz w:val="38"/>
          <w:szCs w:val="38"/>
        </w:rPr>
        <w:t>The Core Lending Strategies</w:t>
      </w:r>
    </w:p>
    <w:p w14:paraId="035CC6F6" w14:textId="77777777" w:rsidR="007519C6" w:rsidRDefault="00000000">
      <w:pPr>
        <w:spacing w:before="120" w:after="200" w:line="320" w:lineRule="auto"/>
        <w:ind w:left="900" w:right="900"/>
        <w:jc w:val="center"/>
      </w:pPr>
      <w:r>
        <w:rPr>
          <w:i/>
          <w:iCs/>
          <w:color w:val="33414F"/>
          <w:sz w:val="22"/>
          <w:szCs w:val="22"/>
        </w:rPr>
        <w:t>How the machinery actually works, one strategy at a time.</w:t>
      </w:r>
    </w:p>
    <w:p w14:paraId="19497687" w14:textId="77777777" w:rsidR="007519C6" w:rsidRDefault="00000000">
      <w:r>
        <w:br w:type="page"/>
      </w:r>
    </w:p>
    <w:p w14:paraId="3254E47F" w14:textId="77777777" w:rsidR="007519C6" w:rsidRDefault="00000000">
      <w:pPr>
        <w:pStyle w:val="Heading1"/>
      </w:pPr>
      <w:r>
        <w:lastRenderedPageBreak/>
        <w:t>Chapter 7: Direct Lending</w:t>
      </w:r>
    </w:p>
    <w:p w14:paraId="7DCEB29A" w14:textId="77777777" w:rsidR="007519C6" w:rsidRDefault="00000000">
      <w:pPr>
        <w:spacing w:after="60"/>
        <w:jc w:val="both"/>
      </w:pPr>
      <w:r>
        <w:rPr>
          <w:color w:val="1A1A1A"/>
        </w:rPr>
        <w:t>Direct lending is the easiest part of private credit to describe and one of the hardest to do well. A manager raises money from institutions, usually in a closed-end fund with a few years to invest it and a few more to harvest it, and lends that money straight to companies that cannot reach the broadly syndicated market, or would rather not. The lender sets the terms, writes the covenants, holds the paper, and lives with the borrower until the loan matures or pays off. That directness is the whole product. There is no syndicate to hide inside and no daily price to mark against, so the manager's own credit work is the only thing standing between the fund and a loss. Get it wrong and there is nowhere to put the blame.</w:t>
      </w:r>
    </w:p>
    <w:p w14:paraId="7DA6AF4F" w14:textId="77777777" w:rsidR="007519C6" w:rsidRDefault="00000000">
      <w:pPr>
        <w:spacing w:after="60"/>
        <w:ind w:firstLine="360"/>
        <w:jc w:val="both"/>
      </w:pPr>
      <w:r>
        <w:rPr>
          <w:color w:val="1A1A1A"/>
        </w:rPr>
        <w:t>This is the middle of the asset class, somewhere between a third and forty percent of it, and it is where most institutional money comes in the door. The borrowers are middle-market companies earning roughly ten to a hundred million dollars, usually owned by private equity sponsors, borrowing to pay for a buyout, bolt on an acquisition, or recapitalize. The market is past a trillion dollars now and puts out more than two hundred billion a year. It stays bunched up among the platforms with the origination reach and the workout muscle that scale tends to reward.</w:t>
      </w:r>
    </w:p>
    <w:p w14:paraId="7EA06328" w14:textId="77777777" w:rsidR="007519C6" w:rsidRDefault="00000000">
      <w:pPr>
        <w:pStyle w:val="Heading2"/>
      </w:pPr>
      <w:r>
        <w:rPr>
          <w:color w:val="2E2E2E"/>
        </w:rPr>
        <w:t>The Structures</w:t>
      </w:r>
    </w:p>
    <w:p w14:paraId="6A08E04D" w14:textId="77777777" w:rsidR="007519C6" w:rsidRDefault="00000000">
      <w:pPr>
        <w:spacing w:after="60"/>
        <w:ind w:firstLine="360"/>
        <w:jc w:val="both"/>
      </w:pPr>
      <w:r>
        <w:rPr>
          <w:color w:val="1A1A1A"/>
        </w:rPr>
        <w:t>Direct lending is not one instrument. It is a small family of them, sorted by where they sit in the capital structure and what the lender gets paid for sitting there.</w:t>
      </w:r>
    </w:p>
    <w:p w14:paraId="7191E407" w14:textId="77777777" w:rsidR="007519C6" w:rsidRDefault="00000000">
      <w:pPr>
        <w:spacing w:after="60"/>
        <w:ind w:firstLine="360"/>
        <w:jc w:val="both"/>
      </w:pPr>
      <w:r>
        <w:rPr>
          <w:color w:val="1A1A1A"/>
        </w:rPr>
        <w:t xml:space="preserve">First-lien term loans are the workhorse. Senior secured, first claim on essentially everything the borrower owns, priced off a floating benchmark, five </w:t>
      </w:r>
      <w:r>
        <w:rPr>
          <w:color w:val="1A1A1A"/>
        </w:rPr>
        <w:lastRenderedPageBreak/>
        <w:t>to seven years long, and the bulk of what direct lenders hold. First lien sits ahead of the line. It gets paid first in a liquidation, and it earns less precisely because it is protected more. The collateral is usually a blanket lien across the borrower and its subsidiaries, give or take the carve-outs and guarantee limits that negotiation always produces.</w:t>
      </w:r>
    </w:p>
    <w:p w14:paraId="04E5DCA1" w14:textId="77777777" w:rsidR="007519C6" w:rsidRDefault="00000000">
      <w:pPr>
        <w:spacing w:after="60"/>
        <w:ind w:firstLine="360"/>
        <w:jc w:val="both"/>
      </w:pPr>
      <w:r>
        <w:rPr>
          <w:color w:val="1A1A1A"/>
        </w:rPr>
        <w:t>Unitranche deserves a longer look, because it barely existed twenty years ago and now defines a huge slice of the market. A unitranche collapses what used to be separate senior and subordinated loans into a single facility, with one rate, one document, and one lender to call. It emerged after the financial crisis, when the banks that had run the senior-plus-mezzanine machine pulled back and a handful of non-bank lenders saw an opening. They could offer a sponsor the entire debt package, top to bottom, in one stroke. Sponsors loved it, and it is not hard to see why. Instead of assembling a senior lender, a mezzanine lender, and an intercreditor agreement to referee between them, a sponsor could get a single check from a single counterparty who could close fast and stay flexible through the life of the deal. Behind the curtain, the lenders often still slice the risk among themselves. An agreement among lenders carves out a first-out piece that behaves like senior debt and a last-out piece that takes the first loss and gets paid more for the privilege. The borrower never has to care. What started as a workaround for a hole the banks left behind turned into one of the defining instruments of the asset class, and the deals kept getting bigger.</w:t>
      </w:r>
    </w:p>
    <w:p w14:paraId="014DB82D" w14:textId="77777777" w:rsidR="007519C6" w:rsidRDefault="00000000">
      <w:pPr>
        <w:spacing w:after="60"/>
        <w:ind w:firstLine="360"/>
        <w:jc w:val="both"/>
      </w:pPr>
      <w:r>
        <w:rPr>
          <w:color w:val="1A1A1A"/>
        </w:rPr>
        <w:t xml:space="preserve">Below the senior loan sit the subordinated structures. Second-lien loans share the collateral but stand behind first lien for recovery. Mezzanine sits lower still, often carrying warrants or a payment-in-kind feature that swaps current cash for accrued return and a sliver of equity upside. They are paid a good deal </w:t>
      </w:r>
      <w:r>
        <w:rPr>
          <w:color w:val="1A1A1A"/>
        </w:rPr>
        <w:lastRenderedPageBreak/>
        <w:t>more, two to four hundred basis points over first lien for second lien, into the mid-teens for mezzanine, because they are first in line for the loss. Traditional mezzanine has faded as unitranche swallowed the appetite for simple structures, but it hangs on wherever a borrower wants more leverage than the senior lender will write, or less dilution than the sponsor will stomach.</w:t>
      </w:r>
    </w:p>
    <w:p w14:paraId="1D9F45DB" w14:textId="77777777" w:rsidR="007519C6" w:rsidRDefault="00000000">
      <w:pPr>
        <w:pStyle w:val="Heading2"/>
      </w:pPr>
      <w:r>
        <w:rPr>
          <w:color w:val="2E2E2E"/>
        </w:rPr>
        <w:t>Two Lanes, Converging</w:t>
      </w:r>
    </w:p>
    <w:p w14:paraId="02479C2F" w14:textId="77777777" w:rsidR="007519C6" w:rsidRDefault="00000000">
      <w:pPr>
        <w:spacing w:after="60"/>
        <w:ind w:firstLine="360"/>
        <w:jc w:val="both"/>
      </w:pPr>
      <w:r>
        <w:rPr>
          <w:color w:val="1A1A1A"/>
        </w:rPr>
        <w:t>For most of its life, direct lending had a clean story about who it served. It financed the companies too small or too complicated for the broadly syndicated loan market, the place where banks arrange a loan and sell it off in pieces to institutional buyers and CLOs. Direct lenders took the deals the syndicated market could not be bothered with. The syndicated market took the big, liquid, brand-name credits. Everyone had a lane.</w:t>
      </w:r>
    </w:p>
    <w:p w14:paraId="103F69D7" w14:textId="77777777" w:rsidR="007519C6" w:rsidRDefault="00000000">
      <w:pPr>
        <w:spacing w:after="60"/>
        <w:ind w:firstLine="360"/>
        <w:jc w:val="both"/>
      </w:pPr>
      <w:r>
        <w:rPr>
          <w:color w:val="1A1A1A"/>
        </w:rPr>
        <w:t>That tidy division has been breaking down for years, and the breakdown is one of the more important things happening in the market. Direct lenders kept raising bigger and bigger funds, and with them came the ability to write checks that would have been unthinkable a decade ago. Two billion, three billion, more, for a single borrower, the kind of financing that used to belong only to the syndicated market. Once a direct lender can underwrite a deal that size on its own, the wall between the two markets stops being about company size and starts being about something subtler. It becomes a choice between certainty, speed, and confidentiality on one side, and price and liquidity on the other. A big sponsor doing a take-private now genuinely weighs the two, and the choice swings with the weather.</w:t>
      </w:r>
    </w:p>
    <w:p w14:paraId="6BCC2620" w14:textId="77777777" w:rsidR="007519C6" w:rsidRDefault="00000000">
      <w:pPr>
        <w:spacing w:after="60"/>
        <w:ind w:firstLine="360"/>
        <w:jc w:val="both"/>
      </w:pPr>
      <w:r>
        <w:rPr>
          <w:color w:val="1A1A1A"/>
        </w:rPr>
        <w:lastRenderedPageBreak/>
        <w:t>You could watch it swing in real time. When the syndicated market seized up in 2022 as rates lurched higher and banks got stuck holding deals they could not sell, direct lenders stepped straight into the vacuum. They financed transactions the syndicated desks could not touch, including some very large ones that would normally never have come their way. Then the syndicated market thawed in 2023 and came back swinging on price. It repriced loans out from under the direct lenders and won back borrowers who cared more about a cheap coupon than a sure close. The two markets are now in open competition for the same deals, and they discipline each other. When direct lending gets too expensive, borrowers drift back to syndication. When syndication gets flaky, they drift back to direct lenders.</w:t>
      </w:r>
    </w:p>
    <w:p w14:paraId="11DF77A0" w14:textId="77777777" w:rsidR="007519C6" w:rsidRDefault="00000000">
      <w:pPr>
        <w:spacing w:after="60"/>
        <w:ind w:firstLine="360"/>
        <w:jc w:val="both"/>
      </w:pPr>
      <w:r>
        <w:rPr>
          <w:color w:val="1A1A1A"/>
        </w:rPr>
        <w:t>The lanes, in other words, are blurring into each other, and the features are bleeding across the line. Direct lenders have taken on the scale and some of the looser documentation of the syndicated world. The syndicated market has borrowed back tricks from private credit. Banks that used to compete with direct lenders now partner with them, arranging deals they used to keep and steering the risk to private credit funds, a development this book takes up in full later on. The honest way to think about it, which Part Four returns to, is that direct lending and broadly syndicated lending are converging toward two ends of one spectrum. What separates them is less the kind of company being financed than how the loan is originated and how easily it trades. The distinction still matters. It just is not the bright line it used to be.</w:t>
      </w:r>
    </w:p>
    <w:p w14:paraId="44FCF6D6" w14:textId="77777777" w:rsidR="007519C6" w:rsidRDefault="00000000">
      <w:pPr>
        <w:pStyle w:val="Heading2"/>
      </w:pPr>
      <w:r>
        <w:rPr>
          <w:color w:val="2E2E2E"/>
        </w:rPr>
        <w:t>Underwriting: Where the Work Is</w:t>
      </w:r>
    </w:p>
    <w:p w14:paraId="3796550C" w14:textId="77777777" w:rsidR="007519C6" w:rsidRDefault="00000000">
      <w:pPr>
        <w:spacing w:after="60"/>
        <w:ind w:firstLine="360"/>
        <w:jc w:val="both"/>
      </w:pPr>
      <w:r>
        <w:rPr>
          <w:color w:val="1A1A1A"/>
        </w:rPr>
        <w:lastRenderedPageBreak/>
        <w:t>Every credit decision rests on two things, and the discipline of direct lending is refusing to treat either one as an afterthought. First, can the borrower pay? Second, what can the lender actually do if it cannot? In a hot market the temptation is to underwrite the first question and negotiate the second one away. It is the most expensive habit in the business.</w:t>
      </w:r>
    </w:p>
    <w:p w14:paraId="1D497704" w14:textId="77777777" w:rsidR="007519C6" w:rsidRDefault="00000000">
      <w:pPr>
        <w:spacing w:after="60"/>
        <w:ind w:firstLine="360"/>
        <w:jc w:val="both"/>
      </w:pPr>
      <w:r>
        <w:rPr>
          <w:color w:val="1A1A1A"/>
        </w:rPr>
        <w:t>Figuring out whether a borrower can pay starts with the business, not the spreadsheet. Where does it sit in its market, how concentrated are its customers and suppliers, will its competitive edge last, how deep does the management bench run? A company with a defensible niche, a spread of customers, and a team that has been through a cycle is simply a different credit from one riding a single product or a single relationship, whatever the model spits out. Industry matters too. A cyclical manufacturer and a contracted healthcare services business are not the same risk even at identical leverage. And the quality of the earnings matters most of all, because the EBITDA underneath every credit metric is a negotiated figure, puffed up with add-backs for synergies and run-rate savings and one-time items that have a way of recurring. A seasoned underwriter reads aggressive add-backs for what they usually are, which is optimism dressed up as arithmetic.</w:t>
      </w:r>
    </w:p>
    <w:p w14:paraId="26679D23" w14:textId="77777777" w:rsidR="007519C6" w:rsidRDefault="00000000">
      <w:pPr>
        <w:spacing w:after="60"/>
        <w:ind w:firstLine="360"/>
        <w:jc w:val="both"/>
      </w:pPr>
      <w:r>
        <w:rPr>
          <w:color w:val="1A1A1A"/>
        </w:rPr>
        <w:t xml:space="preserve">The quantitative frame is familiar, but worth saying plainly. Leverage, total debt to EBITDA, usually runs four to six and a half times in these deals, with senior leverage of three to five. Interest coverage, earnings against cash interest, says stress below two times and comfort above three. And because the rate floats, that coverage ratio tightens at exactly the wrong moment, when a slowing economy is already squeezing the business. The 2022 to 2024 rate climb moved that dynamic from the appendix to the front page. Fixed-charge coverage and </w:t>
      </w:r>
      <w:r>
        <w:rPr>
          <w:color w:val="1A1A1A"/>
        </w:rPr>
        <w:lastRenderedPageBreak/>
        <w:t>free cash flow fill in the rest, because a company that cannot throw off the cash to pay down debt is a problem no accounting profit will fix.</w:t>
      </w:r>
    </w:p>
    <w:p w14:paraId="70040288" w14:textId="77777777" w:rsidR="007519C6" w:rsidRDefault="00000000">
      <w:pPr>
        <w:spacing w:after="60"/>
        <w:ind w:firstLine="360"/>
        <w:jc w:val="both"/>
      </w:pPr>
      <w:r>
        <w:rPr>
          <w:color w:val="1A1A1A"/>
        </w:rPr>
        <w:t>For the sponsored majority of the market, the sponsor gets underwritten too. A private equity owner brings operating know-how, the ability to put in more money, and a reputation it has to protect, because a sponsor who walks away from a portfolio company or knife-fights its lenders pays for it in the next deal and the next fundraise. The equity the sponsor puts in, commonly thirty to fifty percent of enterprise value, is the cushion that eats the first loss before the debt feels anything. How deep that cushion runs is one of the better tells for how a troubled credit will end.</w:t>
      </w:r>
    </w:p>
    <w:p w14:paraId="64E20BCC" w14:textId="77777777" w:rsidR="007519C6" w:rsidRDefault="00000000">
      <w:pPr>
        <w:pStyle w:val="Heading2"/>
      </w:pPr>
      <w:r>
        <w:rPr>
          <w:color w:val="2E2E2E"/>
        </w:rPr>
        <w:t>Covenants: The Instrument, Not the Footnote</w:t>
      </w:r>
    </w:p>
    <w:p w14:paraId="4EEB7CA2" w14:textId="77777777" w:rsidR="007519C6" w:rsidRDefault="00000000">
      <w:pPr>
        <w:spacing w:after="60"/>
        <w:ind w:firstLine="360"/>
        <w:jc w:val="both"/>
      </w:pPr>
      <w:r>
        <w:rPr>
          <w:color w:val="1A1A1A"/>
        </w:rPr>
        <w:t>Maintenance covenants are what separate private credit from the covenant-lite syndicated market, and they are the sharpest expression of the idea that the document is the instrument. A leverage covenant caps debt to earnings, usually set a little above closing leverage and ratcheting down over time. An interest-coverage covenant puts a floor under earnings against interest. Minimum-EBITDA and capital-expenditure covenants draw hard lines the business cannot drift below. Tested every quarter, these provisions give the lender a seat at the table the first time a borrower wobbles, not months later, after a missed payment, with the value already out the door.</w:t>
      </w:r>
    </w:p>
    <w:p w14:paraId="3B191F6E" w14:textId="77777777" w:rsidR="007519C6" w:rsidRDefault="00000000">
      <w:pPr>
        <w:spacing w:after="60"/>
        <w:ind w:firstLine="360"/>
        <w:jc w:val="both"/>
      </w:pPr>
      <w:r>
        <w:rPr>
          <w:color w:val="1A1A1A"/>
        </w:rPr>
        <w:t xml:space="preserve">The cushion in those covenants, the gap between where the business is and where the trigger sits, is the real margin of safety, and competition eats it. So does the fight over what counts as EBITDA, where the same add-back games that flatter the opening leverage quietly loosen the covenant that is supposed to police </w:t>
      </w:r>
      <w:r>
        <w:rPr>
          <w:color w:val="1A1A1A"/>
        </w:rPr>
        <w:lastRenderedPageBreak/>
        <w:t>it. Equity cure rights, which let a sponsor write a check to fix a breach, are a fair accommodation to the fact that a bad quarter is not always a broken business. They are also a dangerous one if you hand them over without limits. Paul Singer has spent four decades making one point about credit, that the most dangerous moment is the one where the documents turn out not to mean what you thought they meant. He is not describing some freak event. He is describing the standard experience of restructuring a loan written late in an easy cycle. Read the documents. Know what you actually hold.</w:t>
      </w:r>
    </w:p>
    <w:p w14:paraId="4DD78ADD" w14:textId="77777777" w:rsidR="007519C6" w:rsidRDefault="00000000">
      <w:pPr>
        <w:pStyle w:val="Heading2"/>
      </w:pPr>
      <w:r>
        <w:rPr>
          <w:color w:val="2E2E2E"/>
        </w:rPr>
        <w:t>The Return and Its Parts</w:t>
      </w:r>
    </w:p>
    <w:p w14:paraId="60F71A33" w14:textId="77777777" w:rsidR="007519C6" w:rsidRDefault="00000000">
      <w:pPr>
        <w:spacing w:after="60"/>
        <w:ind w:firstLine="360"/>
        <w:jc w:val="both"/>
      </w:pPr>
      <w:r>
        <w:rPr>
          <w:color w:val="1A1A1A"/>
        </w:rPr>
        <w:t>The all-in yield on a senior secured loan is built from a handful of pieces, and pulling them apart is the start of judging whether the return is worth the risk.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9"/>
        <w:gridCol w:w="2050"/>
        <w:gridCol w:w="3539"/>
      </w:tblGrid>
      <w:tr w:rsidR="007519C6" w14:paraId="10347133" w14:textId="77777777">
        <w:tblPrEx>
          <w:tblCellMar>
            <w:top w:w="0" w:type="dxa"/>
            <w:bottom w:w="0" w:type="dxa"/>
          </w:tblCellMar>
        </w:tblPrEx>
        <w:trPr>
          <w:tblHeader/>
        </w:trPr>
        <w:tc>
          <w:tcPr>
            <w:tcW w:w="28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02B4EF2C" w14:textId="77777777" w:rsidR="007519C6" w:rsidRDefault="00000000">
            <w:r>
              <w:rPr>
                <w:b/>
                <w:bCs/>
                <w:color w:val="FFFFFF"/>
                <w:sz w:val="20"/>
                <w:szCs w:val="20"/>
              </w:rPr>
              <w:t>Component</w:t>
            </w:r>
          </w:p>
        </w:tc>
        <w:tc>
          <w:tcPr>
            <w:tcW w:w="23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724819E3" w14:textId="77777777" w:rsidR="007519C6" w:rsidRDefault="00000000">
            <w:r>
              <w:rPr>
                <w:b/>
                <w:bCs/>
                <w:color w:val="FFFFFF"/>
                <w:sz w:val="20"/>
                <w:szCs w:val="20"/>
              </w:rPr>
              <w:t>Typical Range</w:t>
            </w:r>
          </w:p>
        </w:tc>
        <w:tc>
          <w:tcPr>
            <w:tcW w:w="418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3160E6E" w14:textId="77777777" w:rsidR="007519C6" w:rsidRDefault="00000000">
            <w:r>
              <w:rPr>
                <w:b/>
                <w:bCs/>
                <w:color w:val="FFFFFF"/>
                <w:sz w:val="20"/>
                <w:szCs w:val="20"/>
              </w:rPr>
              <w:t>Notes</w:t>
            </w:r>
          </w:p>
        </w:tc>
      </w:tr>
      <w:tr w:rsidR="007519C6" w14:paraId="67DC5EA0"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6E75FD5" w14:textId="77777777" w:rsidR="007519C6" w:rsidRDefault="00000000">
            <w:r>
              <w:rPr>
                <w:b/>
                <w:bCs/>
                <w:color w:val="1A1A1A"/>
                <w:sz w:val="20"/>
                <w:szCs w:val="20"/>
              </w:rPr>
              <w:t>Base rate (SOFR)</w:t>
            </w:r>
          </w:p>
        </w:tc>
        <w:tc>
          <w:tcPr>
            <w:tcW w:w="2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55451F6" w14:textId="77777777" w:rsidR="007519C6" w:rsidRDefault="00000000">
            <w:r>
              <w:rPr>
                <w:color w:val="1A1A1A"/>
                <w:sz w:val="20"/>
                <w:szCs w:val="20"/>
              </w:rPr>
              <w:t>4.25% - 5.25%</w:t>
            </w:r>
          </w:p>
        </w:tc>
        <w:tc>
          <w:tcPr>
            <w:tcW w:w="41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ED90D33" w14:textId="77777777" w:rsidR="007519C6" w:rsidRDefault="00000000">
            <w:r>
              <w:rPr>
                <w:color w:val="1A1A1A"/>
                <w:sz w:val="20"/>
                <w:szCs w:val="20"/>
              </w:rPr>
              <w:t>Floating, resets monthly or quarterly</w:t>
            </w:r>
          </w:p>
        </w:tc>
      </w:tr>
      <w:tr w:rsidR="007519C6" w14:paraId="04A97A00"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C271F22" w14:textId="77777777" w:rsidR="007519C6" w:rsidRDefault="00000000">
            <w:r>
              <w:rPr>
                <w:b/>
                <w:bCs/>
                <w:color w:val="1A1A1A"/>
                <w:sz w:val="20"/>
                <w:szCs w:val="20"/>
              </w:rPr>
              <w:t>Credit spread</w:t>
            </w:r>
          </w:p>
        </w:tc>
        <w:tc>
          <w:tcPr>
            <w:tcW w:w="2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3E20A41" w14:textId="77777777" w:rsidR="007519C6" w:rsidRDefault="00000000">
            <w:r>
              <w:rPr>
                <w:color w:val="1A1A1A"/>
                <w:sz w:val="20"/>
                <w:szCs w:val="20"/>
              </w:rPr>
              <w:t>500 - 650 bps</w:t>
            </w:r>
          </w:p>
        </w:tc>
        <w:tc>
          <w:tcPr>
            <w:tcW w:w="41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1B05494" w14:textId="77777777" w:rsidR="007519C6" w:rsidRDefault="00000000">
            <w:r>
              <w:rPr>
                <w:color w:val="1A1A1A"/>
                <w:sz w:val="20"/>
                <w:szCs w:val="20"/>
              </w:rPr>
              <w:t>Varies with credit quality and the cycle</w:t>
            </w:r>
          </w:p>
        </w:tc>
      </w:tr>
      <w:tr w:rsidR="007519C6" w14:paraId="592AB144"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4BA095E" w14:textId="77777777" w:rsidR="007519C6" w:rsidRDefault="00000000">
            <w:r>
              <w:rPr>
                <w:b/>
                <w:bCs/>
                <w:color w:val="1A1A1A"/>
                <w:sz w:val="20"/>
                <w:szCs w:val="20"/>
              </w:rPr>
              <w:t>SOFR floor</w:t>
            </w:r>
          </w:p>
        </w:tc>
        <w:tc>
          <w:tcPr>
            <w:tcW w:w="2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0066445" w14:textId="77777777" w:rsidR="007519C6" w:rsidRDefault="00000000">
            <w:r>
              <w:rPr>
                <w:color w:val="1A1A1A"/>
                <w:sz w:val="20"/>
                <w:szCs w:val="20"/>
              </w:rPr>
              <w:t>0.50% - 1.00%</w:t>
            </w:r>
          </w:p>
        </w:tc>
        <w:tc>
          <w:tcPr>
            <w:tcW w:w="41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0416E21" w14:textId="77777777" w:rsidR="007519C6" w:rsidRDefault="00000000">
            <w:r>
              <w:rPr>
                <w:color w:val="1A1A1A"/>
                <w:sz w:val="20"/>
                <w:szCs w:val="20"/>
              </w:rPr>
              <w:t>A floor under the base rate</w:t>
            </w:r>
          </w:p>
        </w:tc>
      </w:tr>
      <w:tr w:rsidR="007519C6" w14:paraId="6BDEEC4D"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5DF7044" w14:textId="77777777" w:rsidR="007519C6" w:rsidRDefault="00000000">
            <w:r>
              <w:rPr>
                <w:b/>
                <w:bCs/>
                <w:color w:val="1A1A1A"/>
                <w:sz w:val="20"/>
                <w:szCs w:val="20"/>
              </w:rPr>
              <w:t>Upfront fee (OID)</w:t>
            </w:r>
          </w:p>
        </w:tc>
        <w:tc>
          <w:tcPr>
            <w:tcW w:w="2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7E2D67D" w14:textId="77777777" w:rsidR="007519C6" w:rsidRDefault="00000000">
            <w:r>
              <w:rPr>
                <w:color w:val="1A1A1A"/>
                <w:sz w:val="20"/>
                <w:szCs w:val="20"/>
              </w:rPr>
              <w:t>1.0% - 3.0%</w:t>
            </w:r>
          </w:p>
        </w:tc>
        <w:tc>
          <w:tcPr>
            <w:tcW w:w="41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44B67EE" w14:textId="77777777" w:rsidR="007519C6" w:rsidRDefault="00000000">
            <w:r>
              <w:rPr>
                <w:color w:val="1A1A1A"/>
                <w:sz w:val="20"/>
                <w:szCs w:val="20"/>
              </w:rPr>
              <w:t>Earned at close, amortized over the expected life</w:t>
            </w:r>
          </w:p>
        </w:tc>
      </w:tr>
      <w:tr w:rsidR="007519C6" w14:paraId="7F28D4BB"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21C33D1" w14:textId="77777777" w:rsidR="007519C6" w:rsidRDefault="00000000">
            <w:r>
              <w:rPr>
                <w:b/>
                <w:bCs/>
                <w:color w:val="1A1A1A"/>
                <w:sz w:val="20"/>
                <w:szCs w:val="20"/>
              </w:rPr>
              <w:t>Call protection</w:t>
            </w:r>
          </w:p>
        </w:tc>
        <w:tc>
          <w:tcPr>
            <w:tcW w:w="2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EFCBDDA" w14:textId="77777777" w:rsidR="007519C6" w:rsidRDefault="00000000">
            <w:r>
              <w:rPr>
                <w:color w:val="1A1A1A"/>
                <w:sz w:val="20"/>
                <w:szCs w:val="20"/>
              </w:rPr>
              <w:t>1% - 3%</w:t>
            </w:r>
          </w:p>
        </w:tc>
        <w:tc>
          <w:tcPr>
            <w:tcW w:w="41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10C47BB" w14:textId="77777777" w:rsidR="007519C6" w:rsidRDefault="00000000">
            <w:r>
              <w:rPr>
                <w:color w:val="1A1A1A"/>
                <w:sz w:val="20"/>
                <w:szCs w:val="20"/>
              </w:rPr>
              <w:t>Prepayment premium in the early years</w:t>
            </w:r>
          </w:p>
        </w:tc>
      </w:tr>
      <w:tr w:rsidR="007519C6" w14:paraId="0A673D15"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C75F741" w14:textId="77777777" w:rsidR="007519C6" w:rsidRDefault="00000000">
            <w:r>
              <w:rPr>
                <w:b/>
                <w:bCs/>
                <w:color w:val="1A1A1A"/>
                <w:sz w:val="20"/>
                <w:szCs w:val="20"/>
              </w:rPr>
              <w:t>All-in gross yield</w:t>
            </w:r>
          </w:p>
        </w:tc>
        <w:tc>
          <w:tcPr>
            <w:tcW w:w="2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49B530E" w14:textId="77777777" w:rsidR="007519C6" w:rsidRDefault="00000000">
            <w:r>
              <w:rPr>
                <w:color w:val="1A1A1A"/>
                <w:sz w:val="20"/>
                <w:szCs w:val="20"/>
              </w:rPr>
              <w:t>10.5% - 13.0%</w:t>
            </w:r>
          </w:p>
        </w:tc>
        <w:tc>
          <w:tcPr>
            <w:tcW w:w="41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5CDFCC7" w14:textId="77777777" w:rsidR="007519C6" w:rsidRDefault="00000000">
            <w:r>
              <w:rPr>
                <w:color w:val="1A1A1A"/>
                <w:sz w:val="20"/>
                <w:szCs w:val="20"/>
              </w:rPr>
              <w:t>Before credit losses and fund expenses</w:t>
            </w:r>
          </w:p>
        </w:tc>
      </w:tr>
    </w:tbl>
    <w:p w14:paraId="359EF97D" w14:textId="77777777" w:rsidR="007519C6" w:rsidRDefault="00000000">
      <w:pPr>
        <w:spacing w:before="80" w:after="200"/>
      </w:pPr>
      <w:r>
        <w:rPr>
          <w:i/>
          <w:iCs/>
          <w:color w:val="5A5A5A"/>
          <w:sz w:val="18"/>
          <w:szCs w:val="18"/>
        </w:rPr>
        <w:t>Figure 3.1  The components of a senior secured direct lending yield at recent market levels. The all-in figure is gross. Net return is what survives credit losses and expenses.</w:t>
      </w:r>
    </w:p>
    <w:p w14:paraId="2ED6065B" w14:textId="77777777" w:rsidR="007519C6" w:rsidRDefault="00000000">
      <w:pPr>
        <w:spacing w:after="60"/>
        <w:ind w:firstLine="360"/>
        <w:jc w:val="both"/>
      </w:pPr>
      <w:r>
        <w:rPr>
          <w:color w:val="1A1A1A"/>
        </w:rPr>
        <w:lastRenderedPageBreak/>
        <w:t>Measured by the Cliffwater Direct Lending Index, the longest clean series the market has, direct lending has returned somewhere around nine to ten percent a year since 2005. The more important fact hiding inside that number is that income has beaten realized losses in every single period, the crisis and the pandemic included. Today's setup, with all-in yields north of eleven percent, is an unusually rich entry point compared with the low-rate decade behind it, and it should be read with the cycle in mind. The loans written at these yields will be graded in conditions that have not shown up yet.</w:t>
      </w:r>
    </w:p>
    <w:p w14:paraId="63BE91A5" w14:textId="77777777" w:rsidR="007519C6" w:rsidRDefault="00000000">
      <w:pPr>
        <w:pStyle w:val="Heading2"/>
      </w:pPr>
      <w:r>
        <w:rPr>
          <w:color w:val="2E2E2E"/>
        </w:rPr>
        <w:t>Default, Loss, and the Work of Recovery</w:t>
      </w:r>
    </w:p>
    <w:p w14:paraId="20E656D0" w14:textId="77777777" w:rsidR="007519C6" w:rsidRDefault="00000000">
      <w:pPr>
        <w:spacing w:after="60"/>
        <w:ind w:firstLine="360"/>
        <w:jc w:val="both"/>
      </w:pPr>
      <w:r>
        <w:rPr>
          <w:color w:val="1A1A1A"/>
        </w:rPr>
        <w:t>Two numbers drive credit loss, and you have to hold them together. How often borrowers fail, the probability of default. And how much you lose when they do, the loss given default. Multiply them and you get expected loss, which is the figure that actually belongs next to the spread.</w:t>
      </w:r>
    </w:p>
    <w:p w14:paraId="3F9D244E" w14:textId="77777777" w:rsidR="007519C6" w:rsidRDefault="00000000">
      <w:pPr>
        <w:spacing w:after="60"/>
        <w:ind w:firstLine="360"/>
        <w:jc w:val="both"/>
      </w:pPr>
      <w:r>
        <w:rPr>
          <w:color w:val="1A1A1A"/>
        </w:rPr>
        <w:t>Default rates in middle-market direct lending have generally run between one and a half and three and a half percent a year, under the syndicated market, with the sponsored slice lower than the non-sponsored because sponsors cure, support, and occasionally ride to the rescue. The definition does a lot of quiet work here and is almost never standardized. Some series count only missed payments. Others fold in the restructurings and distressed exchanges that increasingly soak up stress before it ever becomes a formal default. Recent industry numbers have put trailing defaults near two percent, but hold that figure loosely, because the very mechanisms that keep trouble out of the statistics (the maturity extension, the covenant waiver, the flip to paying in kind) defer the reckoning without curing the economics underneath it.</w:t>
      </w:r>
    </w:p>
    <w:p w14:paraId="0A86ADC3" w14:textId="77777777" w:rsidR="007519C6" w:rsidRDefault="00000000">
      <w:pPr>
        <w:spacing w:after="60"/>
        <w:ind w:firstLine="360"/>
        <w:jc w:val="both"/>
      </w:pPr>
      <w:r>
        <w:rPr>
          <w:color w:val="1A1A1A"/>
        </w:rPr>
        <w:lastRenderedPageBreak/>
        <w:t>Recovery is the other half, and it is the one people treat as a leftover assumption when it deserves to be treated as a conclusion. Senior secured first-lien loans have historically come back sixty-five to eighty cents on the dollar, but that average hides a wide spread, and where a given loan lands in it is mostly knowable in advance. That range comes mostly from the syndicated market, and middle-market direct lending has tended to recover a little less, with recent years running lower than the long-run averages as loan-only structures and liability-management deals left thinner cushions beneath the senior loan. Documentation is the first driver. Covenants that trigger early hand the lender more tools and more time, and getting in early with options beats waiting for a missed payment. Collateral is the second. A recovery riding on enterprise value rather than hard assets is hostage to whether the business is impaired cyclically, which heals, or structurally, which does not. Leverage at default is the third, since a heavily levered structure leaves less to go around before anyone reaches the senior loan. And the economy is the fourth, because recoveries are worst exactly when defaults are worst and buyers have vanished.</w:t>
      </w:r>
    </w:p>
    <w:p w14:paraId="6BC4DB1E" w14:textId="77777777" w:rsidR="007519C6" w:rsidRDefault="00000000">
      <w:pPr>
        <w:spacing w:after="60"/>
        <w:ind w:firstLine="360"/>
        <w:jc w:val="both"/>
      </w:pPr>
      <w:r>
        <w:rPr>
          <w:color w:val="1A1A1A"/>
        </w:rPr>
        <w:t xml:space="preserve">Getting the most back is operational work, not a formula, and it is where direct lending's relationship edge earns its keep. Early warning through maintenance covenants buys time. A small lender group, often a single club that has known the borrower for years, can move while a scattered bondholder crowd is still trying to find each other on a conference call. Plenty of problems get solved with an amendment and extension. The lender grants covenant relief or a longer runway in exchange for more spread, fees, and tighter terms, keeping the borrower out of bankruptcy and the loan out of default. When that is not enough, the toolkit runs from an out-of-court restructuring (the private market's </w:t>
      </w:r>
      <w:r>
        <w:rPr>
          <w:color w:val="1A1A1A"/>
        </w:rPr>
        <w:lastRenderedPageBreak/>
        <w:t>preferred route) through strict foreclosure on the collateral, into a Chapter 11 reorganization under the court's eye, and finally to liquidation when there is no business left worth saving. A good workout, run by people who have done it before and backed by documents that say what the lender believed they said, is often the whole difference between getting eighty cents and getting thirty. One newer wrinkle is worth flagging. Creditor-on-creditor warfare, where lenders supposedly in the same class get turned against each other by aggressive documentation, is a reminder that the intercreditor terms everyone signs in calm markets get tested in stressed ones.</w:t>
      </w:r>
    </w:p>
    <w:p w14:paraId="7A170076" w14:textId="77777777" w:rsidR="007519C6" w:rsidRDefault="00000000">
      <w:pPr>
        <w:pStyle w:val="Heading2"/>
      </w:pPr>
      <w:r>
        <w:rPr>
          <w:color w:val="2E2E2E"/>
        </w:rPr>
        <w:t>A Workout, Start to Finish</w:t>
      </w:r>
    </w:p>
    <w:p w14:paraId="5F79A4BA" w14:textId="77777777" w:rsidR="007519C6" w:rsidRDefault="00000000">
      <w:pPr>
        <w:spacing w:after="60"/>
        <w:ind w:firstLine="360"/>
        <w:jc w:val="both"/>
      </w:pPr>
      <w:r>
        <w:rPr>
          <w:color w:val="1A1A1A"/>
        </w:rPr>
        <w:t>This all sits better attached to a situation, so here is a representative one, built from the pattern these things follow rather than from any single company. A direct lender holds the unitranche on a regional distributor of industrial components, a sponsor-backed business bought three years earlier at eleven times earnings, financed at five and a half times leverage, with the sponsor's equity a little under half the purchase price. At close it looked fine. Diversified customers, a defensible niche, steady if unexciting cash flow, a management team the sponsor had backed before. The loan priced at SOFR plus 575 with a one percent floor, two points up front, and a leverage covenant set at six and a quarter times, stepping down a quarter-turn a year. Nothing about it was aggressive for its vintage. That is rather the point.</w:t>
      </w:r>
    </w:p>
    <w:p w14:paraId="58B16922" w14:textId="77777777" w:rsidR="007519C6" w:rsidRDefault="00000000">
      <w:pPr>
        <w:spacing w:after="60"/>
        <w:ind w:firstLine="360"/>
        <w:jc w:val="both"/>
      </w:pPr>
      <w:r>
        <w:rPr>
          <w:color w:val="1A1A1A"/>
        </w:rPr>
        <w:t xml:space="preserve">The trouble came the way it usually does, slowly and then all at once. A big customer brought a product line in-house. Freight costs ran up faster than the company could pass them along. Two quarters of margin compression turned a </w:t>
      </w:r>
      <w:r>
        <w:rPr>
          <w:color w:val="1A1A1A"/>
        </w:rPr>
        <w:lastRenderedPageBreak/>
        <w:t>six-times credit into a six-and-three-quarters-times one, and the leverage covenant, tested at the end of the third quarter, tripped. Under a covenant-lite structure, none of this would have reached the lender yet. The first sign would have been a missed payment, quarters down the road, with the value already gone. Here the covenant did its job. The breach put the lender at the table while the business still made cash and still had options, which is the entire purpose of a maintenance covenant and the entire case for paying up to insist on one.</w:t>
      </w:r>
    </w:p>
    <w:p w14:paraId="291B16F8" w14:textId="77777777" w:rsidR="007519C6" w:rsidRDefault="00000000">
      <w:pPr>
        <w:spacing w:after="60"/>
        <w:ind w:firstLine="360"/>
        <w:jc w:val="both"/>
      </w:pPr>
      <w:r>
        <w:rPr>
          <w:color w:val="1A1A1A"/>
        </w:rPr>
        <w:t>What came next was a negotiation, not a lawsuit, because the structure made negotiating the rational move for everybody. The lender ordered an independent review of the business, set up a thirteen-week cash-flow monitor, and put limits on capex and distributions. The sponsor had real equity at risk and a reputation it needed intact for its next fund, and it did what good sponsors do under pressure. It put in fresh capital through an equity cure, enough to bring leverage back inside the covenant and pay for a cost-reduction program, in exchange for a one-turn loosening of the covenant for the next year and permission to defer a quarter of the cash interest to PIK while the savings kicked in. The lender got paid for its patience, with fifty basis points more spread, an amendment fee, and tighter covenants going forward. The borrower stayed out of bankruptcy. The loan stayed out of default. Eighteen months on, the cost program had worked, leverage was back under five and a half times, and the PIK had been repaid in cash.</w:t>
      </w:r>
    </w:p>
    <w:p w14:paraId="0F4CE4DD" w14:textId="77777777" w:rsidR="007519C6" w:rsidRDefault="00000000">
      <w:pPr>
        <w:spacing w:after="60"/>
        <w:ind w:firstLine="360"/>
        <w:jc w:val="both"/>
      </w:pPr>
      <w:r>
        <w:rPr>
          <w:color w:val="1A1A1A"/>
        </w:rPr>
        <w:t xml:space="preserve">It is worth being honest about the version where this goes the other way, because it is the same story with three variables flipped. Had the documents been covenant-lite, the lender would have heard about the trouble too late to shape it. Had the sponsor lacked the money or the will to step up, there is no cure, and the </w:t>
      </w:r>
      <w:r>
        <w:rPr>
          <w:color w:val="1A1A1A"/>
        </w:rPr>
        <w:lastRenderedPageBreak/>
        <w:t>lender is choosing between funding the company itself and marching toward foreclosure. And had the wider market been in stress, with companies failing all at once, the cost program might never have outrun a shrinking top line, and the recovery gets written not in a refinancing but in a fire sale into a buyer's market. The gap between ninety cents and forty is rarely one dramatic call. It is the accumulation. The covenant that tripped early, the sponsor who showed up, the documents that held, the cycle that did or did not cooperate. The workout is where the underwriting gets graded, and most of the grade is set before the trouble ever starts.</w:t>
      </w:r>
    </w:p>
    <w:p w14:paraId="13F4B1AD" w14:textId="77777777" w:rsidR="007519C6" w:rsidRDefault="00000000">
      <w:pPr>
        <w:pStyle w:val="Heading2"/>
      </w:pPr>
      <w:r>
        <w:rPr>
          <w:color w:val="2E2E2E"/>
        </w:rPr>
        <w:t>The Players</w:t>
      </w:r>
    </w:p>
    <w:p w14:paraId="2D5106F3" w14:textId="77777777" w:rsidR="007519C6" w:rsidRDefault="00000000">
      <w:pPr>
        <w:spacing w:after="60"/>
        <w:ind w:firstLine="360"/>
        <w:jc w:val="both"/>
      </w:pPr>
      <w:r>
        <w:rPr>
          <w:color w:val="1A1A1A"/>
        </w:rPr>
        <w:t>The market is led by a handful of big alternative managers that spent two decades building institutional-scale platforms. Ares is the largest direct lender, working off a multi-strategy platform and a national origination network. HPS built scale across corporate and specialty credit. Blackstone folded its credit and insurance arms into one of the deepest platforms going. Goldman Sachs Asset Management brought a global bank's reach to the strategy. Behind them sit Oaktree, whose distressed roots run into performing credit, along with Blue Owl, Apollo, KKR, and Carlyle, each running tens of billions. The clustering is not an accident. Origination reach, analytical depth, and workout capability all scale, and the top firms have used that to dig moats the latecomers struggle to cross. The flip side, which Part Four develops, is blunt. The gap between the best and worst managers can be wider than the entire risk premium of the asset class. That makes picking the manager the decision, not a footnote to it.</w:t>
      </w:r>
    </w:p>
    <w:p w14:paraId="18846E99" w14:textId="77777777" w:rsidR="007519C6" w:rsidRDefault="00000000">
      <w:pPr>
        <w:pStyle w:val="Heading2"/>
      </w:pPr>
      <w:r>
        <w:rPr>
          <w:color w:val="2E2E2E"/>
        </w:rPr>
        <w:t>Who Should Own It, and Who Should Not</w:t>
      </w:r>
    </w:p>
    <w:p w14:paraId="2B93A0A6" w14:textId="77777777" w:rsidR="007519C6" w:rsidRDefault="00000000">
      <w:pPr>
        <w:spacing w:after="60"/>
        <w:ind w:firstLine="360"/>
        <w:jc w:val="both"/>
      </w:pPr>
      <w:r>
        <w:rPr>
          <w:color w:val="1A1A1A"/>
        </w:rPr>
        <w:lastRenderedPageBreak/>
        <w:t>Direct lending fits the investor who can trade liquidity for yield, whose horizon matches a five to seven year fund, who wants current income and a floating rate, and who would rather have a steady contractual return than the daily drama of a marked market. It does not fit the investor who might need the money back, who cannot lock up capital for years, or who cannot sleep owning credit risk in below-investment-grade companies. The J-curve is gentler here than in private equity, but it is real. Capital goes out slowly, and the early returns drag until the portfolio is built. The asset class rewards patience and punishes anyone who needs an early exit. You should know which of those is you before you sign.</w:t>
      </w:r>
    </w:p>
    <w:p w14:paraId="5986DB91" w14:textId="77777777" w:rsidR="007519C6" w:rsidRDefault="00000000">
      <w:r>
        <w:br w:type="page"/>
      </w:r>
    </w:p>
    <w:p w14:paraId="25A22CA8" w14:textId="77777777" w:rsidR="007519C6" w:rsidRDefault="00000000">
      <w:pPr>
        <w:pStyle w:val="Heading1"/>
      </w:pPr>
      <w:r>
        <w:lastRenderedPageBreak/>
        <w:t>Chapter 8: Asset-Based Finance</w:t>
      </w:r>
    </w:p>
    <w:p w14:paraId="599800D9" w14:textId="77777777" w:rsidR="007519C6" w:rsidRDefault="00000000">
      <w:pPr>
        <w:spacing w:after="60"/>
        <w:jc w:val="both"/>
      </w:pPr>
      <w:r>
        <w:rPr>
          <w:color w:val="1A1A1A"/>
        </w:rPr>
        <w:t>Asset-based finance is built on a different question from the rest of corporate lending. The cash-flow lender asks what a company will earn. The asset-based lender asks what its collateral is worth if the loan goes wrong. That shift in the question changes everything downstream. The underwriting, the structure, the monitoring, and the shape of the recovery. The security is not the enterprise value of an operating company but a pool of financial or hard assets, receivables and equipment and consumer loans and royalty streams, that throws off cash on its own terms.</w:t>
      </w:r>
    </w:p>
    <w:p w14:paraId="37655A2D" w14:textId="77777777" w:rsidR="007519C6" w:rsidRDefault="00000000">
      <w:pPr>
        <w:spacing w:after="60"/>
        <w:ind w:firstLine="360"/>
        <w:jc w:val="both"/>
      </w:pPr>
      <w:r>
        <w:rPr>
          <w:color w:val="1A1A1A"/>
        </w:rPr>
        <w:t>It is also the fastest-growing frontier in the asset class, now roughly a sixth of private credit deployment and gaining. The addressable market is enormous, well over five trillion dollars by common estimates, and private lenders supply only a small fraction of it today, with the banks still dominant across most of the territory. As regulation and capital pressure push the banks out of one asset class after another, the private managers see room to grow. Institutional appetite has followed. Surveys put a majority of investors prioritizing asset-based strategies, and several large pension plans have made it half or more of their private credit allocation.</w:t>
      </w:r>
    </w:p>
    <w:p w14:paraId="464145EA" w14:textId="77777777" w:rsidR="007519C6" w:rsidRDefault="00000000">
      <w:pPr>
        <w:pStyle w:val="Heading2"/>
      </w:pPr>
      <w:r>
        <w:rPr>
          <w:color w:val="2E2E2E"/>
        </w:rPr>
        <w:t>How It Differs from Corporate Lending</w:t>
      </w:r>
    </w:p>
    <w:p w14:paraId="51240C7B" w14:textId="77777777" w:rsidR="007519C6" w:rsidRDefault="00000000">
      <w:pPr>
        <w:spacing w:after="60"/>
        <w:ind w:firstLine="360"/>
        <w:jc w:val="both"/>
      </w:pPr>
      <w:r>
        <w:rPr>
          <w:color w:val="1A1A1A"/>
        </w:rPr>
        <w:t xml:space="preserve">Four differences define the strategy. The first is the focus on the collateral itself. The underwriting is an analysis of asset performance, of default rates and prepayment speeds and recovery values, rather than of a borrower's earnings. The second is bankruptcy remoteness. The assets are typically sold into a special-purpose vehicle legally separated from the originator, so that if the originator </w:t>
      </w:r>
      <w:r>
        <w:rPr>
          <w:color w:val="1A1A1A"/>
        </w:rPr>
        <w:lastRenderedPageBreak/>
        <w:t>fails, the assets remain available to repay the lender, isolated from the originator's estate. The third is granular diversification. Where a corporate loan portfolio holds dozens of concentrated exposures, an asset-based pool may hold thousands or millions of small ones, so that individual defaults are statistically ordinary rather than catastrophic. The fourth is the self-liquidating nature of much of the collateral. Assets that amortize generate principal that steadily reduces the exposure, rather than the bullet maturity that defines a corporate term loan and leaves it hostage to the refinancing market.</w:t>
      </w:r>
    </w:p>
    <w:p w14:paraId="6EFFA8CA" w14:textId="77777777" w:rsidR="007519C6" w:rsidRDefault="00000000">
      <w:pPr>
        <w:spacing w:after="60"/>
        <w:ind w:firstLine="360"/>
        <w:jc w:val="both"/>
      </w:pPr>
      <w:r>
        <w:rPr>
          <w:color w:val="1A1A1A"/>
        </w:rPr>
        <w:t>There is a cost to all of this, and it is operational. Asset-based finance depends on servicing, on someone to collect the payments, manage the delinquencies, and execute the recoveries on pools too large to touch by hand. Where a corporate borrower runs its own business, the asset-based lender depends on a servicer, and servicer quality feeds directly into portfolio performance. The strategy rewards infrastructure, and it punishes the lender who underestimates how much of the return depends on the unglamorous machinery of collection.</w:t>
      </w:r>
    </w:p>
    <w:p w14:paraId="60FB52FA" w14:textId="77777777" w:rsidR="007519C6" w:rsidRDefault="00000000">
      <w:pPr>
        <w:pStyle w:val="Heading2"/>
      </w:pPr>
      <w:r>
        <w:rPr>
          <w:color w:val="2E2E2E"/>
        </w:rPr>
        <w:t>The Asset Classes</w:t>
      </w:r>
    </w:p>
    <w:p w14:paraId="24AB3BEE" w14:textId="77777777" w:rsidR="007519C6" w:rsidRDefault="00000000">
      <w:pPr>
        <w:spacing w:after="60"/>
        <w:ind w:firstLine="360"/>
        <w:jc w:val="both"/>
      </w:pPr>
      <w:r>
        <w:rPr>
          <w:color w:val="1A1A1A"/>
        </w:rPr>
        <w:t>Asset-based finance is less a single strategy than a federation of them, each with its own history, its own underwriting discipline, and its own recovery record.</w:t>
      </w:r>
    </w:p>
    <w:p w14:paraId="5826DDA5" w14:textId="77777777" w:rsidR="007519C6" w:rsidRDefault="00000000">
      <w:pPr>
        <w:pStyle w:val="Heading3"/>
      </w:pPr>
      <w:r>
        <w:rPr>
          <w:color w:val="2E2E2E"/>
        </w:rPr>
        <w:t>Consumer finance</w:t>
      </w:r>
    </w:p>
    <w:p w14:paraId="6611E805" w14:textId="77777777" w:rsidR="007519C6" w:rsidRDefault="00000000">
      <w:pPr>
        <w:spacing w:after="60"/>
        <w:ind w:firstLine="360"/>
        <w:jc w:val="both"/>
      </w:pPr>
      <w:r>
        <w:rPr>
          <w:color w:val="1A1A1A"/>
        </w:rPr>
        <w:t xml:space="preserve">The most established territory. Auto loans, the largest segment, range from prime paper with low losses and high recoveries to subprime with higher yields and higher charge-offs, both anchored by a tangible asset with an active resale market whose pricing drives recoveries. Unsecured personal installment loans, </w:t>
      </w:r>
      <w:r>
        <w:rPr>
          <w:color w:val="1A1A1A"/>
        </w:rPr>
        <w:lastRenderedPageBreak/>
        <w:t>grown large through the fintech platforms, vary widely by borrower quality and carry no collateral, so recovery depends on collection. Credit card receivables securitize through replenishing master trusts that pair high yields with moderate, cyclical losses. Private student loans offer wide spreads against long duration and limited discharge.</w:t>
      </w:r>
    </w:p>
    <w:p w14:paraId="57FEE2EE" w14:textId="77777777" w:rsidR="007519C6" w:rsidRDefault="00000000">
      <w:pPr>
        <w:pStyle w:val="Heading3"/>
      </w:pPr>
      <w:r>
        <w:rPr>
          <w:color w:val="2E2E2E"/>
        </w:rPr>
        <w:t>Commercial and equipment finance</w:t>
      </w:r>
    </w:p>
    <w:p w14:paraId="68549981" w14:textId="77777777" w:rsidR="007519C6" w:rsidRDefault="00000000">
      <w:pPr>
        <w:spacing w:after="60"/>
        <w:ind w:firstLine="360"/>
        <w:jc w:val="both"/>
      </w:pPr>
      <w:r>
        <w:rPr>
          <w:color w:val="1A1A1A"/>
        </w:rPr>
        <w:t>Equipment leases on everything from technology to industrial machinery, secured by assets whose residual value and redeployability drive the credit. Fleet and transportation finance against vehicles, aircraft, railcars, and containers, tangible and mobile assets with established secondary markets. Small-business lending secured by the equipment, receivables, and inventory of enterprises too heterogeneous for easy underwriting. And trade receivables, short-dated and self-liquidating, secured by amounts owed by corporate account debtors whose credit quality, often investment grade, supports the pool.</w:t>
      </w:r>
    </w:p>
    <w:p w14:paraId="1091C9ED" w14:textId="77777777" w:rsidR="007519C6" w:rsidRDefault="00000000">
      <w:pPr>
        <w:pStyle w:val="Heading3"/>
      </w:pPr>
      <w:r>
        <w:rPr>
          <w:color w:val="2E2E2E"/>
        </w:rPr>
        <w:t>Specialty and esoteric collateral</w:t>
      </w:r>
    </w:p>
    <w:p w14:paraId="43FC3754" w14:textId="77777777" w:rsidR="007519C6" w:rsidRDefault="00000000">
      <w:pPr>
        <w:spacing w:after="60"/>
        <w:ind w:firstLine="360"/>
        <w:jc w:val="both"/>
      </w:pPr>
      <w:r>
        <w:rPr>
          <w:color w:val="1A1A1A"/>
        </w:rPr>
        <w:t xml:space="preserve">The newest and most interesting corner, where the toolkit is applied to assets that do not move with the credit cycle at all. Litigation finance, non-recourse advances against expected legal settlements, offers high returns and genuine independence from the economy in exchange for binary outcomes and the need for real legal judgment. Music and media royalties, made more predictable by the streaming economy, throw off cash largely indifferent to the business cycle. Healthcare receivables lean on the credit of insurers and government payors. Insurance premium finance, secured by the unearned premium an insurer will refund on cancellation, is about as well-collateralized as lending gets. These </w:t>
      </w:r>
      <w:r>
        <w:rPr>
          <w:color w:val="1A1A1A"/>
        </w:rPr>
        <w:lastRenderedPageBreak/>
        <w:t>strategies offer real diversification and demand real specialization, which is precisely why they are difficult to enter and durable to occupy.</w:t>
      </w:r>
    </w:p>
    <w:p w14:paraId="3DE36E21" w14:textId="77777777" w:rsidR="007519C6" w:rsidRDefault="00000000">
      <w:pPr>
        <w:pStyle w:val="Heading2"/>
      </w:pPr>
      <w:r>
        <w:rPr>
          <w:color w:val="2E2E2E"/>
        </w:rPr>
        <w:t>Structures and Returns</w:t>
      </w:r>
    </w:p>
    <w:p w14:paraId="5904AEF2" w14:textId="77777777" w:rsidR="007519C6" w:rsidRDefault="00000000">
      <w:pPr>
        <w:spacing w:after="60"/>
        <w:ind w:firstLine="360"/>
        <w:jc w:val="both"/>
      </w:pPr>
      <w:r>
        <w:rPr>
          <w:color w:val="1A1A1A"/>
        </w:rPr>
        <w:t>The transactions take recognizable forms. Warehouse facilities are revolving lines that let an originator fund production before permanent financing or securitization, with a borrowing base that flexes against eligible collateral at advance rates of seventy to ninety percent. Term facilities, static or revolving, finance established pools. Forward-flow agreements commit a lender to buy assets meeting set criteria as they are originated, giving the originator certainty and the lender access to production. And private asset-backed securities, tranched and often rated, bring the structured-finance technology to private placements customized for a particular investor.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84"/>
        <w:gridCol w:w="1589"/>
        <w:gridCol w:w="1645"/>
        <w:gridCol w:w="2780"/>
      </w:tblGrid>
      <w:tr w:rsidR="007519C6" w14:paraId="128939DA" w14:textId="77777777">
        <w:tblPrEx>
          <w:tblCellMar>
            <w:top w:w="0" w:type="dxa"/>
            <w:bottom w:w="0" w:type="dxa"/>
          </w:tblCellMar>
        </w:tblPrEx>
        <w:trPr>
          <w:tblHeader/>
        </w:trPr>
        <w:tc>
          <w:tcPr>
            <w:tcW w:w="23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23B85448" w14:textId="77777777" w:rsidR="007519C6" w:rsidRDefault="00000000">
            <w:r>
              <w:rPr>
                <w:b/>
                <w:bCs/>
                <w:color w:val="FFFFFF"/>
                <w:sz w:val="20"/>
                <w:szCs w:val="20"/>
              </w:rPr>
              <w:t>Asset Type</w:t>
            </w:r>
          </w:p>
        </w:tc>
        <w:tc>
          <w:tcPr>
            <w:tcW w:w="18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718603E1" w14:textId="77777777" w:rsidR="007519C6" w:rsidRDefault="00000000">
            <w:r>
              <w:rPr>
                <w:b/>
                <w:bCs/>
                <w:color w:val="FFFFFF"/>
                <w:sz w:val="20"/>
                <w:szCs w:val="20"/>
              </w:rPr>
              <w:t>Typical Yield</w:t>
            </w:r>
          </w:p>
        </w:tc>
        <w:tc>
          <w:tcPr>
            <w:tcW w:w="18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3D4FB1A5" w14:textId="77777777" w:rsidR="007519C6" w:rsidRDefault="00000000">
            <w:r>
              <w:rPr>
                <w:b/>
                <w:bCs/>
                <w:color w:val="FFFFFF"/>
                <w:sz w:val="20"/>
                <w:szCs w:val="20"/>
              </w:rPr>
              <w:t>Expected Loss</w:t>
            </w:r>
          </w:p>
        </w:tc>
        <w:tc>
          <w:tcPr>
            <w:tcW w:w="33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355ED7CA" w14:textId="77777777" w:rsidR="007519C6" w:rsidRDefault="00000000">
            <w:r>
              <w:rPr>
                <w:b/>
                <w:bCs/>
                <w:color w:val="FFFFFF"/>
                <w:sz w:val="20"/>
                <w:szCs w:val="20"/>
              </w:rPr>
              <w:t>Character</w:t>
            </w:r>
          </w:p>
        </w:tc>
      </w:tr>
      <w:tr w:rsidR="007519C6" w14:paraId="6EE7693E" w14:textId="77777777">
        <w:tblPrEx>
          <w:tblCellMar>
            <w:top w:w="0" w:type="dxa"/>
            <w:bottom w:w="0" w:type="dxa"/>
          </w:tblCellMar>
        </w:tblPrEx>
        <w:tc>
          <w:tcPr>
            <w:tcW w:w="2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57D0F07" w14:textId="77777777" w:rsidR="007519C6" w:rsidRDefault="00000000">
            <w:r>
              <w:rPr>
                <w:b/>
                <w:bCs/>
                <w:color w:val="1A1A1A"/>
                <w:sz w:val="20"/>
                <w:szCs w:val="20"/>
              </w:rPr>
              <w:t>Prime auto</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9B6472D" w14:textId="77777777" w:rsidR="007519C6" w:rsidRDefault="00000000">
            <w:r>
              <w:rPr>
                <w:color w:val="1A1A1A"/>
                <w:sz w:val="20"/>
                <w:szCs w:val="20"/>
              </w:rPr>
              <w:t>6-8%</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0D555B4" w14:textId="77777777" w:rsidR="007519C6" w:rsidRDefault="00000000">
            <w:r>
              <w:rPr>
                <w:color w:val="1A1A1A"/>
                <w:sz w:val="20"/>
                <w:szCs w:val="20"/>
              </w:rPr>
              <w:t>0.5-1.5%</w:t>
            </w:r>
          </w:p>
        </w:tc>
        <w:tc>
          <w:tcPr>
            <w:tcW w:w="33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3459164" w14:textId="77777777" w:rsidR="007519C6" w:rsidRDefault="00000000">
            <w:r>
              <w:rPr>
                <w:color w:val="1A1A1A"/>
                <w:sz w:val="20"/>
                <w:szCs w:val="20"/>
              </w:rPr>
              <w:t>Stable, liquid, thin margin</w:t>
            </w:r>
          </w:p>
        </w:tc>
      </w:tr>
      <w:tr w:rsidR="007519C6" w14:paraId="011EE311" w14:textId="77777777">
        <w:tblPrEx>
          <w:tblCellMar>
            <w:top w:w="0" w:type="dxa"/>
            <w:bottom w:w="0" w:type="dxa"/>
          </w:tblCellMar>
        </w:tblPrEx>
        <w:tc>
          <w:tcPr>
            <w:tcW w:w="2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EBD528B" w14:textId="77777777" w:rsidR="007519C6" w:rsidRDefault="00000000">
            <w:r>
              <w:rPr>
                <w:b/>
                <w:bCs/>
                <w:color w:val="1A1A1A"/>
                <w:sz w:val="20"/>
                <w:szCs w:val="20"/>
              </w:rPr>
              <w:t>Subprime auto</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01466A8" w14:textId="77777777" w:rsidR="007519C6" w:rsidRDefault="00000000">
            <w:r>
              <w:rPr>
                <w:color w:val="1A1A1A"/>
                <w:sz w:val="20"/>
                <w:szCs w:val="20"/>
              </w:rPr>
              <w:t>12-16%</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9B2EB70" w14:textId="77777777" w:rsidR="007519C6" w:rsidRDefault="00000000">
            <w:r>
              <w:rPr>
                <w:color w:val="1A1A1A"/>
                <w:sz w:val="20"/>
                <w:szCs w:val="20"/>
              </w:rPr>
              <w:t>5-10%</w:t>
            </w:r>
          </w:p>
        </w:tc>
        <w:tc>
          <w:tcPr>
            <w:tcW w:w="33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FFEE834" w14:textId="77777777" w:rsidR="007519C6" w:rsidRDefault="00000000">
            <w:r>
              <w:rPr>
                <w:color w:val="1A1A1A"/>
                <w:sz w:val="20"/>
                <w:szCs w:val="20"/>
              </w:rPr>
              <w:t>Higher yield, recession-sensitive</w:t>
            </w:r>
          </w:p>
        </w:tc>
      </w:tr>
      <w:tr w:rsidR="007519C6" w14:paraId="22A2A959" w14:textId="77777777">
        <w:tblPrEx>
          <w:tblCellMar>
            <w:top w:w="0" w:type="dxa"/>
            <w:bottom w:w="0" w:type="dxa"/>
          </w:tblCellMar>
        </w:tblPrEx>
        <w:tc>
          <w:tcPr>
            <w:tcW w:w="2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8F9C44B" w14:textId="77777777" w:rsidR="007519C6" w:rsidRDefault="00000000">
            <w:r>
              <w:rPr>
                <w:b/>
                <w:bCs/>
                <w:color w:val="1A1A1A"/>
                <w:sz w:val="20"/>
                <w:szCs w:val="20"/>
              </w:rPr>
              <w:t>Consumer installment</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0EC1ECE" w14:textId="77777777" w:rsidR="007519C6" w:rsidRDefault="00000000">
            <w:r>
              <w:rPr>
                <w:color w:val="1A1A1A"/>
                <w:sz w:val="20"/>
                <w:szCs w:val="20"/>
              </w:rPr>
              <w:t>10-18%</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D669499" w14:textId="77777777" w:rsidR="007519C6" w:rsidRDefault="00000000">
            <w:r>
              <w:rPr>
                <w:color w:val="1A1A1A"/>
                <w:sz w:val="20"/>
                <w:szCs w:val="20"/>
              </w:rPr>
              <w:t>3-8%</w:t>
            </w:r>
          </w:p>
        </w:tc>
        <w:tc>
          <w:tcPr>
            <w:tcW w:w="33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35F85F4" w14:textId="77777777" w:rsidR="007519C6" w:rsidRDefault="00000000">
            <w:r>
              <w:rPr>
                <w:color w:val="1A1A1A"/>
                <w:sz w:val="20"/>
                <w:szCs w:val="20"/>
              </w:rPr>
              <w:t>Platform- and regulation-dependent</w:t>
            </w:r>
          </w:p>
        </w:tc>
      </w:tr>
      <w:tr w:rsidR="007519C6" w14:paraId="27A09A85" w14:textId="77777777">
        <w:tblPrEx>
          <w:tblCellMar>
            <w:top w:w="0" w:type="dxa"/>
            <w:bottom w:w="0" w:type="dxa"/>
          </w:tblCellMar>
        </w:tblPrEx>
        <w:tc>
          <w:tcPr>
            <w:tcW w:w="2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5478EA7" w14:textId="77777777" w:rsidR="007519C6" w:rsidRDefault="00000000">
            <w:r>
              <w:rPr>
                <w:b/>
                <w:bCs/>
                <w:color w:val="1A1A1A"/>
                <w:sz w:val="20"/>
                <w:szCs w:val="20"/>
              </w:rPr>
              <w:t>Equipment finance</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53875E9" w14:textId="77777777" w:rsidR="007519C6" w:rsidRDefault="00000000">
            <w:r>
              <w:rPr>
                <w:color w:val="1A1A1A"/>
                <w:sz w:val="20"/>
                <w:szCs w:val="20"/>
              </w:rPr>
              <w:t>8-12%</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2102BEF" w14:textId="77777777" w:rsidR="007519C6" w:rsidRDefault="00000000">
            <w:r>
              <w:rPr>
                <w:color w:val="1A1A1A"/>
                <w:sz w:val="20"/>
                <w:szCs w:val="20"/>
              </w:rPr>
              <w:t>1-3%</w:t>
            </w:r>
          </w:p>
        </w:tc>
        <w:tc>
          <w:tcPr>
            <w:tcW w:w="33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17243D1" w14:textId="77777777" w:rsidR="007519C6" w:rsidRDefault="00000000">
            <w:r>
              <w:rPr>
                <w:color w:val="1A1A1A"/>
                <w:sz w:val="20"/>
                <w:szCs w:val="20"/>
              </w:rPr>
              <w:t>Tangible collateral, sector-specific</w:t>
            </w:r>
          </w:p>
        </w:tc>
      </w:tr>
      <w:tr w:rsidR="007519C6" w14:paraId="38D5CDCD" w14:textId="77777777">
        <w:tblPrEx>
          <w:tblCellMar>
            <w:top w:w="0" w:type="dxa"/>
            <w:bottom w:w="0" w:type="dxa"/>
          </w:tblCellMar>
        </w:tblPrEx>
        <w:tc>
          <w:tcPr>
            <w:tcW w:w="2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754A1E1" w14:textId="77777777" w:rsidR="007519C6" w:rsidRDefault="00000000">
            <w:r>
              <w:rPr>
                <w:b/>
                <w:bCs/>
                <w:color w:val="1A1A1A"/>
                <w:sz w:val="20"/>
                <w:szCs w:val="20"/>
              </w:rPr>
              <w:t>Trade receivables</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4D30C1A" w14:textId="77777777" w:rsidR="007519C6" w:rsidRDefault="00000000">
            <w:r>
              <w:rPr>
                <w:color w:val="1A1A1A"/>
                <w:sz w:val="20"/>
                <w:szCs w:val="20"/>
              </w:rPr>
              <w:t>5-8%</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F8439B5" w14:textId="77777777" w:rsidR="007519C6" w:rsidRDefault="00000000">
            <w:r>
              <w:rPr>
                <w:color w:val="1A1A1A"/>
                <w:sz w:val="20"/>
                <w:szCs w:val="20"/>
              </w:rPr>
              <w:t>&lt;0.5%</w:t>
            </w:r>
          </w:p>
        </w:tc>
        <w:tc>
          <w:tcPr>
            <w:tcW w:w="33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EA69CAF" w14:textId="77777777" w:rsidR="007519C6" w:rsidRDefault="00000000">
            <w:r>
              <w:rPr>
                <w:color w:val="1A1A1A"/>
                <w:sz w:val="20"/>
                <w:szCs w:val="20"/>
              </w:rPr>
              <w:t>Investment-grade obligors, short-dated</w:t>
            </w:r>
          </w:p>
        </w:tc>
      </w:tr>
      <w:tr w:rsidR="007519C6" w14:paraId="32D49A11" w14:textId="77777777">
        <w:tblPrEx>
          <w:tblCellMar>
            <w:top w:w="0" w:type="dxa"/>
            <w:bottom w:w="0" w:type="dxa"/>
          </w:tblCellMar>
        </w:tblPrEx>
        <w:tc>
          <w:tcPr>
            <w:tcW w:w="2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D44FE58" w14:textId="77777777" w:rsidR="007519C6" w:rsidRDefault="00000000">
            <w:r>
              <w:rPr>
                <w:b/>
                <w:bCs/>
                <w:color w:val="1A1A1A"/>
                <w:sz w:val="20"/>
                <w:szCs w:val="20"/>
              </w:rPr>
              <w:lastRenderedPageBreak/>
              <w:t>Litigation finance</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ADE841B" w14:textId="77777777" w:rsidR="007519C6" w:rsidRDefault="00000000">
            <w:r>
              <w:rPr>
                <w:color w:val="1A1A1A"/>
                <w:sz w:val="20"/>
                <w:szCs w:val="20"/>
              </w:rPr>
              <w:t>18-25%</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57EEFAE" w14:textId="77777777" w:rsidR="007519C6" w:rsidRDefault="00000000">
            <w:r>
              <w:rPr>
                <w:color w:val="1A1A1A"/>
                <w:sz w:val="20"/>
                <w:szCs w:val="20"/>
              </w:rPr>
              <w:t>Variable</w:t>
            </w:r>
          </w:p>
        </w:tc>
        <w:tc>
          <w:tcPr>
            <w:tcW w:w="33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1BDA0F5" w14:textId="77777777" w:rsidR="007519C6" w:rsidRDefault="00000000">
            <w:r>
              <w:rPr>
                <w:color w:val="1A1A1A"/>
                <w:sz w:val="20"/>
                <w:szCs w:val="20"/>
              </w:rPr>
              <w:t>Uncorrelated, binary outcomes</w:t>
            </w:r>
          </w:p>
        </w:tc>
      </w:tr>
      <w:tr w:rsidR="007519C6" w14:paraId="2F82D97E" w14:textId="77777777">
        <w:tblPrEx>
          <w:tblCellMar>
            <w:top w:w="0" w:type="dxa"/>
            <w:bottom w:w="0" w:type="dxa"/>
          </w:tblCellMar>
        </w:tblPrEx>
        <w:tc>
          <w:tcPr>
            <w:tcW w:w="2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1274775" w14:textId="77777777" w:rsidR="007519C6" w:rsidRDefault="00000000">
            <w:r>
              <w:rPr>
                <w:b/>
                <w:bCs/>
                <w:color w:val="1A1A1A"/>
                <w:sz w:val="20"/>
                <w:szCs w:val="20"/>
              </w:rPr>
              <w:t>Music royalties</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AED1FB4" w14:textId="77777777" w:rsidR="007519C6" w:rsidRDefault="00000000">
            <w:r>
              <w:rPr>
                <w:color w:val="1A1A1A"/>
                <w:sz w:val="20"/>
                <w:szCs w:val="20"/>
              </w:rPr>
              <w:t>8-12%</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5E6322D" w14:textId="77777777" w:rsidR="007519C6" w:rsidRDefault="00000000">
            <w:r>
              <w:rPr>
                <w:color w:val="1A1A1A"/>
                <w:sz w:val="20"/>
                <w:szCs w:val="20"/>
              </w:rPr>
              <w:t>Low</w:t>
            </w:r>
          </w:p>
        </w:tc>
        <w:tc>
          <w:tcPr>
            <w:tcW w:w="33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B1FD6DF" w14:textId="77777777" w:rsidR="007519C6" w:rsidRDefault="00000000">
            <w:r>
              <w:rPr>
                <w:color w:val="1A1A1A"/>
                <w:sz w:val="20"/>
                <w:szCs w:val="20"/>
              </w:rPr>
              <w:t>Streaming-stable, catalog-dependent</w:t>
            </w:r>
          </w:p>
        </w:tc>
      </w:tr>
    </w:tbl>
    <w:p w14:paraId="49DE7E41" w14:textId="77777777" w:rsidR="007519C6" w:rsidRDefault="00000000">
      <w:pPr>
        <w:spacing w:before="80" w:after="200"/>
      </w:pPr>
      <w:r>
        <w:rPr>
          <w:i/>
          <w:iCs/>
          <w:color w:val="5A5A5A"/>
          <w:sz w:val="18"/>
          <w:szCs w:val="18"/>
        </w:rPr>
        <w:t>Figure 5.1  Indicative yields and loss rates across asset-based strategies. The range is wide because the strategy is a federation of distinct markets rather than one.</w:t>
      </w:r>
    </w:p>
    <w:p w14:paraId="779E6864" w14:textId="77777777" w:rsidR="007519C6" w:rsidRDefault="00000000">
      <w:pPr>
        <w:spacing w:after="60"/>
        <w:ind w:firstLine="360"/>
        <w:jc w:val="both"/>
      </w:pPr>
      <w:r>
        <w:rPr>
          <w:color w:val="1A1A1A"/>
        </w:rPr>
        <w:t>Leverage shapes the return. A warehouse advancing eighty percent against a pool magnifies the spread the equity captures, and magnifies the loss in the same proportion. The complexity premium does real work too. The specialized knowledge required to underwrite an esoteric pool keeps the generalist out and supports the pricing for the lender who has built the expertise. The return, in the end, is the asset yield plus the leverage, less the credit losses and the funding cost, and the discipline is in not letting the leverage and the yield distract from the losses, which is where this strategy, like every other, ultimately lives or dies.</w:t>
      </w:r>
    </w:p>
    <w:p w14:paraId="1317A9EF" w14:textId="77777777" w:rsidR="007519C6" w:rsidRDefault="00000000">
      <w:pPr>
        <w:pStyle w:val="Heading2"/>
      </w:pPr>
      <w:r>
        <w:rPr>
          <w:color w:val="2E2E2E"/>
        </w:rPr>
        <w:t>The Risks</w:t>
      </w:r>
    </w:p>
    <w:p w14:paraId="0DDEF4FE" w14:textId="77777777" w:rsidR="007519C6" w:rsidRDefault="00000000">
      <w:pPr>
        <w:spacing w:after="60"/>
        <w:ind w:firstLine="360"/>
        <w:jc w:val="both"/>
      </w:pPr>
      <w:r>
        <w:rPr>
          <w:color w:val="1A1A1A"/>
        </w:rPr>
        <w:t xml:space="preserve">The risks are specific to the form. Asset performance can deviate from the historical pattern, especially in collateral types too new to have a long record through stress. Originator and servicer health feeds directly into the pool, since weak underwriting degrades quality and weak collection degrades recovery. Structural and legal risk turns on the true-sale opinion, the bankruptcy remoteness, and the perfection of the security interest, where a documentation defect can subordinate the lender. Concentration hides inside apparent </w:t>
      </w:r>
      <w:r>
        <w:rPr>
          <w:color w:val="1A1A1A"/>
        </w:rPr>
        <w:lastRenderedPageBreak/>
        <w:t>diversification, because a pool of a million auto loans is still a single concentrated bet on the auto consumer. Regulation can rewrite the economics overnight in consumer-facing assets. And fraud is a live risk wherever the pool is opaque, which is why verification, audit, and diligence on the integrity of the originator are not optional. The strategy is collateral-first, and so is its list of ways to lose money.</w:t>
      </w:r>
    </w:p>
    <w:p w14:paraId="3D696C78" w14:textId="77777777" w:rsidR="007519C6" w:rsidRDefault="00000000">
      <w:pPr>
        <w:pStyle w:val="Heading2"/>
      </w:pPr>
      <w:r>
        <w:rPr>
          <w:color w:val="2E2E2E"/>
        </w:rPr>
        <w:t>A Facility, in Miniature</w:t>
      </w:r>
    </w:p>
    <w:p w14:paraId="10731A47" w14:textId="77777777" w:rsidR="007519C6" w:rsidRDefault="00000000">
      <w:pPr>
        <w:spacing w:after="60"/>
        <w:ind w:firstLine="360"/>
        <w:jc w:val="both"/>
      </w:pPr>
      <w:r>
        <w:rPr>
          <w:color w:val="1A1A1A"/>
        </w:rPr>
        <w:t>The abstraction becomes concrete with a single structure. Picture a consumer lender, a fintech that originates unsecured installment loans to prime and near-prime borrowers, that has proven its underwriting but cannot fund its growth from its own balance sheet. A private credit manager extends a warehouse facility, a revolving line, say two hundred million dollars, against which the lender can borrow as it originates. The mechanics are where the protection lives. The facility advances, perhaps, eighty-five cents against each dollar of eligible loans, which means the originator must fund the remaining fifteen cents itself, a first-loss equity layer that absorbs losses before the lender is touched. Eligibility criteria define what counts toward the borrowing base. Minimum credit scores, maximum loan sizes, geographic and concentration limits, performance triggers. Loans that breach the criteria, that go delinquent or exceed a concentration cap, simply fall out of the base, reducing the amount the originator can borrow and forcing it to post more equity or pay down the line.</w:t>
      </w:r>
    </w:p>
    <w:p w14:paraId="2AC3D1BD" w14:textId="77777777" w:rsidR="007519C6" w:rsidRDefault="00000000">
      <w:pPr>
        <w:spacing w:after="60"/>
        <w:ind w:firstLine="360"/>
        <w:jc w:val="both"/>
      </w:pPr>
      <w:r>
        <w:rPr>
          <w:color w:val="1A1A1A"/>
        </w:rPr>
        <w:t xml:space="preserve">The lender monitors the pool continuously, receiving detailed reporting on delinquencies, charge-offs, and prepayments, and the facility carries covenants, minimum excess spread, maximum cumulative losses, a minimum net worth at </w:t>
      </w:r>
      <w:r>
        <w:rPr>
          <w:color w:val="1A1A1A"/>
        </w:rPr>
        <w:lastRenderedPageBreak/>
        <w:t>the originator, that trigger the lender's rights if performance deteriorates. If losses breach a trigger, the facility can stop advancing, trap cash, or in the extreme require the originator to repurchase loans or hand over servicing. The structure is engineered so that the lender, holding a senior claim against a granular, diversified, overcollateralized pool, with a first-loss equity layer beneath it and performance triggers around it, can be made whole even if the originator fails entirely, because the assets sit in a bankruptcy-remote vehicle beyond the originator's estate. That layering, advance rate, eligibility, excess spread, performance triggers, and bankruptcy remoteness, is what allows a lender to advance against a pool of unsecured consumer loans and still sleep at night. It is also what the generalist underestimates, which is why the strategy rewards the specialist who has seen a pool through a downturn and knows which triggers actually bind.</w:t>
      </w:r>
    </w:p>
    <w:p w14:paraId="3551FF20" w14:textId="77777777" w:rsidR="007519C6" w:rsidRDefault="00000000">
      <w:pPr>
        <w:pStyle w:val="Heading2"/>
      </w:pPr>
      <w:r>
        <w:rPr>
          <w:color w:val="2E2E2E"/>
        </w:rPr>
        <w:t>Who Should Own It</w:t>
      </w:r>
    </w:p>
    <w:p w14:paraId="25B542B2" w14:textId="77777777" w:rsidR="007519C6" w:rsidRDefault="00000000">
      <w:pPr>
        <w:spacing w:after="60"/>
        <w:ind w:firstLine="360"/>
        <w:jc w:val="both"/>
      </w:pPr>
      <w:r>
        <w:rPr>
          <w:color w:val="1A1A1A"/>
        </w:rPr>
        <w:t xml:space="preserve">Asset-based finance suits the investor seeking a different return profile from corporate direct lending. Lower yields in many segments, but higher recoveries, shorter duration, and a self-liquidating structure that returns capital steadily rather than in a bullet at maturity. The granular diversification produces more predictable losses than a concentrated corporate book, and the genuine independence of some segments, litigation finance and royalties above all, from the credit cycle offers real portfolio diversification that direct lending cannot. For the insurer matching long-dated liabilities, the investment-grade end of asset-based finance is close to ideal, which is why insurance capital has flowed into it so heavily. The cost of entry is the operational and analytical specialization the </w:t>
      </w:r>
      <w:r>
        <w:rPr>
          <w:color w:val="1A1A1A"/>
        </w:rPr>
        <w:lastRenderedPageBreak/>
        <w:t>strategy demands. The investor who can underwrite a consumer-loan pool, a royalty stream, and an equipment book is rare, and the manager who can do all three has built something difficult to replicate, which is precisely the source of the durable premium in the strategy. The investor who cannot should access it through a specialist rather than reaching for the yield without the capability to judge the risk beneath it.</w:t>
      </w:r>
    </w:p>
    <w:p w14:paraId="35CC78DD" w14:textId="77777777" w:rsidR="007519C6" w:rsidRDefault="00000000">
      <w:pPr>
        <w:pStyle w:val="Heading2"/>
      </w:pPr>
      <w:r>
        <w:rPr>
          <w:color w:val="2E2E2E"/>
        </w:rPr>
        <w:t>The Players and the Direction</w:t>
      </w:r>
    </w:p>
    <w:p w14:paraId="004573BB" w14:textId="77777777" w:rsidR="007519C6" w:rsidRDefault="00000000">
      <w:pPr>
        <w:spacing w:after="60"/>
        <w:ind w:firstLine="360"/>
        <w:jc w:val="both"/>
      </w:pPr>
      <w:r>
        <w:rPr>
          <w:color w:val="1A1A1A"/>
        </w:rPr>
        <w:t>The insurance-linked managers have made this their territory. Apollo, deploying insurance capital from Athene, has put asset-based finance at the center of its strategy, hunting investment-grade exposure that matches long-dated liabilities. KKR has built capability to deploy its own insurance capital, and Blackstone pursues the strategy across its credit and opportunistic businesses. Specialists such as Victory Park, Waterfall, and others occupy narrower niches with deep expertise. The direction of travel is clear. Banks moving assets to non-bank capital through forward flows and portfolio sales, insurers reaching for collateral that matches their liabilities, rated private structures opening the strategy to regulated buyers, and private capital pressing steadily into territory the banks once held alone. It is, increasingly, where the growth of the asset class is actually happening.</w:t>
      </w:r>
    </w:p>
    <w:p w14:paraId="03757E51" w14:textId="77777777" w:rsidR="007519C6" w:rsidRDefault="00000000">
      <w:r>
        <w:br w:type="page"/>
      </w:r>
    </w:p>
    <w:p w14:paraId="4D7B9170" w14:textId="77777777" w:rsidR="007519C6" w:rsidRDefault="00000000">
      <w:pPr>
        <w:pStyle w:val="Heading1"/>
      </w:pPr>
      <w:r>
        <w:lastRenderedPageBreak/>
        <w:t>Chapter 9: Real Estate Debt</w:t>
      </w:r>
    </w:p>
    <w:p w14:paraId="18875DC0" w14:textId="77777777" w:rsidR="007519C6" w:rsidRDefault="00000000">
      <w:pPr>
        <w:spacing w:after="60"/>
        <w:jc w:val="both"/>
      </w:pPr>
      <w:r>
        <w:rPr>
          <w:color w:val="1A1A1A"/>
        </w:rPr>
        <w:t>Real estate debt is conceptually a cousin of corporate direct lending, but it underwrites a different thing and behaves under its own rules. The security is property, income-producing or soon to be, and the analysis runs through occupancy, leases, and the value of an asset that sits in a specific market rather than through the cash flows of an operating business. The strategy spans a wide arc, from senior mortgages on stabilized buildings that behave almost like investment-grade credit to high-yield bridge loans on transitional assets that behave like something far riskier.</w:t>
      </w:r>
    </w:p>
    <w:p w14:paraId="1C245D34" w14:textId="77777777" w:rsidR="007519C6" w:rsidRDefault="00000000">
      <w:pPr>
        <w:spacing w:after="60"/>
        <w:ind w:firstLine="360"/>
        <w:jc w:val="both"/>
      </w:pPr>
      <w:r>
        <w:rPr>
          <w:color w:val="1A1A1A"/>
        </w:rPr>
        <w:t>It has grown for a familiar reason. The banks retreated from commercial real estate after the crisis, and again, more sharply, after the regional-bank stress of 2023, as regulatory scrutiny of real estate concentrations and higher capital requirements thinned their appetite. The gap, as always, drew non-bank capital with a different tolerance for risk and a different need for return.</w:t>
      </w:r>
    </w:p>
    <w:p w14:paraId="3A184E2F" w14:textId="77777777" w:rsidR="007519C6" w:rsidRDefault="00000000">
      <w:pPr>
        <w:pStyle w:val="Heading2"/>
      </w:pPr>
      <w:r>
        <w:rPr>
          <w:color w:val="2E2E2E"/>
        </w:rPr>
        <w:t>The Segments</w:t>
      </w:r>
    </w:p>
    <w:p w14:paraId="517C470D" w14:textId="77777777" w:rsidR="007519C6" w:rsidRDefault="00000000">
      <w:pPr>
        <w:spacing w:after="60"/>
        <w:ind w:firstLine="360"/>
        <w:jc w:val="both"/>
      </w:pPr>
      <w:r>
        <w:rPr>
          <w:color w:val="1A1A1A"/>
        </w:rPr>
        <w:t xml:space="preserve">Senior mortgages on stabilized assets are the conservative end. First loans on income-producing buildings with stable occupancy, loan-to-value ratios of fifty to sixty-five percent, coverage above 1.25 times, and yields not far above investment-grade credit. Bridge and transitional loans finance acquisition, renovation, repositioning, or lease-up, running one to three years at loan-to-value ratios of sixty-five to eighty percent and floating spreads of three hundred to six hundred basis points, with meaningful sponsor equity beneath them and senior returns of eight to twelve percent. Construction lending funds ground-up development, carrying real execution risk in cost, timing, and lease-up, and is </w:t>
      </w:r>
      <w:r>
        <w:rPr>
          <w:color w:val="1A1A1A"/>
        </w:rPr>
        <w:lastRenderedPageBreak/>
        <w:t>structured with holdbacks, completion guarantees, and interest reserves to manage it. Mezzanine and preferred equity sit behind the senior mortgage, earning eight hundred to fifteen hundred basis points for absorbing the loss first, and demanding a careful read of the equity cushion beneath them.</w:t>
      </w:r>
    </w:p>
    <w:p w14:paraId="27BE9FBB" w14:textId="77777777" w:rsidR="007519C6" w:rsidRDefault="00000000">
      <w:pPr>
        <w:pStyle w:val="Heading2"/>
      </w:pPr>
      <w:r>
        <w:rPr>
          <w:color w:val="2E2E2E"/>
        </w:rPr>
        <w:t>Underwriting and the Lesson of the Cycle</w:t>
      </w:r>
    </w:p>
    <w:p w14:paraId="570292E3" w14:textId="77777777" w:rsidR="007519C6" w:rsidRDefault="00000000">
      <w:pPr>
        <w:spacing w:after="60"/>
        <w:ind w:firstLine="360"/>
        <w:jc w:val="both"/>
      </w:pPr>
      <w:r>
        <w:rPr>
          <w:color w:val="1A1A1A"/>
        </w:rPr>
        <w:t>The underwriting runs through property quality and location, where a well-located asset holds value that a commodity building in an oversupplied market does not. Through the cash flow, the in-place rents against market, the rollover schedule, and the credit of the tenants. Through the sponsor's experience and capacity, and through the supply-and-demand balance of the local market, including the construction pipeline that will compete with the asset tomorrow.</w:t>
      </w:r>
    </w:p>
    <w:p w14:paraId="18C9F305" w14:textId="77777777" w:rsidR="007519C6" w:rsidRDefault="00000000">
      <w:pPr>
        <w:spacing w:after="60"/>
        <w:ind w:firstLine="360"/>
        <w:jc w:val="both"/>
      </w:pPr>
      <w:r>
        <w:rPr>
          <w:color w:val="1A1A1A"/>
        </w:rPr>
        <w:t>The recent cycle delivered a hard lesson about sector, and it is worth stating plainly because it is the kind of lesson the market relearns every generation. Performance diverged enormously by property type. Multifamily proved resilient, supported by a structural housing shortage. Industrial was the standout, carried by e-commerce and the reordering of supply chains. Office faced a structural, not merely cyclical, challenge from remote work, with urban assets taking real vacancy and real value declines, and lending there has narrowed to trophy buildings in prime locations. Retail split sharply by quality, the best centers holding while commodity retail absorbed the secular pressure of e-commerce. Hospitality, hammered in the pandemic, recovered strongly but remains the most volatile of the major types. The category called real estate debt contains within it markets moving in opposite directions at the same moment, and the lender who treats it as one thing will be wrong about most of it.</w:t>
      </w:r>
    </w:p>
    <w:p w14:paraId="167CD784" w14:textId="77777777" w:rsidR="007519C6" w:rsidRDefault="00000000">
      <w:pPr>
        <w:pStyle w:val="Heading2"/>
      </w:pPr>
      <w:r>
        <w:rPr>
          <w:color w:val="2E2E2E"/>
        </w:rPr>
        <w:lastRenderedPageBreak/>
        <w:t>The Metrics That Govern</w:t>
      </w:r>
    </w:p>
    <w:p w14:paraId="4E64AE7B" w14:textId="77777777" w:rsidR="007519C6" w:rsidRDefault="00000000">
      <w:pPr>
        <w:spacing w:after="60"/>
        <w:ind w:firstLine="360"/>
        <w:jc w:val="both"/>
      </w:pPr>
      <w:r>
        <w:rPr>
          <w:color w:val="1A1A1A"/>
        </w:rPr>
        <w:t>Real estate lending runs on three numbers, and understanding them is most of understanding the strategy. The first is loan-to-value, the loan amount against the appraised value of the property, which sets the equity cushion beneath the lender. A sixty-percent loan-to-value means the property can lose forty percent of its value before the lender is impaired. The second is the debt-service coverage ratio, the property's net operating income against the debt service it must pay, which measures whether the building's cash flow actually covers the loan. A coverage of 1.25 means the income exceeds the payment by a quarter, a cushion that thins dangerously as it approaches one. The third, and the one the recent cycle elevated, is the debt yield, the net operating income against the loan amount, a measure that strips out the distortions of low interest rates and high valuations to ask a simpler question. What return would the lender earn if it owned the building outright at its loan basis? A low debt yield warns that a loan looks safe only because rates are low and values are high, a warning many lenders ignored in the cheap-money years and regretted when rates rose.</w:t>
      </w:r>
    </w:p>
    <w:p w14:paraId="0786821F" w14:textId="77777777" w:rsidR="007519C6" w:rsidRDefault="00000000">
      <w:pPr>
        <w:spacing w:after="60"/>
        <w:ind w:firstLine="360"/>
        <w:jc w:val="both"/>
      </w:pPr>
      <w:r>
        <w:rPr>
          <w:color w:val="1A1A1A"/>
        </w:rPr>
        <w:t xml:space="preserve">The interaction of these three with the floating rate is where the recent stress was manufactured. A bridge loan written in 2021 at a low rate, against a property valued at a low capitalization rate, with a coverage ratio that looked adequate at the rate of the day, became a different loan entirely when rates rose. The debt service climbed with the floating rate. The coverage ratio compressed toward one and through it. The value of the property fell as rising rates pushed capitalization rates up, and the loan that had looked comfortable at a sixty-five-percent loan-to-value was suddenly lending against a building worth far less than the appraisal at origination had assumed. The arithmetic that made commercial real estate </w:t>
      </w:r>
      <w:r>
        <w:rPr>
          <w:color w:val="1A1A1A"/>
        </w:rPr>
        <w:lastRenderedPageBreak/>
        <w:t>lending look safe in the cheap-money years was the same arithmetic that made it dangerous when the money stopped being cheap, and the lenders who had underwritten to the rate of the day rather than to a normalized rate discovered the difference the hard way.</w:t>
      </w:r>
    </w:p>
    <w:p w14:paraId="4E3AA625" w14:textId="77777777" w:rsidR="007519C6" w:rsidRDefault="00000000">
      <w:pPr>
        <w:pStyle w:val="Heading2"/>
      </w:pPr>
      <w:r>
        <w:rPr>
          <w:color w:val="2E2E2E"/>
        </w:rPr>
        <w:t>The Stress of 2023 Through 2025</w:t>
      </w:r>
    </w:p>
    <w:p w14:paraId="3B04ACD6" w14:textId="77777777" w:rsidR="007519C6" w:rsidRDefault="00000000">
      <w:pPr>
        <w:spacing w:after="60"/>
        <w:ind w:firstLine="360"/>
        <w:jc w:val="both"/>
      </w:pPr>
      <w:r>
        <w:rPr>
          <w:color w:val="1A1A1A"/>
        </w:rPr>
        <w:t>The commercial real estate stress that unfolded from 2023 deserves close attention, because it is the clearest recent example of a sector debt cycle turning, and because private credit sat on both sides of it, as a victim of some loans and a rescuer in others. The stress had three drivers acting at once. Rising rates raised debt service on floating-rate loans and pushed down property values across every sector. The retreat and failure of the regional banks, the traditional providers of commercial real estate credit, withdrew the financing that maturing loans needed to refinance, the same regional banks whose own maturity mismatch this book has already described. And the secular collapse of office demand, accelerated by the permanence of remote and hybrid work, impaired an entire property type structurally rather than cyclically, in a way that no recovery in rates or growth would simply reverse.</w:t>
      </w:r>
    </w:p>
    <w:p w14:paraId="3D676DF3" w14:textId="77777777" w:rsidR="007519C6" w:rsidRDefault="00000000">
      <w:pPr>
        <w:spacing w:after="60"/>
        <w:ind w:firstLine="360"/>
        <w:jc w:val="both"/>
      </w:pPr>
      <w:r>
        <w:rPr>
          <w:color w:val="1A1A1A"/>
        </w:rPr>
        <w:t xml:space="preserve">The result was a wave of distress concentrated in the loans written most aggressively in the cheap-money years, and a maturity wall, a large volume of loans coming due into a market where the banks would not refinance and the values no longer supported the original loan amount. Private credit lenders who had extended bridge loans at high loan-to-values found their collateral worth less than their loans and their borrowers unable to refinance, and they faced the workout choices this book has described. Extend and hope, restructure, or take </w:t>
      </w:r>
      <w:r>
        <w:rPr>
          <w:color w:val="1A1A1A"/>
        </w:rPr>
        <w:lastRenderedPageBreak/>
        <w:t>the keys. But the same dislocation created one of the richest opportunities of the cycle for lenders with fresh capital, who could provide the rescue financing and the refinancing that the banks would not, on terms that reflected the scarcity of capital and the borrower's lack of alternatives. The stress that punished the aggressive lenders of the previous cycle rewarded the disciplined ones of the current one, which is the pattern of every sector debt cycle this book has chronicled, and a reminder that in credit the vintage is very nearly destiny.</w:t>
      </w:r>
    </w:p>
    <w:p w14:paraId="43F1E5CF" w14:textId="77777777" w:rsidR="007519C6" w:rsidRDefault="00000000">
      <w:pPr>
        <w:pStyle w:val="Heading2"/>
      </w:pPr>
      <w:r>
        <w:rPr>
          <w:color w:val="2E2E2E"/>
        </w:rPr>
        <w:t>A Bridge Loan That Did Not Work</w:t>
      </w:r>
    </w:p>
    <w:p w14:paraId="320A0A92" w14:textId="77777777" w:rsidR="007519C6" w:rsidRDefault="00000000">
      <w:pPr>
        <w:spacing w:after="60"/>
        <w:ind w:firstLine="360"/>
        <w:jc w:val="both"/>
      </w:pPr>
      <w:r>
        <w:rPr>
          <w:color w:val="1A1A1A"/>
        </w:rPr>
        <w:t>Consider, as a composite, a loan that captures the cycle. A lender wrote a three-year floating-rate bridge loan in 2021 on a suburban office complex, seventy-five percent loan-to-value against a value set at a low capitalization rate, the thesis being that the sponsor would renovate the building, raise occupancy from seventy to ninety percent, and refinance into a permanent loan at maturity. None of the assumptions survived. Rates rose, lifting the debt service and pushing the capitalization rate up so that the building's value fell by a third even before the operating problems. Occupancy did not rise to ninety percent. It fell, as tenants shrank their footprints or did not renew, because the demand for suburban office space was structurally weaker than the underwriting had assumed. At maturity the sponsor could not refinance, because no lender would write a permanent loan on a half-empty office building at a value that no longer covered the existing debt, and the bank market that might once have extended was gone.</w:t>
      </w:r>
    </w:p>
    <w:p w14:paraId="46444ABF" w14:textId="77777777" w:rsidR="007519C6" w:rsidRDefault="00000000">
      <w:pPr>
        <w:spacing w:after="60"/>
        <w:ind w:firstLine="360"/>
        <w:jc w:val="both"/>
      </w:pPr>
      <w:r>
        <w:rPr>
          <w:color w:val="1A1A1A"/>
        </w:rPr>
        <w:t xml:space="preserve">The lender faced a building worth less than its loan, a sponsor whose equity had been wiped out and who had little incentive to keep funding the shortfall, </w:t>
      </w:r>
      <w:r>
        <w:rPr>
          <w:color w:val="1A1A1A"/>
        </w:rPr>
        <w:lastRenderedPageBreak/>
        <w:t>and no refinancing in sight. The honest options were poor. It could extend the loan and hope the office market recovered, knowing it likely would not. It could restructure, writing down the loan to the building's actual value and taking some equity upside in exchange, if the sponsor would stay engaged. Or it could foreclose, take ownership of the building, and try to lease and sell it itself, accepting a loss and a long hold. There was no good outcome, only a least-bad one, and which it chose depended on the same factors that govern every workout. The documentation, the sponsor's behavior, and the lender's own capacity to own and operate the asset if it had to. The loan was not undone by a single mistake. It was undone by underwriting to the conditions of a cheap-money peak, in a property type facing structural decline, with a floating rate that turned against it, the conjunction of errors that a more disciplined underwriting, to a normalized rate and a conservative view of office demand, would have avoided or at least survived.</w:t>
      </w:r>
    </w:p>
    <w:p w14:paraId="44F454B5" w14:textId="77777777" w:rsidR="007519C6" w:rsidRDefault="00000000">
      <w:pPr>
        <w:pStyle w:val="Heading2"/>
      </w:pPr>
      <w:r>
        <w:rPr>
          <w:color w:val="2E2E2E"/>
        </w:rPr>
        <w:t>Beyond Buildings: Land, Timber, and Farmland</w:t>
      </w:r>
    </w:p>
    <w:p w14:paraId="6C627CFE" w14:textId="77777777" w:rsidR="007519C6" w:rsidRDefault="00000000">
      <w:pPr>
        <w:spacing w:after="60"/>
        <w:ind w:firstLine="360"/>
        <w:jc w:val="both"/>
      </w:pPr>
      <w:r>
        <w:rPr>
          <w:color w:val="1A1A1A"/>
        </w:rPr>
        <w:t>Real estate debt, in most discussions, means buildings, the offices and apartments and warehouses that produce rent. But there is a whole adjacent territory of lending secured by land and what grows on it, and it has drawn increasing private credit attention precisely because it behaves differently from the building-based market and from corporate credit alike. These are real assets in the most literal sense, dirt and trees and crops, and the credit logic that governs them is closer to the collateral-first thinking of asset-based finance than to the cash-flow lending of the corporate world.</w:t>
      </w:r>
    </w:p>
    <w:p w14:paraId="196202EE" w14:textId="77777777" w:rsidR="007519C6" w:rsidRDefault="00000000">
      <w:pPr>
        <w:spacing w:after="60"/>
        <w:ind w:firstLine="360"/>
        <w:jc w:val="both"/>
      </w:pPr>
      <w:r>
        <w:rPr>
          <w:color w:val="1A1A1A"/>
        </w:rPr>
        <w:lastRenderedPageBreak/>
        <w:t>Timberland is the most established of these. A forest is a peculiar and rather wonderful piece of collateral. It grows, quite literally, whether or not the market is paying attention, adding volume and value each year regardless of the business cycle, and the owner has a natural flexibility in timing the harvest, cutting and selling when prices are good and simply letting the trees keep growing when they are not. That optionality, the ability to store value on the stump through a downturn, gives timberland a low correlation to financial markets that institutional investors prize, and lending against it can be a sound, secured proposition for a lender who understands forestry, growth rates, harvest economics, and the value of the underlying land. Farmland operates on a related logic. It is a productive, appreciating, supply-constrained asset, they are not making more of it, that produces income through what it grows or the rent a farmer pays to work it, and lending secured by farmland has a long history through the agricultural credit system and a growing private credit presence. The risks are specific, commodity prices, weather, water rights, the creditworthiness of the operator, but the collateral is durable and the asset has historically held value through inflation in a way few others match.</w:t>
      </w:r>
    </w:p>
    <w:p w14:paraId="6017123E" w14:textId="77777777" w:rsidR="007519C6" w:rsidRDefault="00000000">
      <w:pPr>
        <w:spacing w:after="60"/>
        <w:ind w:firstLine="360"/>
        <w:jc w:val="both"/>
      </w:pPr>
      <w:r>
        <w:rPr>
          <w:color w:val="1A1A1A"/>
        </w:rPr>
        <w:t xml:space="preserve">Then there is raw land and development land, which is the riskier end and demands more caution, because undeveloped land produces no income while the loan accrues interest, and its value depends entirely on what can eventually be built or grown on it and when. Lending against land awaiting development is a bet on entitlement, on zoning, and on a future use that may be years away and is exposed to every shift in the local market and the regulatory winds. It can be lucrative, and it can leave a lender holding a field worth far less than the loan when the development thesis fails to materialize. The broader point about all of </w:t>
      </w:r>
      <w:r>
        <w:rPr>
          <w:color w:val="1A1A1A"/>
        </w:rPr>
        <w:lastRenderedPageBreak/>
        <w:t>these real-asset adjacencies is that they offer genuine diversification, returns driven by dirt and biology and commodity cycles rather than by corporate earnings or the rate cycle, and that they reward, even more than building-based real estate, the specialist who actually understands the asset. A generalist credit fund has no business lending against a timber tract or an almond orchard without someone on the team who knows what those things are truly worth and how their value moves. The collateral is real, but realizing its value requires knowledge that does not transfer from the corporate world, which is exactly why the managers who have built that knowledge can earn a durable premium in a corner of the market the generalists cannot follow them into.</w:t>
      </w:r>
    </w:p>
    <w:p w14:paraId="7023ADAF" w14:textId="77777777" w:rsidR="007519C6" w:rsidRDefault="00000000">
      <w:pPr>
        <w:pStyle w:val="Heading2"/>
      </w:pPr>
      <w:r>
        <w:rPr>
          <w:color w:val="2E2E2E"/>
        </w:rPr>
        <w:t>The Players and Who Should Own It</w:t>
      </w:r>
    </w:p>
    <w:p w14:paraId="23CB189F" w14:textId="77777777" w:rsidR="007519C6" w:rsidRDefault="00000000">
      <w:pPr>
        <w:spacing w:after="60"/>
        <w:ind w:firstLine="360"/>
        <w:jc w:val="both"/>
      </w:pPr>
      <w:r>
        <w:rPr>
          <w:color w:val="1A1A1A"/>
        </w:rPr>
        <w:t xml:space="preserve">The strategy is led by managers who have built dedicated real estate credit platforms, often within the large alternative managers, Blackstone above all, whose real estate franchise gives it origination reach and information across the property markets, alongside specialists and the mortgage real estate investment trusts that fund themselves in the public markets. Real estate debt suits the investor seeking current income secured by hard assets, with a recovery floor that enterprise-value lending lacks, and a return profile that ranges from the near-investment-grade safety of senior mortgages on stabilized assets to the equity-like risk of mezzanine on transitional ones. It demands, more than most strategies, an understanding that the category is not one market but many, divided by property type and geography and moving in different directions at once, and that the discipline of underwriting to a normalized rate rather than the rate of the day is the difference between the loans that survive the cycle's turn </w:t>
      </w:r>
      <w:r>
        <w:rPr>
          <w:color w:val="1A1A1A"/>
        </w:rPr>
        <w:lastRenderedPageBreak/>
        <w:t>and the loans that define its casualties. The investor who remembers that real estate is local, cyclical, and sector-divided, and who insists on the equity cushion and the conservative basis that protect against the turn, can earn an attractive secured return. The investor who reaches for yield at the peak of a cheap-money cycle, against trophy assumptions and thin cushions, is underwriting the next cycle's distress.</w:t>
      </w:r>
    </w:p>
    <w:p w14:paraId="417C63F4" w14:textId="77777777" w:rsidR="007519C6" w:rsidRDefault="00000000">
      <w:r>
        <w:br w:type="page"/>
      </w:r>
    </w:p>
    <w:p w14:paraId="5C135976" w14:textId="77777777" w:rsidR="007519C6" w:rsidRDefault="00000000">
      <w:pPr>
        <w:pStyle w:val="Heading1"/>
      </w:pPr>
      <w:r>
        <w:lastRenderedPageBreak/>
        <w:t>Chapter 10: Infrastructure Debt</w:t>
      </w:r>
    </w:p>
    <w:p w14:paraId="6D5BEB31" w14:textId="77777777" w:rsidR="007519C6" w:rsidRDefault="00000000">
      <w:pPr>
        <w:spacing w:after="60"/>
        <w:jc w:val="both"/>
      </w:pPr>
      <w:r>
        <w:rPr>
          <w:color w:val="1A1A1A"/>
        </w:rPr>
        <w:t>Infrastructure debt finances the assets a society cannot do without. Power generation and transmission, transport, telecommunications, and the digital infrastructure that has lately become as essential as any of them. These assets share a profile that sets the strategy apart, long lives, stable cash flows from regulated or contracted revenue, and high barriers to entry, and that profile draws a particular kind of investor, the insurer or pension fund matching long-dated, predictable assets against long-dated, predictable liabilities.</w:t>
      </w:r>
    </w:p>
    <w:p w14:paraId="7A5AA325" w14:textId="77777777" w:rsidR="007519C6" w:rsidRDefault="00000000">
      <w:pPr>
        <w:pStyle w:val="Heading2"/>
      </w:pPr>
      <w:r>
        <w:rPr>
          <w:color w:val="2E2E2E"/>
        </w:rPr>
        <w:t>What Sets It Apart</w:t>
      </w:r>
    </w:p>
    <w:p w14:paraId="0231B576" w14:textId="77777777" w:rsidR="007519C6" w:rsidRDefault="00000000">
      <w:pPr>
        <w:spacing w:after="60"/>
        <w:ind w:firstLine="360"/>
        <w:jc w:val="both"/>
      </w:pPr>
      <w:r>
        <w:rPr>
          <w:color w:val="1A1A1A"/>
        </w:rPr>
        <w:t>Four features define the strategy. Duration is long, loans of fifteen to thirty years matching the lives of the assets, which suits a liability-driven investor and demands patience from everyone else. Cash flows are stable, drawn from regulated tariffs, long-term contracts with creditworthy offtakers, or the provision of an essential service with inelastic demand, and that stability is what permits the leverage. Leverage is high, seventy to ninety percent of asset value, higher than corporate direct lending tolerates, with lenders accepting thinner spreads in exchange for lower volatility. And the structures are often project finance, non-recourse or limited-recourse, with payment waterfalls and covenant packages tied to the performance of the project itself rather than to a corporate balance sheet.</w:t>
      </w:r>
    </w:p>
    <w:p w14:paraId="480B1C73" w14:textId="77777777" w:rsidR="007519C6" w:rsidRDefault="00000000">
      <w:pPr>
        <w:pStyle w:val="Heading2"/>
      </w:pPr>
      <w:r>
        <w:rPr>
          <w:color w:val="2E2E2E"/>
        </w:rPr>
        <w:t>The Sub-Sectors</w:t>
      </w:r>
    </w:p>
    <w:p w14:paraId="6D4F448A" w14:textId="77777777" w:rsidR="007519C6" w:rsidRDefault="00000000">
      <w:pPr>
        <w:spacing w:after="60"/>
        <w:ind w:firstLine="360"/>
        <w:jc w:val="both"/>
      </w:pPr>
      <w:r>
        <w:rPr>
          <w:color w:val="1A1A1A"/>
        </w:rPr>
        <w:t xml:space="preserve">Renewable energy, solar and wind backed by long-term power-purchase agreements, is absorbing enormous capital as the energy transition proceeds. </w:t>
      </w:r>
      <w:r>
        <w:rPr>
          <w:color w:val="1A1A1A"/>
        </w:rPr>
        <w:lastRenderedPageBreak/>
        <w:t>Conventional power, chiefly gas generation supported by capacity payments or tolling agreements, remains financeable while older fossil assets face the risk of becoming stranded. Transport, roads and airports and ports and rail, runs on traffic-based revenue or availability payments, with greenfield construction carrying more risk than an operating asset. Digital infrastructure, data centers and fiber and towers, has drawn a flood of private credit, propelled by data growth, cloud adoption, and, increasingly, the compute demands of artificial intelligence, a point the final chapters return to because it carries both opportunity and the familiar danger of building capacity against demand that is assumed rather than proven. Social infrastructure, schools and hospitals and public buildings, typically runs on availability payments from public entities.</w:t>
      </w:r>
    </w:p>
    <w:p w14:paraId="15054E08" w14:textId="77777777" w:rsidR="007519C6" w:rsidRDefault="00000000">
      <w:pPr>
        <w:pStyle w:val="Heading2"/>
      </w:pPr>
      <w:r>
        <w:rPr>
          <w:color w:val="2E2E2E"/>
        </w:rPr>
        <w:t>The Risks</w:t>
      </w:r>
    </w:p>
    <w:p w14:paraId="078F51F7" w14:textId="77777777" w:rsidR="007519C6" w:rsidRDefault="00000000">
      <w:pPr>
        <w:spacing w:after="60"/>
        <w:ind w:firstLine="360"/>
        <w:jc w:val="both"/>
      </w:pPr>
      <w:r>
        <w:rPr>
          <w:color w:val="1A1A1A"/>
        </w:rPr>
        <w:t>The risks track the structure. Construction risk attends greenfield projects and is absent from operating assets. Regulatory risk bears on anything dependent on supportive rate-setting, where an adverse decision can impair the economics. Technology risk is most acute in renewables, where progress can leave an existing asset less competitive than the one built next year. And political risk attends infrastructure in emerging markets, where expropriation, currency, and political instability require careful evaluation and often dedicated insurance. The strategy trades return for stability and duration, and it rewards the lender who underwrites the specific risks of the specific asset rather than the category.</w:t>
      </w:r>
    </w:p>
    <w:p w14:paraId="20482808" w14:textId="77777777" w:rsidR="007519C6" w:rsidRDefault="00000000">
      <w:pPr>
        <w:pStyle w:val="Heading2"/>
      </w:pPr>
      <w:r>
        <w:rPr>
          <w:color w:val="2E2E2E"/>
        </w:rPr>
        <w:t>How Project Finance Works</w:t>
      </w:r>
    </w:p>
    <w:p w14:paraId="0B347055" w14:textId="77777777" w:rsidR="007519C6" w:rsidRDefault="00000000">
      <w:pPr>
        <w:spacing w:after="60"/>
        <w:ind w:firstLine="360"/>
        <w:jc w:val="both"/>
      </w:pPr>
      <w:r>
        <w:rPr>
          <w:color w:val="1A1A1A"/>
        </w:rPr>
        <w:t xml:space="preserve">The structure that carries most infrastructure lending is project finance, and its logic is distinct enough to warrant a closer look, because it is the mechanism </w:t>
      </w:r>
      <w:r>
        <w:rPr>
          <w:color w:val="1A1A1A"/>
        </w:rPr>
        <w:lastRenderedPageBreak/>
        <w:t>through which lenders extend long-dated, high-leverage credit against assets that have no operating history. In a project financing, the lender lends not to a corporate parent with a balance sheet but to a single-purpose entity that owns one asset, a power plant, a toll road, a data center, and that entity's only source of repayment is the cash that the asset itself generates. The loan is non-recourse or limited-recourse, meaning the lender cannot pursue the sponsor's other assets if the project fails. Its recovery is confined to the project and its contracts. This concentration of risk on a single asset would be reckless without the protections that project finance builds around it, and those protections are the heart of the discipline.</w:t>
      </w:r>
    </w:p>
    <w:p w14:paraId="75C633E8" w14:textId="77777777" w:rsidR="007519C6" w:rsidRDefault="00000000">
      <w:pPr>
        <w:spacing w:after="60"/>
        <w:ind w:firstLine="360"/>
        <w:jc w:val="both"/>
      </w:pPr>
      <w:r>
        <w:rPr>
          <w:color w:val="1A1A1A"/>
        </w:rPr>
        <w:t xml:space="preserve">The protections run through the contracts and the cash. The revenue is typically locked in through a long-term agreement with a creditworthy counterparty, a power-purchase agreement with a utility, an availability payment from a government, a take-or-pay contract that obliges the buyer to pay whether or not it uses the asset, so that the project's income is contracted rather than left to the market. The cash flows through a waterfall that pays operating costs first, then debt service, then funds reserve accounts, a debt-service reserve holding six months or a year of payments against a bad patch, before anything reaches the equity. A cash sweep diverts surplus cash to prepay the loan when performance is strong, deleveraging the project ahead of schedule. And the covenants track the project's specific performance, a minimum debt-service coverage that, if breached, traps cash and blocks distributions to the equity until the project recovers. The lender extends seventy or eighty percent against a single asset only because the contracts make the revenue predictable and the structure routes the cash to the lender's protection first. Strip away the long-term offtake contract, </w:t>
      </w:r>
      <w:r>
        <w:rPr>
          <w:color w:val="1A1A1A"/>
        </w:rPr>
        <w:lastRenderedPageBreak/>
        <w:t>and the same leverage becomes a speculation on a market price, which is precisely the danger in the corner of the strategy this book worries about most.</w:t>
      </w:r>
    </w:p>
    <w:p w14:paraId="4FC252FA" w14:textId="77777777" w:rsidR="007519C6" w:rsidRDefault="00000000">
      <w:pPr>
        <w:pStyle w:val="Heading2"/>
      </w:pPr>
      <w:r>
        <w:rPr>
          <w:color w:val="2E2E2E"/>
        </w:rPr>
        <w:t>Digital Infrastructure and the AI Build</w:t>
      </w:r>
    </w:p>
    <w:p w14:paraId="6CF618DC" w14:textId="77777777" w:rsidR="007519C6" w:rsidRDefault="00000000">
      <w:pPr>
        <w:spacing w:after="60"/>
        <w:ind w:firstLine="360"/>
        <w:jc w:val="both"/>
      </w:pPr>
      <w:r>
        <w:rPr>
          <w:color w:val="1A1A1A"/>
        </w:rPr>
        <w:t>The fastest-growing and most consequential sub-sector deserves its own treatment, because it is where infrastructure debt, the AI buildout, and the credit cycle converge. Digital infrastructure, the data centers, fiber networks, and communications towers that carry the digital economy, has drawn an enormous and accelerating flow of private credit, and the data center in particular has become one of the defining credit stories of the decade. The demand driver is real and powerful. The growth of cloud computing and, lately, the extraordinary compute requirements of artificial intelligence have created a need for data center capacity that the hyperscalers and the AI companies are racing to build, and a substantial part of that build is financed with debt that flows through infrastructure and private credit portfolios.</w:t>
      </w:r>
    </w:p>
    <w:p w14:paraId="38249A2C" w14:textId="77777777" w:rsidR="007519C6" w:rsidRDefault="00000000">
      <w:pPr>
        <w:spacing w:after="60"/>
        <w:ind w:firstLine="360"/>
        <w:jc w:val="both"/>
      </w:pPr>
      <w:r>
        <w:rPr>
          <w:color w:val="1A1A1A"/>
        </w:rPr>
        <w:t xml:space="preserve">The credit question is the one this book returns to wherever the AI buildout appears, and it is at its sharpest here. A data center financed against a long-term lease to a creditworthy hyperscaler is excellent credit. A contracted cash flow from a strong counterparty against a real asset, exactly the profile project finance is built to serve. A data center financed speculatively, on the assumption that demand will materialize to fill it, against tenants whose own revenue models for AI are not yet proven, is a different and far riskier proposition, and the distinction between the two is where the discipline lives. The lender who underwrites the contract, the creditworthiness of the tenant, the durability of the lease, the value of the asset if the tenant leaves, is doing infrastructure lending. The lender who </w:t>
      </w:r>
      <w:r>
        <w:rPr>
          <w:color w:val="1A1A1A"/>
        </w:rPr>
        <w:lastRenderedPageBreak/>
        <w:t>underwrites the assumption that AI demand will grow forever and fill any capacity built is doing something closer to speculation dressed as infrastructure, and is repeating, in a new technology, the error of the fiber buildout of the late 1990s, which was not wrong about the importance of the infrastructure but catastrophically wrong about the pace of the demand that would pay for it. The data center build will produce both kinds of credit, and telling them apart, the contracted from the speculative, the creditworthy tenant from the hopeful one, is the central task for any lender in the sector and a microcosm of the discipline the whole asset class now requires.</w:t>
      </w:r>
    </w:p>
    <w:p w14:paraId="6F3B5356" w14:textId="77777777" w:rsidR="007519C6" w:rsidRDefault="00000000">
      <w:pPr>
        <w:pStyle w:val="Heading2"/>
      </w:pPr>
      <w:r>
        <w:rPr>
          <w:color w:val="2E2E2E"/>
        </w:rPr>
        <w:t>Returns, Players, and Who Should Own It</w:t>
      </w:r>
    </w:p>
    <w:p w14:paraId="51F903C6" w14:textId="77777777" w:rsidR="007519C6" w:rsidRDefault="00000000">
      <w:pPr>
        <w:spacing w:after="60"/>
        <w:ind w:firstLine="360"/>
        <w:jc w:val="both"/>
      </w:pPr>
      <w:r>
        <w:rPr>
          <w:color w:val="1A1A1A"/>
        </w:rPr>
        <w:t xml:space="preserve">Infrastructure debt returns less than corporate direct lending in exchange for lower volatility and longer duration, with senior project debt earning spreads well inside those of middle-market loans and subordinated infrastructure debt reaching higher for taking the junior position. The strategy is led by dedicated infrastructure managers and by the infrastructure arms of the large alternative platforms, with insurance capital a dominant source of demand because the long, contracted, predictable cash flows match insurers' long-dated liabilities better than almost any other private credit strategy. It suits the liability-driven investor above all, the insurer or pension fund that values duration and stability over yield and can hold an illiquid, long-dated asset to maturity against an equally long-dated obligation. It rewards the lender who underwrites the contract and the counterparty rather than the category, and who insists on the protections, the offtake agreement, the reserve accounts, the cash sweep, the coverage covenants, that turn a concentrated bet on a single asset into a disciplined secured loan. The </w:t>
      </w:r>
      <w:r>
        <w:rPr>
          <w:color w:val="1A1A1A"/>
        </w:rPr>
        <w:lastRenderedPageBreak/>
        <w:t>energy transition and the digital buildout will keep the strategy supplied with opportunity for a generation. Whether that opportunity is harvested as sound credit or squandered as speculation will depend, as it always does, on whether the lenders underwrote the cash flows that exist or the ones they hoped would arrive.</w:t>
      </w:r>
    </w:p>
    <w:p w14:paraId="5912B4BF" w14:textId="77777777" w:rsidR="007519C6" w:rsidRDefault="00000000">
      <w:r>
        <w:br w:type="page"/>
      </w:r>
    </w:p>
    <w:p w14:paraId="3DACD9DB" w14:textId="77777777" w:rsidR="007519C6" w:rsidRDefault="00000000">
      <w:pPr>
        <w:pStyle w:val="Heading1"/>
      </w:pPr>
      <w:r>
        <w:lastRenderedPageBreak/>
        <w:t>Chapter 11: Distressed and Special Situations</w:t>
      </w:r>
    </w:p>
    <w:p w14:paraId="2B2E7190" w14:textId="77777777" w:rsidR="007519C6" w:rsidRDefault="00000000">
      <w:pPr>
        <w:spacing w:after="60"/>
        <w:jc w:val="both"/>
      </w:pPr>
      <w:r>
        <w:rPr>
          <w:color w:val="1A1A1A"/>
        </w:rPr>
        <w:t>Distressed investing is a different discipline wearing the same clothes as the rest of credit. The return comes not from a coupon collected on a performing loan but from buying claims at a discount, shaping a restructuring, and realizing value through a workout or a turnaround. It demands skills that performing credit does not. Bankruptcy law, the mechanics of restructuring, the operational judgment to assess a turnaround, and the temperament to navigate a process that is adversarial by design. It is, in many ways, the part of the credit market where the documents matter most, because in a restructuring the documents are the entire battlefield.</w:t>
      </w:r>
    </w:p>
    <w:p w14:paraId="2FC77456" w14:textId="77777777" w:rsidR="007519C6" w:rsidRDefault="00000000">
      <w:pPr>
        <w:pStyle w:val="Heading2"/>
      </w:pPr>
      <w:r>
        <w:rPr>
          <w:color w:val="2E2E2E"/>
        </w:rPr>
        <w:t>The Strategies</w:t>
      </w:r>
    </w:p>
    <w:p w14:paraId="11C6C49D" w14:textId="77777777" w:rsidR="007519C6" w:rsidRDefault="00000000">
      <w:pPr>
        <w:spacing w:after="60"/>
        <w:ind w:firstLine="360"/>
        <w:jc w:val="both"/>
      </w:pPr>
      <w:r>
        <w:rPr>
          <w:color w:val="1A1A1A"/>
        </w:rPr>
        <w:t>The territory holds several distinct approaches. Trading-oriented distressed buys discounted claims and sells them when they recover, a liquid strategy suited to a hedge fund structure and a tolerance for marks. Control distressed acquires enough of the debt to steer the restructuring and convert into ownership, the loan-to-own approach that seeks to acquire a fundamentally sound business through its claims at a price below intrinsic value, and that turns the lender into an active owner. Rescue financing provides new capital to a stressed company that cannot reach traditional markets, taking priority, fees, and equity upside in return, a strategy that has grown as private credit lenders move to support their own portfolio companies through stress. And non-performing loan portfolios, bought in pools from banks and other institutions at discounts to face, return what the collections exceed the purchase price, which requires real servicing and collection capability.</w:t>
      </w:r>
    </w:p>
    <w:p w14:paraId="11716573" w14:textId="77777777" w:rsidR="007519C6" w:rsidRDefault="00000000">
      <w:pPr>
        <w:pStyle w:val="Heading2"/>
      </w:pPr>
      <w:r>
        <w:rPr>
          <w:color w:val="2E2E2E"/>
        </w:rPr>
        <w:lastRenderedPageBreak/>
        <w:t>What It Takes</w:t>
      </w:r>
    </w:p>
    <w:p w14:paraId="464D98E9" w14:textId="77777777" w:rsidR="007519C6" w:rsidRDefault="00000000">
      <w:pPr>
        <w:spacing w:after="60"/>
        <w:ind w:firstLine="360"/>
        <w:jc w:val="both"/>
      </w:pPr>
      <w:r>
        <w:rPr>
          <w:color w:val="1A1A1A"/>
        </w:rPr>
        <w:t>The capabilities are specific and not easily acquired. Legal expertise is foundational, because the absolute priority rule, the requirements for confirming a plan, and the intercreditor terms that govern who recovers what are the determinants of outcome, and the recent prominence of creditor-on-creditor disputes has made intercreditor analysis more important, not less. Valuation in distress is its own skill, the judgment of what a troubled business is worth as a going concern against what it would fetch in liquidation, and the two answers are often far apart. Negotiation is constant, because a restructuring is a multi-party contest among creditor classes, sponsors, and management, and the outcome turns on stamina as much as leverage. And operational knowledge matters wherever value must be created after emergence rather than merely divided, because a business that has been restructured financially still has to be fixed operationally.</w:t>
      </w:r>
    </w:p>
    <w:p w14:paraId="29EFFBF6" w14:textId="77777777" w:rsidR="007519C6" w:rsidRDefault="00000000">
      <w:pPr>
        <w:pStyle w:val="Heading2"/>
      </w:pPr>
      <w:r>
        <w:rPr>
          <w:color w:val="2E2E2E"/>
        </w:rPr>
        <w:t>A Restructuring, in Outline</w:t>
      </w:r>
    </w:p>
    <w:p w14:paraId="76A1D39F" w14:textId="77777777" w:rsidR="007519C6" w:rsidRDefault="00000000">
      <w:pPr>
        <w:spacing w:after="60"/>
        <w:ind w:firstLine="360"/>
        <w:jc w:val="both"/>
      </w:pPr>
      <w:r>
        <w:rPr>
          <w:color w:val="1A1A1A"/>
        </w:rPr>
        <w:t xml:space="preserve">Consider how a loan-to-own thesis actually plays out, again as a composite rather than a specific company. A software business that had borrowed heavily during the easy years, financed at seven times earnings against projections that assumed its growth would continue, instead saw its growth stall as customers began trialing an AI-native competitor. Its loans, originated at par, traded down to the mid-fifties as the market absorbed the possibility that the enterprise value no longer covered the debt. A distressed investor with restructuring capability looked at the same situation and asked a different question from the panicked holders selling. Not whether the business was troubled, which was obvious, but </w:t>
      </w:r>
      <w:r>
        <w:rPr>
          <w:color w:val="1A1A1A"/>
        </w:rPr>
        <w:lastRenderedPageBreak/>
        <w:t>what it was actually worth as a going concern, what the documents permitted, and whether the gap between the trading price and the intrinsic value was wide enough to be worth the fight.</w:t>
      </w:r>
    </w:p>
    <w:p w14:paraId="39407100" w14:textId="77777777" w:rsidR="007519C6" w:rsidRDefault="00000000">
      <w:pPr>
        <w:spacing w:after="60"/>
        <w:ind w:firstLine="360"/>
        <w:jc w:val="both"/>
      </w:pPr>
      <w:r>
        <w:rPr>
          <w:color w:val="1A1A1A"/>
        </w:rPr>
        <w:t>The investor accumulated a blocking position in the senior debt at an average price in the high fifties, enough to control the outcome of any restructuring. The analysis that justified the purchase was not financial alone. It rested on a judgment that the underlying product, while threatened, retained a defensible base of customers with high switching costs, and that the business could be stabilized at a smaller, profitable scale if its capital structure were repaired and its cost base cut. The legal analysis mattered as much as the operational one. The intercreditor terms determined whether the senior position could be primed by new money, the absolute priority rule governed what the existing equity would receive, which was nothing, and the documents determined whether the investor could convert its debt to equity without a contested bankruptcy.</w:t>
      </w:r>
    </w:p>
    <w:p w14:paraId="783BD8C0" w14:textId="77777777" w:rsidR="007519C6" w:rsidRDefault="00000000">
      <w:pPr>
        <w:spacing w:after="60"/>
        <w:ind w:firstLine="360"/>
        <w:jc w:val="both"/>
      </w:pPr>
      <w:r>
        <w:rPr>
          <w:color w:val="1A1A1A"/>
        </w:rPr>
        <w:t xml:space="preserve">The resolution came out of court, the private market's strong preference, because a negotiated deal preserved value that a contested Chapter 11 would have consumed in fees and delay. The senior debt was converted to equity, wiping out the sponsor's original investment and the junior capital beneath it. The investor, now the owner, recapitalized the business with a smaller debt load it could service, brought in operating leadership, and refocused the company on the profitable core. The return, realized three years later when the stabilized business was sold, came from two sources. The discount at which the debt was acquired, and the value created by fixing the business after acquiring it. Neither alone would have been sufficient. The discount without the operational turnaround would have bought a cheap stake in a declining company. The turnaround </w:t>
      </w:r>
      <w:r>
        <w:rPr>
          <w:color w:val="1A1A1A"/>
        </w:rPr>
        <w:lastRenderedPageBreak/>
        <w:t>without the discount would have left no margin for the risk. Distressed investing of this kind is not a bet on a price. It is the acquisition of a business through its capital structure, and it rewards the investor who can do the legal, the financial, and the operational work at once, and punishes the one who can do only some of it.</w:t>
      </w:r>
    </w:p>
    <w:p w14:paraId="2AF73018" w14:textId="77777777" w:rsidR="007519C6" w:rsidRDefault="00000000">
      <w:pPr>
        <w:pStyle w:val="Heading2"/>
      </w:pPr>
      <w:r>
        <w:rPr>
          <w:color w:val="2E2E2E"/>
        </w:rPr>
        <w:t>The Moment</w:t>
      </w:r>
    </w:p>
    <w:p w14:paraId="67FCC363" w14:textId="77777777" w:rsidR="007519C6" w:rsidRDefault="00000000">
      <w:pPr>
        <w:spacing w:after="60"/>
        <w:ind w:firstLine="360"/>
        <w:jc w:val="both"/>
      </w:pPr>
      <w:r>
        <w:rPr>
          <w:color w:val="1A1A1A"/>
        </w:rPr>
        <w:t>Default rates have risen off cyclical lows without yet reaching historical averages. The combination of the leverage built up in the easy years and the higher rates now straining coverage points toward a richer opportunity set ahead. But the opportunity is being competed away in advance. The substantial dry powder raised for rescue and distressed strategies compresses the discounts, accelerates intervention, and limits how deep the distress is allowed to run before capital arrives to arrest it. The market has learned to catch falling companies earlier, which is good for the companies and harder for the investor hunting genuine value. As Howard Marks has spent a career arguing, the most important determinant of return is not what you buy but when you buy it relative to the cycle, and the cycle in distressed credit is shaped as much by the capital waiting to be deployed as by the stress itself.</w:t>
      </w:r>
    </w:p>
    <w:p w14:paraId="66E08F6B" w14:textId="77777777" w:rsidR="007519C6" w:rsidRDefault="00000000">
      <w:r>
        <w:br w:type="page"/>
      </w:r>
    </w:p>
    <w:p w14:paraId="4FEAEFA2" w14:textId="77777777" w:rsidR="007519C6" w:rsidRDefault="00000000">
      <w:pPr>
        <w:pStyle w:val="Heading1"/>
      </w:pPr>
      <w:r>
        <w:lastRenderedPageBreak/>
        <w:t>Chapter 12: Fund Finance</w:t>
      </w:r>
    </w:p>
    <w:p w14:paraId="02F80C0C" w14:textId="77777777" w:rsidR="007519C6" w:rsidRDefault="00000000">
      <w:pPr>
        <w:spacing w:after="60"/>
        <w:jc w:val="both"/>
      </w:pPr>
      <w:r>
        <w:rPr>
          <w:color w:val="1A1A1A"/>
        </w:rPr>
        <w:t>Fund finance is, in a real sense, the credit market's own credit market, the financing that supports the funds that in turn finance companies and assets. It is rarely discussed outside the specialists who practice it, because it operates as infrastructure rather than as a headline strategy, and yet the leverage embedded in it is one of the reasons the nominal size of private credit understates its actual economic footprint. When a fund borrows against its commitments, invests in levered loans, and those loans are financed again in a CLO, the debt has been stacked several layers high, and most participants see only the layer they touch.</w:t>
      </w:r>
    </w:p>
    <w:p w14:paraId="00F2D4F2" w14:textId="77777777" w:rsidR="007519C6" w:rsidRDefault="00000000">
      <w:pPr>
        <w:pStyle w:val="Heading2"/>
      </w:pPr>
      <w:r>
        <w:rPr>
          <w:color w:val="2E2E2E"/>
        </w:rPr>
        <w:t>Subscription Lines</w:t>
      </w:r>
    </w:p>
    <w:p w14:paraId="7EDFFE50" w14:textId="77777777" w:rsidR="007519C6" w:rsidRDefault="00000000">
      <w:pPr>
        <w:spacing w:after="60"/>
        <w:ind w:firstLine="360"/>
        <w:jc w:val="both"/>
      </w:pPr>
      <w:r>
        <w:rPr>
          <w:color w:val="1A1A1A"/>
        </w:rPr>
        <w:t>The subscription line, or capital-call facility, lends to a fund against the uncalled capital its investors have committed. Rather than calling money from limited partners for each investment, the fund draws on the line and calls capital later to repay it. The security is the commitments themselves, the general partner's right to call them, and the accounts into which they flow, perfected through filings and investor acknowledgments. The borrowing base depends on the credit quality of the investors, with advance rates of fifty to ninety percent, and the pricing, for an institutional-quality investor base, runs to a relatively modest spread over the benchmark, reflecting the short duration and strong collateral.</w:t>
      </w:r>
    </w:p>
    <w:p w14:paraId="722C2EF3" w14:textId="77777777" w:rsidR="007519C6" w:rsidRDefault="00000000">
      <w:pPr>
        <w:spacing w:after="60"/>
        <w:ind w:firstLine="360"/>
        <w:jc w:val="both"/>
      </w:pPr>
      <w:r>
        <w:rPr>
          <w:color w:val="1A1A1A"/>
        </w:rPr>
        <w:t xml:space="preserve">The benefits are real, and so is the controversy. The line gives the manager flexibility in timing capital calls and the speed to act on opportunities without waiting for investor funding. But it also flatters the reported internal rate of return by delaying the moment the clock starts on invested capital, a point on </w:t>
      </w:r>
      <w:r>
        <w:rPr>
          <w:color w:val="1A1A1A"/>
        </w:rPr>
        <w:lastRenderedPageBreak/>
        <w:t>which the Institutional Limited Partners Association has pressed for disclosure and for preferred returns to accrue from the date of the draw rather than the date of the investment. The line changes the timing of the return, not its substance, but timing is precisely what the internal rate of return measures, and an investor reading performance should know whether a line is in use.</w:t>
      </w:r>
    </w:p>
    <w:p w14:paraId="24122307" w14:textId="77777777" w:rsidR="007519C6" w:rsidRDefault="00000000">
      <w:pPr>
        <w:pStyle w:val="Heading2"/>
      </w:pPr>
      <w:r>
        <w:rPr>
          <w:color w:val="2E2E2E"/>
        </w:rPr>
        <w:t>NAV Facilities</w:t>
      </w:r>
    </w:p>
    <w:p w14:paraId="66D69C08" w14:textId="77777777" w:rsidR="007519C6" w:rsidRDefault="00000000">
      <w:pPr>
        <w:spacing w:after="60"/>
        <w:ind w:firstLine="360"/>
        <w:jc w:val="both"/>
      </w:pPr>
      <w:r>
        <w:rPr>
          <w:color w:val="1A1A1A"/>
        </w:rPr>
        <w:t>The net-asset-value facility lends against the value of a fund's existing portfolio rather than its uncalled commitments, and it has become a significant tool for funds late in their lives, when most of the capital has already been called. The security is the equity in the portfolio companies or the distributions they will produce, and the loan-to-value is conservative, five to thirty percent for a diversified private equity portfolio given the volatility of the underlying values, though credit-fund NAV facilities reach higher against more predictable loan portfolios. The uses are various. Funding follow-on investments when the fund is fully invested, supporting portfolio companies through difficulty, providing interim distributions to investors ahead of exits, and financing continuation vehicles. Demand has grown as a slower exit environment left more value locked in portfolios that still needed liquidity, and the facility has become, for better and worse, one of the principal ways that liquidity is now manufactured.</w:t>
      </w:r>
    </w:p>
    <w:p w14:paraId="522CCC9A" w14:textId="77777777" w:rsidR="007519C6" w:rsidRDefault="00000000">
      <w:pPr>
        <w:pStyle w:val="Heading2"/>
      </w:pPr>
      <w:r>
        <w:rPr>
          <w:color w:val="2E2E2E"/>
        </w:rPr>
        <w:t>Hybrid and GP Finance</w:t>
      </w:r>
    </w:p>
    <w:p w14:paraId="1BB206CA" w14:textId="77777777" w:rsidR="007519C6" w:rsidRDefault="00000000">
      <w:pPr>
        <w:spacing w:after="60"/>
        <w:ind w:firstLine="360"/>
        <w:jc w:val="both"/>
      </w:pPr>
      <w:r>
        <w:rPr>
          <w:color w:val="1A1A1A"/>
        </w:rPr>
        <w:t xml:space="preserve">Hybrid facilities combine the two, drawing on commitments early in a fund's life and shifting to portfolio value as it matures. And a further niche lends to the managers themselves. Management-fee lines secured by the fee stream, carried-interest facilities secured against future carry and carrying the higher risk that </w:t>
      </w:r>
      <w:r>
        <w:rPr>
          <w:color w:val="1A1A1A"/>
        </w:rPr>
        <w:lastRenderedPageBreak/>
        <w:t>contingency implies, and financing for the general partner's own commitment to its funds, which lets principals maintain meaningful co-investment without exhausting personal liquidity.</w:t>
      </w:r>
    </w:p>
    <w:p w14:paraId="17BB3ADE" w14:textId="77777777" w:rsidR="007519C6" w:rsidRDefault="00000000">
      <w:pPr>
        <w:pStyle w:val="Heading2"/>
      </w:pPr>
      <w:r>
        <w:rPr>
          <w:color w:val="2E2E2E"/>
        </w:rPr>
        <w:t>The Direction, and a Caution</w:t>
      </w:r>
    </w:p>
    <w:p w14:paraId="04CE1511" w14:textId="77777777" w:rsidR="007519C6" w:rsidRDefault="00000000">
      <w:pPr>
        <w:spacing w:after="60"/>
        <w:ind w:firstLine="360"/>
        <w:jc w:val="both"/>
      </w:pPr>
      <w:r>
        <w:rPr>
          <w:color w:val="1A1A1A"/>
        </w:rPr>
        <w:t>Private credit funds have joined the banks as providers of fund finance as regulatory pressure has constrained bank appetite, and the rating agencies have begun building methodologies that may open these markets to securitization and a wider investor base. The caution is structural and worth stating clearly. Fund finance adds a layer of leverage on top of leverage that is already there, and the interaction of these layers is one of the genuine systemic questions the asset class will eventually have to answer. The Institutional Limited Partners Association has warned about exactly this, the stacking of borrowing that can flatter returns and obscure the true fragility of a portfolio, and the warning is sound. Leverage that is invisible in the headline numbers is still leverage, and it behaves like leverage when the cycle turns.</w:t>
      </w:r>
    </w:p>
    <w:p w14:paraId="710AEC6A" w14:textId="77777777" w:rsidR="007519C6" w:rsidRDefault="00000000">
      <w:pPr>
        <w:pStyle w:val="Heading2"/>
      </w:pPr>
      <w:r>
        <w:rPr>
          <w:color w:val="2E2E2E"/>
        </w:rPr>
        <w:t>The Layered Leverage Problem, in Full</w:t>
      </w:r>
    </w:p>
    <w:p w14:paraId="4B1C8409" w14:textId="77777777" w:rsidR="007519C6" w:rsidRDefault="00000000">
      <w:pPr>
        <w:spacing w:after="60"/>
        <w:ind w:firstLine="360"/>
        <w:jc w:val="both"/>
      </w:pPr>
      <w:r>
        <w:rPr>
          <w:color w:val="1A1A1A"/>
        </w:rPr>
        <w:t xml:space="preserve">The caution above deserves to be developed, because the layering of leverage that fund finance enables is one of the genuine structural concerns of the modern market, and it is worth tracing the full stack to see why. Begin at the bottom, with an operating company that a private equity sponsor has bought using half equity and half debt. That is leverage layer one, the loan on the business. That loan is held by a direct lending fund that has itself borrowed, through a subscription line and perhaps a NAV facility, against its portfolio. Leverage layer two, the fund's own borrowing. The fund's loans are then pooled into a CLO that finances the </w:t>
      </w:r>
      <w:r>
        <w:rPr>
          <w:color w:val="1A1A1A"/>
        </w:rPr>
        <w:lastRenderedPageBreak/>
        <w:t>portfolio with debt many times its equity. Leverage layer three, the securitization. And the senior tranches of that CLO are bought by an insurance company that has borrowed against its own investment portfolio. Leverage layer four, the buyer's leverage. At each step the borrowing is individually legal, documented, and reasonable. The aggregate leverage on the underlying business cash flows is far higher than any single figure in the chain reveals, and almost no participant sees the whole stack.</w:t>
      </w:r>
    </w:p>
    <w:p w14:paraId="20022BE8" w14:textId="77777777" w:rsidR="007519C6" w:rsidRDefault="00000000">
      <w:pPr>
        <w:spacing w:after="60"/>
        <w:ind w:firstLine="360"/>
        <w:jc w:val="both"/>
      </w:pPr>
      <w:r>
        <w:rPr>
          <w:color w:val="1A1A1A"/>
        </w:rPr>
        <w:t>This is the shadow leverage that this book returns to wherever it appears, and fund finance is one of its principal engines, because it adds a layer of borrowing that sits above the assets and below the securitization, invisible in the leverage statistics of either. The danger is not that any single layer is excessive. It is that the layers interact, and that a small deterioration in the underlying business cash flows is amplified as it travels up the stack, while stress at any layer can transmit to the others. If the businesses weaken, the funds' portfolios weaken. If the funds face NAV-facility margin calls or cannot refinance their borrowing, they may be forced to sell. If they sell into a falling market, the CLOs and the insurers holding the assets mark down, and the deleveraging feeds on itself in the manner this book has described at every crisis it has chronicled. Fund finance makes the system more efficient in good times, letting capital be deployed faster and returns enhanced, and more fragile in bad ones, by adding a layer of borrowing that must be refinanced exactly when refinancing is hardest. The efficiency is visible every day. The fragility is visible only when the cycle turns, which is precisely why it is so easily underestimated.</w:t>
      </w:r>
    </w:p>
    <w:p w14:paraId="0E5B2692" w14:textId="77777777" w:rsidR="007519C6" w:rsidRDefault="00000000">
      <w:pPr>
        <w:pStyle w:val="Heading2"/>
      </w:pPr>
      <w:r>
        <w:rPr>
          <w:color w:val="2E2E2E"/>
        </w:rPr>
        <w:t>Scale, Providers, and the Investor's View</w:t>
      </w:r>
    </w:p>
    <w:p w14:paraId="59E366DC" w14:textId="77777777" w:rsidR="007519C6" w:rsidRDefault="00000000">
      <w:pPr>
        <w:spacing w:after="60"/>
        <w:ind w:firstLine="360"/>
        <w:jc w:val="both"/>
      </w:pPr>
      <w:r>
        <w:rPr>
          <w:color w:val="1A1A1A"/>
        </w:rPr>
        <w:lastRenderedPageBreak/>
        <w:t>Fund finance has grown into a very large market in its own right, with the subscription-line segment alone estimated in the high hundreds of billions of dollars globally and the NAV-facility market expanding rapidly from a smaller base as the slower exit environment drove demand for fund-level liquidity. The providers were historically the banks, for whom lending against the commitments of institutional investors was low-risk, capital-efficient business, and the banks remain dominant in subscription lines. But private credit funds have moved into the space as the post-crisis rules constrained bank balance sheets, particularly in NAV lending and the more specialized GP-financing niches, becoming both borrowers in the fund-finance market and, increasingly, lenders within it, a doubling that deepens the interconnection the book has flagged. For the investor, fund finance is less a strategy to allocate to directly than a phenomenon to understand, because it shapes the leverage and the liquidity of every private credit fund the investor owns. The limited partner who does not know whether a fund uses subscription lines, how much NAV leverage sits above its position, and how that borrowing would behave in a stressed refinancing does not actually understand the risk of the fund, however well it understands the underlying loans. The diligence questions this book urges, about leverage, about liquidity, about what happens when the funding tightens, are in large part questions about fund finance, and the investor who skips them is underwriting only the visible layer of a structure built from several.</w:t>
      </w:r>
    </w:p>
    <w:p w14:paraId="03EDEC21" w14:textId="77777777" w:rsidR="007519C6" w:rsidRDefault="00000000">
      <w:r>
        <w:br w:type="page"/>
      </w:r>
    </w:p>
    <w:p w14:paraId="5988582C" w14:textId="77777777" w:rsidR="007519C6" w:rsidRDefault="00000000">
      <w:pPr>
        <w:pStyle w:val="Heading1"/>
      </w:pPr>
      <w:r>
        <w:lastRenderedPageBreak/>
        <w:t>Chapter 13: Venture Debt</w:t>
      </w:r>
    </w:p>
    <w:p w14:paraId="5EAB73F0" w14:textId="77777777" w:rsidR="007519C6" w:rsidRDefault="00000000">
      <w:pPr>
        <w:spacing w:after="60"/>
        <w:jc w:val="both"/>
      </w:pPr>
      <w:r>
        <w:rPr>
          <w:color w:val="1A1A1A"/>
        </w:rPr>
        <w:t>Venture debt lends to companies that have no business, by the ordinary standards of credit, borrowing at all. Young, often unprofitable, light on hard assets, and dependent on the next equity round to survive. What makes the lending possible is that these companies have raised venture capital and reached a product that works, and the loan extends their runway between equity rounds without diluting the founders. It is a narrow strategy filling a specific seam in the startup capital stack, and it is underwritten on a logic all its own.</w:t>
      </w:r>
    </w:p>
    <w:p w14:paraId="728BA3DD" w14:textId="77777777" w:rsidR="007519C6" w:rsidRDefault="00000000">
      <w:pPr>
        <w:pStyle w:val="Heading2"/>
      </w:pPr>
      <w:r>
        <w:rPr>
          <w:color w:val="2E2E2E"/>
        </w:rPr>
        <w:t>The Structure</w:t>
      </w:r>
    </w:p>
    <w:p w14:paraId="721A41C7" w14:textId="77777777" w:rsidR="007519C6" w:rsidRDefault="00000000">
      <w:pPr>
        <w:spacing w:after="60"/>
        <w:ind w:firstLine="360"/>
        <w:jc w:val="both"/>
      </w:pPr>
      <w:r>
        <w:rPr>
          <w:color w:val="1A1A1A"/>
        </w:rPr>
        <w:t>The loans run two to four years, with an interest-only period before amortization and a floating rate at a spread of five hundred to nine hundred basis points. The distinguishing feature is the warrant, equity coverage of five to fifteen percent of the loan amount, which provides the upside that turns an acceptable return into an attractive one and frequently contributes more than the interest itself. Covenants lean away from financial maintenance tests, which volatile early-stage numbers cannot reliably support, and toward negative covenants and milestones tied to product and funding events. The collateral is a lien on everything, intellectual property included, but the practical security is not the liquidation value of the assets, which is uncertain at best. It is the prospect of the next equity round arriving to repay the loan.</w:t>
      </w:r>
    </w:p>
    <w:p w14:paraId="745A7018" w14:textId="77777777" w:rsidR="007519C6" w:rsidRDefault="00000000">
      <w:pPr>
        <w:pStyle w:val="Heading2"/>
      </w:pPr>
      <w:r>
        <w:rPr>
          <w:color w:val="2E2E2E"/>
        </w:rPr>
        <w:t>The Underwriting and the Return</w:t>
      </w:r>
    </w:p>
    <w:p w14:paraId="4C8B2BD9" w14:textId="77777777" w:rsidR="007519C6" w:rsidRDefault="00000000">
      <w:pPr>
        <w:spacing w:after="60"/>
        <w:ind w:firstLine="360"/>
        <w:jc w:val="both"/>
      </w:pPr>
      <w:r>
        <w:rPr>
          <w:color w:val="1A1A1A"/>
        </w:rPr>
        <w:t xml:space="preserve">The analysis emphasizes what ordinary credit does not. The quality of the venture investors backing the company matters twice over, as a predictor of </w:t>
      </w:r>
      <w:r>
        <w:rPr>
          <w:color w:val="1A1A1A"/>
        </w:rPr>
        <w:lastRenderedPageBreak/>
        <w:t>follow-on support and as a signal of the company's standing. The runway must be sufficient to repay the loan from existing cash, anticipated revenue, or a new round before maturity, which requires conservative modeling. The product and the market inform the probability of success, and the management team informs the probability of execution and the credibility that will determine whether the next round arrives. The return is assembled from coupon, fees, and warrants. Interest and fees of twelve to fifteen percent on performing loans, plus warrant gains on the winners, against loss rates of five to fifteen percent, with high severity on failures given the thin collateral. Diversification across many small positions is not a refinement here. It is a requirement, because the strategy depends on the winners and their warrants carrying the losers.</w:t>
      </w:r>
    </w:p>
    <w:p w14:paraId="121E09AA" w14:textId="77777777" w:rsidR="007519C6" w:rsidRDefault="00000000">
      <w:pPr>
        <w:pStyle w:val="Heading2"/>
      </w:pPr>
      <w:r>
        <w:rPr>
          <w:color w:val="2E2E2E"/>
        </w:rPr>
        <w:t>The Moment</w:t>
      </w:r>
    </w:p>
    <w:p w14:paraId="25656C77" w14:textId="77777777" w:rsidR="007519C6" w:rsidRDefault="00000000">
      <w:pPr>
        <w:spacing w:after="60"/>
        <w:ind w:firstLine="360"/>
        <w:jc w:val="both"/>
      </w:pPr>
      <w:r>
        <w:rPr>
          <w:color w:val="1A1A1A"/>
        </w:rPr>
        <w:t>The strategy has been through stress alongside the venture ecosystem that feeds it, as the 2021 excesses unwound, higher rates bit, venture funding contracted, and startup failures rose. The collapse of Silicon Valley Bank in March 2023, the dominant venture debt provider of its era, disrupted the market and opened room for others. The experienced lenders with sound portfolios continue, and the structural need persists, because founders will always prefer debt that extends the runway to equity that dilutes them. It is a strategy for the specialist who understands the venture cycle, not for the generalist reaching for yield, and the distinction tends to become clear at exactly the wrong moment for anyone who ignored it.</w:t>
      </w:r>
    </w:p>
    <w:p w14:paraId="3EFEE36D" w14:textId="77777777" w:rsidR="007519C6" w:rsidRDefault="00000000">
      <w:pPr>
        <w:pStyle w:val="Heading2"/>
      </w:pPr>
      <w:r>
        <w:rPr>
          <w:color w:val="2E2E2E"/>
        </w:rPr>
        <w:t>The Economics of the Warrant</w:t>
      </w:r>
    </w:p>
    <w:p w14:paraId="5367B067" w14:textId="77777777" w:rsidR="007519C6" w:rsidRDefault="00000000">
      <w:pPr>
        <w:spacing w:after="60"/>
        <w:ind w:firstLine="360"/>
        <w:jc w:val="both"/>
      </w:pPr>
      <w:r>
        <w:rPr>
          <w:color w:val="1A1A1A"/>
        </w:rPr>
        <w:lastRenderedPageBreak/>
        <w:t>The warrant is what makes venture debt work, and its economics deserve a closer look, because they explain why a strategy lending to companies with high failure rates can produce attractive returns. A venture debt portfolio earns its interest and fees on every loan, the twelve to fifteen percent that performing loans generate, but that income alone would not survive the loss rates the strategy experiences, because the failures, when they come, are near-total. A startup that runs out of money and cannot raise again often leaves little for even a senior lender, since the assets are intangible and the value was always in the prospect of growth rather than in anything that can be liquidated. The interest income covers the cost of the losses only partially. The warrant covers the rest, and then some, on the winners.</w:t>
      </w:r>
    </w:p>
    <w:p w14:paraId="4BE73729" w14:textId="77777777" w:rsidR="007519C6" w:rsidRDefault="00000000">
      <w:pPr>
        <w:spacing w:after="60"/>
        <w:ind w:firstLine="360"/>
        <w:jc w:val="both"/>
      </w:pPr>
      <w:r>
        <w:rPr>
          <w:color w:val="1A1A1A"/>
        </w:rPr>
        <w:t xml:space="preserve">The mechanism is asymmetric in the lender's favor when it works. The warrant gives the lender the right to buy equity at a fixed price, and on a company that fails the warrant is worthless, no worse than worthless, costing nothing beyond the loss already taken on the loan. But on a company that succeeds, that grows into a large private valuation or goes public, the warrant can be worth many multiples of the interest the loan ever earned, a small equity stake in a company that became valuable. A portfolio of venture loans is therefore a portfolio of bond-like income streams, most of which return their principal with interest, some of which default and lose nearly everything, and a few of which carry warrants that pay off spectacularly, and the math works only if the warrants on the winners produce enough to cover the losses on the failures and lift the whole portfolio's return above what the interest alone would deliver. This is why diversification is not optional in venture debt but structural. The lender cannot know in advance which companies will be the winners whose warrants carry the </w:t>
      </w:r>
      <w:r>
        <w:rPr>
          <w:color w:val="1A1A1A"/>
        </w:rPr>
        <w:lastRenderedPageBreak/>
        <w:t>portfolio, so it must hold enough positions that the winners are statistically certain to appear among them. A concentrated venture debt book is not a venture debt strategy. It is a series of binary bets, and the venture debt model depends precisely on not making those bets one at a time.</w:t>
      </w:r>
    </w:p>
    <w:p w14:paraId="003BEE46" w14:textId="77777777" w:rsidR="007519C6" w:rsidRDefault="00000000">
      <w:pPr>
        <w:pStyle w:val="Heading2"/>
      </w:pPr>
      <w:r>
        <w:rPr>
          <w:color w:val="2E2E2E"/>
        </w:rPr>
        <w:t>What Silicon Valley Bank Revealed</w:t>
      </w:r>
    </w:p>
    <w:p w14:paraId="1630A6C2" w14:textId="77777777" w:rsidR="007519C6" w:rsidRDefault="00000000">
      <w:pPr>
        <w:spacing w:after="60"/>
        <w:ind w:firstLine="360"/>
        <w:jc w:val="both"/>
      </w:pPr>
      <w:r>
        <w:rPr>
          <w:color w:val="1A1A1A"/>
        </w:rPr>
        <w:t>The collapse of Silicon Valley Bank in March 2023 was, for venture debt, both a disruption and a revelation, and it is worth understanding because it illuminates the strategy and connects to this book's deepest theme. SVB had been the dominant venture debt lender and, more broadly, the central bank of the technology startup ecosystem, holding the deposits of thousands of venture-backed companies and the venture funds that backed them. Its failure was not, at root, a venture debt failure. It was a maturity-mismatch failure of exactly the kind this book has traced from the thrifts through 2008. SVB had taken in an enormous volume of deposits during the technology boom of 2020 and 2021, far more than it could lend, and had invested the surplus in long-dated fixed-rate securities when rates were low. When rates rose sharply, those securities lost value, and when the concentrated, sophisticated, interconnected depositor base, the startups and the venture funds, grew nervous and began to withdraw, the bank was forced to sell the securities at a loss to meet the outflows. The loss broke confidence, the withdrawals became a run conducted at the speed of group chats and wire transfers, and the bank failed in a matter of days, the fastest major bank run in history.</w:t>
      </w:r>
    </w:p>
    <w:p w14:paraId="637A2436" w14:textId="77777777" w:rsidR="007519C6" w:rsidRDefault="00000000">
      <w:pPr>
        <w:spacing w:after="60"/>
        <w:ind w:firstLine="360"/>
        <w:jc w:val="both"/>
      </w:pPr>
      <w:r>
        <w:rPr>
          <w:color w:val="1A1A1A"/>
        </w:rPr>
        <w:t xml:space="preserve">The episode revealed two things relevant to this book. The first is that the maturity mismatch is the oldest and most reliable hazard in finance, and that </w:t>
      </w:r>
      <w:r>
        <w:rPr>
          <w:color w:val="1A1A1A"/>
        </w:rPr>
        <w:lastRenderedPageBreak/>
        <w:t>even an institution at the center of the most sophisticated technology economy in the world was destroyed by the same arithmetic that broke the savings and loans forty years earlier. Borrow short, lend or invest long, and pray the funding does not run. The second, more specific to venture debt, is that the strategy had become dangerously concentrated in a single provider, and that the provider's failure created both a crisis and an opportunity. The crisis was the disruption to the startups that banked with SVB and the venture debt that it had provided. The opportunity fell to the other lenders, the private credit funds and the specialists, who stepped into the gap that SVB's failure opened, on terms that reflected the sudden scarcity of capital and the borrowers' lack of alternatives. The pattern is the one this book has chronicled at every turn. A maturity-mismatched lender fails in a stress, and the patient, differently-funded capital that lent steadily through the panic inherits the territory.</w:t>
      </w:r>
    </w:p>
    <w:p w14:paraId="5FCC1B9D" w14:textId="77777777" w:rsidR="007519C6" w:rsidRDefault="00000000">
      <w:pPr>
        <w:pStyle w:val="Heading2"/>
      </w:pPr>
      <w:r>
        <w:rPr>
          <w:color w:val="2E2E2E"/>
        </w:rPr>
        <w:t>Players and Who Should Own It</w:t>
      </w:r>
    </w:p>
    <w:p w14:paraId="344C4CF3" w14:textId="77777777" w:rsidR="007519C6" w:rsidRDefault="00000000">
      <w:pPr>
        <w:spacing w:after="60"/>
        <w:ind w:firstLine="360"/>
        <w:jc w:val="both"/>
      </w:pPr>
      <w:r>
        <w:rPr>
          <w:color w:val="1A1A1A"/>
        </w:rPr>
        <w:t xml:space="preserve">With SVB gone, the venture debt market is served by a mix of specialized lenders, the banks that remain active in the technology sector, and the venture-lending arms of larger credit platforms, a more fragmented landscape than the SVB era's. Venture debt suits the investor who understands the venture ecosystem and can tolerate its particular risk profile, the high loss rates offset by warrant upside, the dependence on the continued flow of venture equity to refinance the loans, the concentration of returns in a few winners. It is emphatically a specialist's strategy, not a generalist's, because the underwriting turns on judgments, about the quality of the venture backers, the durability of the product, the probability of the next round, that a credit analyst trained on </w:t>
      </w:r>
      <w:r>
        <w:rPr>
          <w:color w:val="1A1A1A"/>
        </w:rPr>
        <w:lastRenderedPageBreak/>
        <w:t>cash-flow lending is not equipped to make. The investor who accesses it through a skilled specialist with a diversified book and a track record across a venture cycle can earn an attractive, genuinely differentiated return. The investor who reaches for the yield without the specialization, or who allows the book to concentrate, is making binary bets on individual startups, which is not investing in venture debt but gambling on it, and the distinction, as the chapter has said, tends to reveal itself at exactly the wrong moment.</w:t>
      </w:r>
    </w:p>
    <w:p w14:paraId="6E30C3DE" w14:textId="77777777" w:rsidR="007519C6" w:rsidRDefault="00000000">
      <w:r>
        <w:br w:type="page"/>
      </w:r>
    </w:p>
    <w:p w14:paraId="5FD70153" w14:textId="77777777" w:rsidR="007519C6" w:rsidRDefault="00000000">
      <w:pPr>
        <w:pStyle w:val="Heading1"/>
      </w:pPr>
      <w:r>
        <w:lastRenderedPageBreak/>
        <w:t>Chapter 14: Private Credit and the AI Build-Out</w:t>
      </w:r>
    </w:p>
    <w:p w14:paraId="565AB9B9" w14:textId="77777777" w:rsidR="007519C6" w:rsidRDefault="00000000">
      <w:pPr>
        <w:spacing w:after="60"/>
        <w:jc w:val="both"/>
      </w:pPr>
      <w:r>
        <w:rPr>
          <w:color w:val="1A1A1A"/>
        </w:rPr>
        <w:t>Somewhere in the desert outside Phoenix, or in rural Louisiana, or on a reclaimed industrial site in Ohio, a building is going up that will cost more than a skyscraper and contain almost no people. It is a data center, and it is being built to house the graphics processors that train and run artificial intelligence. The capital required to build it, and the tens of thousands like it now planned or under construction, is staggering, and a large and growing share of that capital is debt. Much of that debt runs through the private credit market. This is, right now, the single largest new lending opportunity the asset class has seen, and quite possibly its single largest concentration of risk. It deserves a chapter of its own, separate from the macro discussion that closes this book, because the question here is narrower and more practical. How does private credit actually fund the AI build, and what is it lending against?</w:t>
      </w:r>
    </w:p>
    <w:p w14:paraId="7193CF9C" w14:textId="77777777" w:rsidR="007519C6" w:rsidRDefault="00000000">
      <w:pPr>
        <w:pStyle w:val="Heading2"/>
      </w:pPr>
      <w:r>
        <w:rPr>
          <w:color w:val="2E2E2E"/>
        </w:rPr>
        <w:t>What Is Actually Being Financed</w:t>
      </w:r>
    </w:p>
    <w:p w14:paraId="4E9098F8" w14:textId="77777777" w:rsidR="007519C6" w:rsidRDefault="00000000">
      <w:pPr>
        <w:spacing w:after="60"/>
        <w:ind w:firstLine="360"/>
        <w:jc w:val="both"/>
      </w:pPr>
      <w:r>
        <w:rPr>
          <w:color w:val="1A1A1A"/>
        </w:rPr>
        <w:t xml:space="preserve">Strip away the headlines and the AI build resolves into four distinct things that need financing, each with a different risk profile. There is the real estate itself, the land and the shell of the building. There is the power, which has become the binding constraint, the substations and transmission and increasingly the dedicated generation needed to feed a facility that can draw as much electricity as a small city. There is the equipment inside, above all the processors, which are extraordinarily expensive, depreciate fast, and may or may not hold their value as new generations arrive. And there is the operating business that ties it together, the company that signs the leases, runs the facility, and collects the </w:t>
      </w:r>
      <w:r>
        <w:rPr>
          <w:color w:val="1A1A1A"/>
        </w:rPr>
        <w:lastRenderedPageBreak/>
        <w:t>revenue. A private credit lender can finance any of these, and the prudent ones think hard about which they are actually lending against, because the four are not equally safe.</w:t>
      </w:r>
    </w:p>
    <w:p w14:paraId="1C494155" w14:textId="77777777" w:rsidR="007519C6" w:rsidRDefault="00000000">
      <w:pPr>
        <w:spacing w:after="60"/>
        <w:ind w:firstLine="360"/>
        <w:jc w:val="both"/>
      </w:pPr>
      <w:r>
        <w:rPr>
          <w:color w:val="1A1A1A"/>
        </w:rPr>
        <w:t>The cleanest credit in the whole arrangement is a data center leased on a long-term contract to one of the hyperscalers, the handful of technology giants with the balance sheets to back a fifteen-year commitment. Lend against that and you are essentially lending against the credit of a company that could repay you many times over, secured by a real building, with contracted cash flow. That is good business, and it prices accordingly. The trouble starts as you move away from that anchor. A facility leased to a younger AI company whose own revenue is unproven is a weaker proposition. A facility built speculatively, on the bet that a tenant will appear, is weaker still. And financing the processors themselves, the chips, is its own peculiar problem, because a graphics processor is not a building. It is a fast-depreciating piece of technology that a competitor may render second-rate in two years, and a lender advancing against a stack of them is making a bet on residual values in a market that barely has a history.</w:t>
      </w:r>
    </w:p>
    <w:p w14:paraId="415C082F" w14:textId="77777777" w:rsidR="007519C6" w:rsidRDefault="00000000">
      <w:pPr>
        <w:pStyle w:val="Heading2"/>
      </w:pPr>
      <w:r>
        <w:rPr>
          <w:color w:val="2E2E2E"/>
        </w:rPr>
        <w:t>The Shapes the Lending Takes</w:t>
      </w:r>
    </w:p>
    <w:p w14:paraId="02B2D6A8" w14:textId="77777777" w:rsidR="007519C6" w:rsidRDefault="00000000">
      <w:pPr>
        <w:spacing w:after="60"/>
        <w:ind w:firstLine="360"/>
        <w:jc w:val="both"/>
      </w:pPr>
      <w:r>
        <w:rPr>
          <w:color w:val="1A1A1A"/>
        </w:rPr>
        <w:t xml:space="preserve">The financing arrives in several forms, and they map onto the strategies this book has already covered, which is part of why private credit was positioned to seize the opportunity. Data center construction is project finance and real estate credit, the long-dated, contract-backed lending described in the infrastructure chapter, complete with its waterfalls and reserve accounts and offtake agreements. The processors are financed through equipment finance and asset-based lending, advanced against the hardware as collateral, sometimes bundled </w:t>
      </w:r>
      <w:r>
        <w:rPr>
          <w:color w:val="1A1A1A"/>
        </w:rPr>
        <w:lastRenderedPageBreak/>
        <w:t>into structures that look a great deal like the asset-backed facilities described earlier. The operating companies, including the so-called neoclouds, the new specialized providers renting out AI compute, borrow through direct lending and more bespoke structures, often with the chips and the customer contracts pledged as security. And the power infrastructure draws on the full toolkit of energy and infrastructure finance. A single large data center campus might be funded by a stack that includes a construction loan, an equipment facility, a corporate loan to the operator, and project financing for the power, several private credit strategies layered into one physical asset.</w:t>
      </w:r>
    </w:p>
    <w:p w14:paraId="21E1ADDF" w14:textId="77777777" w:rsidR="007519C6" w:rsidRDefault="00000000">
      <w:pPr>
        <w:spacing w:after="60"/>
        <w:ind w:firstLine="360"/>
        <w:jc w:val="both"/>
      </w:pPr>
      <w:r>
        <w:rPr>
          <w:color w:val="1A1A1A"/>
        </w:rPr>
        <w:t>That layering should set off a small alarm for anyone who has read this far, because it is the shadow-leverage pattern again, dressed in fiber and concrete. The same campus may carry borrower leverage at the operator, fund leverage at the lenders, securitization where the loans are pooled, and insurance capital buying the senior pieces. If the demand that justifies the whole edifice falls short, the disappointment will not stay neatly contained in one loan. It will move through the stack. The chapter on what comes next develops this worry at the level of the system. Here it is enough to notice that the AI build is not a new kind of risk so much as a very large, very concentrated instance of a risk this book has been describing all along.</w:t>
      </w:r>
    </w:p>
    <w:p w14:paraId="69D7F863" w14:textId="77777777" w:rsidR="007519C6" w:rsidRDefault="00000000">
      <w:pPr>
        <w:pStyle w:val="Heading2"/>
      </w:pPr>
      <w:r>
        <w:rPr>
          <w:color w:val="2E2E2E"/>
        </w:rPr>
        <w:t>The Question Under All of It</w:t>
      </w:r>
    </w:p>
    <w:p w14:paraId="1D60DD89" w14:textId="77777777" w:rsidR="007519C6" w:rsidRDefault="00000000">
      <w:pPr>
        <w:spacing w:after="60"/>
        <w:ind w:firstLine="360"/>
        <w:jc w:val="both"/>
      </w:pPr>
      <w:r>
        <w:rPr>
          <w:color w:val="1A1A1A"/>
        </w:rPr>
        <w:t xml:space="preserve">Every lender in this market is making, whether they admit it or not, a judgment about demand. Will the need for AI compute keep growing fast enough, for long enough, to fill the capacity now being built and to generate the revenue that services all this debt? If yes, the lending is sound and the returns are </w:t>
      </w:r>
      <w:r>
        <w:rPr>
          <w:color w:val="1A1A1A"/>
        </w:rPr>
        <w:lastRenderedPageBreak/>
        <w:t>excellent. If the growth slows, or arrives later than the capital expenditure assumes, or the revenue models of the AI companies prove thinner than their valuations imply, then an enormous quantity of debt will have been advanced against buildings full of depreciating chips that nobody needs as urgently as the underwriting assumed. I have watched this movie before, and so has anyone who was paying attention in 2001. The fiber-optic build of the late 1990s was right about the destination, the internet really did need all that capacity, eventually, and catastrophically wrong about the timing, which is what bankrupted WorldCom and Global Crossing and took the leveraged credit market down with them. The infrastructure was real. The demand, on the schedule the debt required, was not.</w:t>
      </w:r>
    </w:p>
    <w:p w14:paraId="281F9601" w14:textId="77777777" w:rsidR="007519C6" w:rsidRDefault="00000000">
      <w:pPr>
        <w:spacing w:after="60"/>
        <w:ind w:firstLine="360"/>
        <w:jc w:val="both"/>
      </w:pPr>
      <w:r>
        <w:rPr>
          <w:color w:val="1A1A1A"/>
        </w:rPr>
        <w:t>I am not predicting that outcome for AI, and it would be irresponsible to pretend I can. The demand may well be real and durable, in which case this will look in hindsight like the most obvious lending opportunity of the decade. The honest position is the uncomfortable one. Nobody knows, the range of outcomes is genuinely wide, and the discipline that matters is the same as always. Underwrite the contract you actually have, not the future you hope for. Distinguish the hyperscaler lease from the speculative bet. Treat the chips as the depreciating assets they are. And size the exposure remembering that the campus you are financing is one node in a leverage stack you cannot fully see. The lenders who do that will be fine whatever happens. The ones who underwrote a permanent boom will find out, as their predecessors did, that the most expensive words in credit are this time is different.</w:t>
      </w:r>
    </w:p>
    <w:p w14:paraId="5ECA77E8" w14:textId="77777777" w:rsidR="007519C6" w:rsidRDefault="00000000">
      <w:r>
        <w:br w:type="page"/>
      </w:r>
    </w:p>
    <w:p w14:paraId="1866ED6E" w14:textId="77777777" w:rsidR="007519C6" w:rsidRDefault="00000000">
      <w:pPr>
        <w:spacing w:before="2400" w:after="120"/>
        <w:jc w:val="center"/>
      </w:pPr>
      <w:r>
        <w:rPr>
          <w:b/>
          <w:bCs/>
          <w:color w:val="B9933E"/>
          <w:spacing w:val="60"/>
          <w:sz w:val="40"/>
          <w:szCs w:val="40"/>
        </w:rPr>
        <w:lastRenderedPageBreak/>
        <w:t>PART III</w:t>
      </w:r>
    </w:p>
    <w:p w14:paraId="3FAF48E3" w14:textId="77777777" w:rsidR="007519C6" w:rsidRDefault="00000000">
      <w:pPr>
        <w:spacing w:after="240"/>
        <w:jc w:val="center"/>
      </w:pPr>
      <w:r>
        <w:rPr>
          <w:color w:val="1F3A5F"/>
          <w:sz w:val="38"/>
          <w:szCs w:val="38"/>
        </w:rPr>
        <w:t>Securitization and Structured Credit</w:t>
      </w:r>
    </w:p>
    <w:p w14:paraId="428C0195" w14:textId="77777777" w:rsidR="007519C6" w:rsidRDefault="00000000">
      <w:pPr>
        <w:spacing w:before="120" w:after="200" w:line="320" w:lineRule="auto"/>
        <w:ind w:left="900" w:right="900"/>
        <w:jc w:val="center"/>
      </w:pPr>
      <w:r>
        <w:rPr>
          <w:i/>
          <w:iCs/>
          <w:color w:val="33414F"/>
          <w:sz w:val="22"/>
          <w:szCs w:val="22"/>
        </w:rPr>
        <w:t>How a loan becomes a security, the structures that endured, and the ones that did not.</w:t>
      </w:r>
    </w:p>
    <w:p w14:paraId="10259829" w14:textId="77777777" w:rsidR="007519C6" w:rsidRDefault="00000000">
      <w:r>
        <w:br w:type="page"/>
      </w:r>
    </w:p>
    <w:p w14:paraId="0D4B0702" w14:textId="77777777" w:rsidR="007519C6" w:rsidRDefault="00000000">
      <w:pPr>
        <w:pStyle w:val="Heading1"/>
      </w:pPr>
      <w:r>
        <w:lastRenderedPageBreak/>
        <w:t>Chapter 15: The Securitization Machine</w:t>
      </w:r>
    </w:p>
    <w:p w14:paraId="12588E5A" w14:textId="77777777" w:rsidR="007519C6" w:rsidRDefault="00000000">
      <w:pPr>
        <w:spacing w:after="60"/>
        <w:jc w:val="both"/>
      </w:pPr>
      <w:r>
        <w:rPr>
          <w:color w:val="1A1A1A"/>
        </w:rPr>
        <w:t>Before the CLO, the asset-backed bond, the mortgage security, and the structures that failed, there is one machine underneath all of them. It is worth understanding once, on its own, because every chapter in this part is a variation on it, and the variations make more sense once you have seen the thing they vary. The machine does four things. It gathers a pool of assets that produce cash. It walls that pool off from whoever assembled it. It slices the pool's cash into layers of different safety. And it sells the layers to investors who want different things. Gather, isolate, tranche, distribute. Everything else is detail, and the detail, as the rest of this part will show, is where the danger lives.</w:t>
      </w:r>
    </w:p>
    <w:p w14:paraId="6A59D621" w14:textId="77777777" w:rsidR="007519C6" w:rsidRDefault="00000000">
      <w:pPr>
        <w:pStyle w:val="Heading2"/>
      </w:pPr>
      <w:r>
        <w:rPr>
          <w:color w:val="2E2E2E"/>
        </w:rPr>
        <w:t>The SPV and the True Sale</w:t>
      </w:r>
    </w:p>
    <w:p w14:paraId="13789C1D" w14:textId="77777777" w:rsidR="007519C6" w:rsidRDefault="00000000">
      <w:pPr>
        <w:spacing w:after="60"/>
        <w:ind w:firstLine="360"/>
        <w:jc w:val="both"/>
      </w:pPr>
      <w:r>
        <w:rPr>
          <w:color w:val="1A1A1A"/>
        </w:rPr>
        <w:t>The foundation of the whole structure is a legal act, not a financial one. The assets, a pool of loans, mortgages, receivables, royalties, anything that pays predictably, are sold by the firm that originated them into a separate legal entity created for the sole purpose of holding them. That entity goes by various names, special purpose vehicle, special purpose entity, issuer, but its defining feature never changes. It is bankruptcy-remote. It exists so that the assets inside it are legally separate from the firm that created it, and so that if that firm fails, its creditors cannot reach into the vehicle and seize the pool.</w:t>
      </w:r>
    </w:p>
    <w:p w14:paraId="1509BC23" w14:textId="77777777" w:rsidR="007519C6" w:rsidRDefault="00000000">
      <w:pPr>
        <w:spacing w:after="60"/>
        <w:ind w:firstLine="360"/>
        <w:jc w:val="both"/>
      </w:pPr>
      <w:r>
        <w:rPr>
          <w:color w:val="1A1A1A"/>
        </w:rPr>
        <w:t xml:space="preserve">This is what the jargon calls a true sale, and it is the hinge the entire edifice turns on. An investor who buys a security issued by the vehicle is taking exposure to the assets in the pool and to nothing else. Not to the health of the bank that made the loans, not to the fortunes of the manager that assembles them, only to whether the loans in the pool pay. That separation is precisely what makes the </w:t>
      </w:r>
      <w:r>
        <w:rPr>
          <w:color w:val="1A1A1A"/>
        </w:rPr>
        <w:lastRenderedPageBreak/>
        <w:t>structure useful. It lets a weak originator issue strong securities, because the securities stand on the assets rather than on the originator. It lets an investor analyze a defined pool instead of an entire company. And it is the reason, as a later chapter shows, that the CLO could keep paying its investors straight through the failure of firms all around it. The vehicle did not care who had assembled it. It cared only what was inside.</w:t>
      </w:r>
    </w:p>
    <w:p w14:paraId="318335A6" w14:textId="77777777" w:rsidR="007519C6" w:rsidRDefault="00000000">
      <w:pPr>
        <w:pStyle w:val="Heading2"/>
      </w:pPr>
      <w:r>
        <w:rPr>
          <w:color w:val="2E2E2E"/>
        </w:rPr>
        <w:t>Tranching and the Waterfall</w:t>
      </w:r>
    </w:p>
    <w:p w14:paraId="11ADFE38" w14:textId="77777777" w:rsidR="007519C6" w:rsidRDefault="00000000">
      <w:pPr>
        <w:spacing w:after="60"/>
        <w:ind w:firstLine="360"/>
        <w:jc w:val="both"/>
      </w:pPr>
      <w:r>
        <w:rPr>
          <w:color w:val="1A1A1A"/>
        </w:rPr>
        <w:t>Isolation makes the pool safe to analyze. Tranching is what turns one pool into many securities. Rather than sell undivided shares of the pool, the structure issues a stack of claims with a strict order of priority, and that order is everything.</w:t>
      </w:r>
    </w:p>
    <w:p w14:paraId="5AFE66CF" w14:textId="77777777" w:rsidR="007519C6" w:rsidRDefault="00000000">
      <w:pPr>
        <w:spacing w:after="60"/>
        <w:ind w:firstLine="360"/>
        <w:jc w:val="both"/>
      </w:pPr>
      <w:r>
        <w:rPr>
          <w:color w:val="1A1A1A"/>
        </w:rPr>
        <w:t>Picture the cash the pool throws off, the interest and principal the underlying loans pay, as water flowing down a series of steps. The top step is the senior tranche, usually rated triple-A. It is paid first, in full, before anything below it receives a dollar. Below it sit the mezzanine tranches, rated down the scale from double-A to double-B, each paid in turn only after the step above it has been satisfied. At the very bottom sits the equity, paid last, out of whatever remains once every tranche above it has taken its share. That is the waterfall, and it runs in both directions. Cash flows down it from the top. Losses flow up it from the bottom. When loans in the pool default, the equity absorbs the damage first, then the lowest mezzanine tranche, and only after all of them are exhausted does the loss ever reach the senior notes.</w:t>
      </w:r>
    </w:p>
    <w:p w14:paraId="6CBB0370" w14:textId="77777777" w:rsidR="007519C6" w:rsidRDefault="00000000">
      <w:pPr>
        <w:spacing w:after="60"/>
        <w:ind w:firstLine="360"/>
        <w:jc w:val="both"/>
      </w:pPr>
      <w:r>
        <w:rPr>
          <w:color w:val="1A1A1A"/>
        </w:rPr>
        <w:t xml:space="preserve">This is how a pool of risky assets manufactures a safe claim. The senior tranche is not safe because the underlying loans are safe. They are not. It is safe because everything beneath it has agreed to lose money first, and there is enough </w:t>
      </w:r>
      <w:r>
        <w:rPr>
          <w:color w:val="1A1A1A"/>
        </w:rPr>
        <w:lastRenderedPageBreak/>
        <w:t>beneath it that the loans would have to default in extraordinary numbers before the losses climbed all the way to the top. The amount of cushion under the senior tranche, the combined thickness of all the layers between it and the first dollar of loss, is the single most important number in the structure. Size it generously and the senior claim is genuinely robust. Size it thin, or size it against the wrong assumptions about how the pool will behave, and the triple-A is a promise the structure cannot keep.</w:t>
      </w:r>
    </w:p>
    <w:p w14:paraId="5D7FE3A2" w14:textId="77777777" w:rsidR="007519C6" w:rsidRDefault="00000000">
      <w:pPr>
        <w:pStyle w:val="Heading2"/>
      </w:pPr>
      <w:r>
        <w:rPr>
          <w:color w:val="2E2E2E"/>
        </w:rPr>
        <w:t>Credit Enhancement</w:t>
      </w:r>
    </w:p>
    <w:p w14:paraId="0E4CB91D" w14:textId="77777777" w:rsidR="007519C6" w:rsidRDefault="00000000">
      <w:pPr>
        <w:spacing w:after="60"/>
        <w:ind w:firstLine="360"/>
        <w:jc w:val="both"/>
      </w:pPr>
      <w:r>
        <w:rPr>
          <w:color w:val="1A1A1A"/>
        </w:rPr>
        <w:t>The cushion beneath the senior tranche is built from a handful of tools that go collectively by the name credit enhancement. The first and most important is subordination, which is simply the layering just described. Every tranche below the senior note is a buffer, and the more of them there are, the more protected the top is.</w:t>
      </w:r>
    </w:p>
    <w:p w14:paraId="3066394B" w14:textId="77777777" w:rsidR="007519C6" w:rsidRDefault="00000000">
      <w:pPr>
        <w:spacing w:after="60"/>
        <w:ind w:firstLine="360"/>
        <w:jc w:val="both"/>
      </w:pPr>
      <w:r>
        <w:rPr>
          <w:color w:val="1A1A1A"/>
        </w:rPr>
        <w:t>The others reinforce it. Overcollateralization puts more assets in the pool than there are liabilities to pay, so the pool can lose some of its value and still cover the notes, and the structured market polices this with coverage tests that measure, continuously, whether enough collateral remains. Excess spread is the gap between what the pool earns and what the notes cost, and when the structure traps that gap rather than paying it out, it becomes a first line of defense that absorbs losses before any tranche is touched. Reserve accounts set cash aside at the start for the same purpose. Each of these does the same job from a different angle, building height between the senior claim and the first loss.</w:t>
      </w:r>
    </w:p>
    <w:p w14:paraId="5CB0CF15" w14:textId="77777777" w:rsidR="007519C6" w:rsidRDefault="00000000">
      <w:pPr>
        <w:spacing w:after="60"/>
        <w:ind w:firstLine="360"/>
        <w:jc w:val="both"/>
      </w:pPr>
      <w:r>
        <w:rPr>
          <w:color w:val="1A1A1A"/>
        </w:rPr>
        <w:t xml:space="preserve">The thing to hold onto is that every one of these protections is only as good as the assumptions behind it. The cushion is sized by a model, and the model </w:t>
      </w:r>
      <w:r>
        <w:rPr>
          <w:color w:val="1A1A1A"/>
        </w:rPr>
        <w:lastRenderedPageBreak/>
        <w:t>rests on estimates, how often the assets will default, how much will be recovered when they do, and above all how correlated the defaults will be with one another. Get those estimates right and the enhancement is real. Get them wrong, the correlation most of all, and the cushion that looked thick on the spreadsheet turns out to be thin in the world. That gap between the modeled cushion and the real one is the whole story of the structures that failed, and it is worth carrying into every chapter that follows.</w:t>
      </w:r>
    </w:p>
    <w:p w14:paraId="0605347F" w14:textId="77777777" w:rsidR="007519C6" w:rsidRDefault="00000000">
      <w:pPr>
        <w:pStyle w:val="Heading2"/>
      </w:pPr>
      <w:r>
        <w:rPr>
          <w:color w:val="2E2E2E"/>
        </w:rPr>
        <w:t>The Rating and Its Limits</w:t>
      </w:r>
    </w:p>
    <w:p w14:paraId="10BB93C7" w14:textId="77777777" w:rsidR="007519C6" w:rsidRDefault="00000000">
      <w:pPr>
        <w:spacing w:after="60"/>
        <w:ind w:firstLine="360"/>
        <w:jc w:val="both"/>
      </w:pPr>
      <w:r>
        <w:rPr>
          <w:color w:val="1A1A1A"/>
        </w:rPr>
        <w:t>One more piece completes the machine, and it is the one that let it grow to the size it did. Almost no investor can independently analyze a pool of two hundred loans or several thousand mortgages. The rating agency does it for them. It assigns a letter grade to each tranche, triple-A down to the unrated equity, and that grade is a portable judgment that lets capital flow into complex instruments without every buyer rebuilding the analysis from scratch. An insurer that cannot model a CLO can still know, from the rating, roughly where a given tranche sits on the spectrum of safety. The rating is the interface between a complicated structure and a market too large to examine it loan by loan.</w:t>
      </w:r>
    </w:p>
    <w:p w14:paraId="0720F025" w14:textId="77777777" w:rsidR="007519C6" w:rsidRDefault="00000000">
      <w:pPr>
        <w:spacing w:after="60"/>
        <w:ind w:firstLine="360"/>
        <w:jc w:val="both"/>
      </w:pPr>
      <w:r>
        <w:rPr>
          <w:color w:val="1A1A1A"/>
        </w:rPr>
        <w:t xml:space="preserve">That convenience is real, and so is its danger, and the rest of this part depends on holding both in view. A rating is a model's opinion, and a model is calibrated on the past. When the past contains the scenario that actually arrives, the rating is informative. When it does not, the rating is a number dressed as a fact. The structured products that carried triple-A ratings in 2006 and were worth a fraction of par two years later were not the victims of bad luck. They were the product of models calibrated on a history that had never included a nationwide </w:t>
      </w:r>
      <w:r>
        <w:rPr>
          <w:color w:val="1A1A1A"/>
        </w:rPr>
        <w:lastRenderedPageBreak/>
        <w:t>fall in house prices, rating a future that delivered exactly that. The post-crisis reforms tried to address the worst of it, with more transparency, fewer of the conflicts that came from the issuer paying for the rating, and less regulation that mechanically deferred to the letter grade. The improvements were genuine. But the deepest limit did not go away, because it cannot. A rating compresses an uncertain future into a single symbol, and the symbol is only ever as good as the assumptions used to produce it. Trust it as a summary. Do not mistake it for the analysis. That distinction is the thread running through every cautionary tale in the chapters ahead.</w:t>
      </w:r>
    </w:p>
    <w:p w14:paraId="15A96D6C" w14:textId="77777777" w:rsidR="007519C6" w:rsidRDefault="00000000">
      <w:r>
        <w:br w:type="page"/>
      </w:r>
    </w:p>
    <w:p w14:paraId="1FD781A2" w14:textId="77777777" w:rsidR="007519C6" w:rsidRDefault="00000000">
      <w:pPr>
        <w:pStyle w:val="Heading1"/>
      </w:pPr>
      <w:r>
        <w:lastRenderedPageBreak/>
        <w:t>Chapter 16: The Collateralized Loan Obligation</w:t>
      </w:r>
    </w:p>
    <w:p w14:paraId="2994DC93" w14:textId="77777777" w:rsidR="007519C6" w:rsidRDefault="00000000">
      <w:pPr>
        <w:spacing w:after="60"/>
        <w:jc w:val="both"/>
      </w:pPr>
      <w:r>
        <w:rPr>
          <w:color w:val="1A1A1A"/>
        </w:rPr>
        <w:t>The collateralized loan obligation is a simple idea executed with real complexity. A manager assembles a diversified portfolio of leveraged loans and finances it by issuing a stack of securities, from a senior tranche paid first and protected most to an equity tranche paid last and exposed first, with rated mezzanine layers in between. The tranching is common to all structured finance. What makes the CLO the most durable and most trusted vehicle in the structured market is a combination of three features the crisis-era CDO lacked. Active management. Funding that cannot be pulled overnight. And a system of coverage tests that quietly protects the senior investor when the portfolio weakens.</w:t>
      </w:r>
    </w:p>
    <w:p w14:paraId="4EDEBA22" w14:textId="77777777" w:rsidR="007519C6" w:rsidRDefault="00000000">
      <w:pPr>
        <w:spacing w:after="60"/>
        <w:ind w:firstLine="360"/>
        <w:jc w:val="both"/>
      </w:pPr>
      <w:r>
        <w:rPr>
          <w:color w:val="1A1A1A"/>
        </w:rPr>
        <w:t>CLOs hold roughly two-thirds of the outstanding leveraged loan market and exceed a trillion dollars in the United States alone. They are at once an investment vehicle, offering everything from bank-suitable senior paper to equity with private-equity-like return, and a piece of market infrastructure, providing the steady bid for loans that makes corporate borrowing and buyout financing possible. To understand the modern loan market is to understand the CLO.</w:t>
      </w:r>
    </w:p>
    <w:p w14:paraId="5197962C" w14:textId="77777777" w:rsidR="007519C6" w:rsidRDefault="00000000">
      <w:pPr>
        <w:pStyle w:val="Heading2"/>
      </w:pPr>
      <w:r>
        <w:rPr>
          <w:color w:val="2E2E2E"/>
        </w:rPr>
        <w:t>Anatomy</w:t>
      </w:r>
    </w:p>
    <w:p w14:paraId="3F68FE6F" w14:textId="77777777" w:rsidR="007519C6" w:rsidRDefault="00000000">
      <w:pPr>
        <w:pStyle w:val="Heading3"/>
      </w:pPr>
      <w:r>
        <w:rPr>
          <w:color w:val="2E2E2E"/>
        </w:rPr>
        <w:t>The collateral</w:t>
      </w:r>
    </w:p>
    <w:p w14:paraId="39F5CA1B" w14:textId="77777777" w:rsidR="007519C6" w:rsidRDefault="00000000">
      <w:pPr>
        <w:spacing w:after="60"/>
        <w:ind w:firstLine="360"/>
        <w:jc w:val="both"/>
      </w:pPr>
      <w:r>
        <w:rPr>
          <w:color w:val="1A1A1A"/>
        </w:rPr>
        <w:t xml:space="preserve">The manager builds a portfolio of 150 to 300 senior secured loans to below-investment-grade companies, governed by eligibility and concentration rules written into the indenture. A ceiling on average credit risk. Single-obligor limits in the low single digits. Industry limits, a cap on the lowest-rated holdings, a minimum weighted-average spread, and a limit on weighted-average life. The </w:t>
      </w:r>
      <w:r>
        <w:rPr>
          <w:color w:val="1A1A1A"/>
        </w:rPr>
        <w:lastRenderedPageBreak/>
        <w:t>rules exist to keep the pool diversified and to keep its quality from drifting, and they are tested continuously.</w:t>
      </w:r>
    </w:p>
    <w:p w14:paraId="25574939" w14:textId="77777777" w:rsidR="007519C6" w:rsidRDefault="00000000">
      <w:pPr>
        <w:pStyle w:val="Heading3"/>
      </w:pPr>
      <w:r>
        <w:rPr>
          <w:color w:val="2E2E2E"/>
        </w:rPr>
        <w:t>The capital structure</w:t>
      </w:r>
    </w:p>
    <w:p w14:paraId="20A0DA43" w14:textId="77777777" w:rsidR="007519C6" w:rsidRDefault="00000000">
      <w:pPr>
        <w:spacing w:after="60"/>
        <w:ind w:firstLine="360"/>
        <w:jc w:val="both"/>
      </w:pPr>
      <w:r>
        <w:rPr>
          <w:color w:val="1A1A1A"/>
        </w:rPr>
        <w:t>Against that pool the CLO issues tranches from AAA down to BB, plus unrated equity. Each is defined by its priority, its credit enhancement, and its expected return.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73"/>
        <w:gridCol w:w="1446"/>
        <w:gridCol w:w="1490"/>
        <w:gridCol w:w="1760"/>
        <w:gridCol w:w="2129"/>
      </w:tblGrid>
      <w:tr w:rsidR="007519C6" w14:paraId="6A7E7768" w14:textId="77777777">
        <w:tblPrEx>
          <w:tblCellMar>
            <w:top w:w="0" w:type="dxa"/>
            <w:bottom w:w="0" w:type="dxa"/>
          </w:tblCellMar>
        </w:tblPrEx>
        <w:trPr>
          <w:tblHeader/>
        </w:trPr>
        <w:tc>
          <w:tcPr>
            <w:tcW w:w="138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5E20BEA" w14:textId="77777777" w:rsidR="007519C6" w:rsidRDefault="00000000">
            <w:r>
              <w:rPr>
                <w:b/>
                <w:bCs/>
                <w:color w:val="FFFFFF"/>
                <w:sz w:val="20"/>
                <w:szCs w:val="20"/>
              </w:rPr>
              <w:t>Tranche</w:t>
            </w:r>
          </w:p>
        </w:tc>
        <w:tc>
          <w:tcPr>
            <w:tcW w:w="178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BEFE619" w14:textId="77777777" w:rsidR="007519C6" w:rsidRDefault="00000000">
            <w:r>
              <w:rPr>
                <w:b/>
                <w:bCs/>
                <w:color w:val="FFFFFF"/>
                <w:sz w:val="20"/>
                <w:szCs w:val="20"/>
              </w:rPr>
              <w:t>Share</w:t>
            </w:r>
          </w:p>
        </w:tc>
        <w:tc>
          <w:tcPr>
            <w:tcW w:w="178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1D5B41F9" w14:textId="77777777" w:rsidR="007519C6" w:rsidRDefault="00000000">
            <w:r>
              <w:rPr>
                <w:b/>
                <w:bCs/>
                <w:color w:val="FFFFFF"/>
                <w:sz w:val="20"/>
                <w:szCs w:val="20"/>
              </w:rPr>
              <w:t>Spread</w:t>
            </w:r>
          </w:p>
        </w:tc>
        <w:tc>
          <w:tcPr>
            <w:tcW w:w="178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0FEAEB8" w14:textId="77777777" w:rsidR="007519C6" w:rsidRDefault="00000000">
            <w:r>
              <w:rPr>
                <w:b/>
                <w:bCs/>
                <w:color w:val="FFFFFF"/>
                <w:sz w:val="20"/>
                <w:szCs w:val="20"/>
              </w:rPr>
              <w:t>Subordination</w:t>
            </w:r>
          </w:p>
        </w:tc>
        <w:tc>
          <w:tcPr>
            <w:tcW w:w="26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581AAB3" w14:textId="77777777" w:rsidR="007519C6" w:rsidRDefault="00000000">
            <w:r>
              <w:rPr>
                <w:b/>
                <w:bCs/>
                <w:color w:val="FFFFFF"/>
                <w:sz w:val="20"/>
                <w:szCs w:val="20"/>
              </w:rPr>
              <w:t>Typical Buyers</w:t>
            </w:r>
          </w:p>
        </w:tc>
      </w:tr>
      <w:tr w:rsidR="007519C6" w14:paraId="79638142" w14:textId="77777777">
        <w:tblPrEx>
          <w:tblCellMar>
            <w:top w:w="0" w:type="dxa"/>
            <w:bottom w:w="0" w:type="dxa"/>
          </w:tblCellMar>
        </w:tblPrEx>
        <w:tc>
          <w:tcPr>
            <w:tcW w:w="13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0B7BD95" w14:textId="77777777" w:rsidR="007519C6" w:rsidRDefault="00000000">
            <w:r>
              <w:rPr>
                <w:b/>
                <w:bCs/>
                <w:color w:val="1A1A1A"/>
                <w:sz w:val="20"/>
                <w:szCs w:val="20"/>
              </w:rPr>
              <w:t>AAA</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3F0A6B6" w14:textId="77777777" w:rsidR="007519C6" w:rsidRDefault="00000000">
            <w:r>
              <w:rPr>
                <w:color w:val="1A1A1A"/>
                <w:sz w:val="20"/>
                <w:szCs w:val="20"/>
              </w:rPr>
              <w:t>61-65%</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2388D0C" w14:textId="77777777" w:rsidR="007519C6" w:rsidRDefault="00000000">
            <w:r>
              <w:rPr>
                <w:color w:val="1A1A1A"/>
                <w:sz w:val="20"/>
                <w:szCs w:val="20"/>
              </w:rPr>
              <w:t>110-140 bps</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E880C27" w14:textId="77777777" w:rsidR="007519C6" w:rsidRDefault="00000000">
            <w:r>
              <w:rPr>
                <w:color w:val="1A1A1A"/>
                <w:sz w:val="20"/>
                <w:szCs w:val="20"/>
              </w:rPr>
              <w:t>35-39%</w:t>
            </w:r>
          </w:p>
        </w:tc>
        <w:tc>
          <w:tcPr>
            <w:tcW w:w="26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4472BAE" w14:textId="77777777" w:rsidR="007519C6" w:rsidRDefault="00000000">
            <w:r>
              <w:rPr>
                <w:color w:val="1A1A1A"/>
                <w:sz w:val="20"/>
                <w:szCs w:val="20"/>
              </w:rPr>
              <w:t>Banks, insurers, ETFs</w:t>
            </w:r>
          </w:p>
        </w:tc>
      </w:tr>
      <w:tr w:rsidR="007519C6" w14:paraId="5BF92E36" w14:textId="77777777">
        <w:tblPrEx>
          <w:tblCellMar>
            <w:top w:w="0" w:type="dxa"/>
            <w:bottom w:w="0" w:type="dxa"/>
          </w:tblCellMar>
        </w:tblPrEx>
        <w:tc>
          <w:tcPr>
            <w:tcW w:w="13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962B304" w14:textId="77777777" w:rsidR="007519C6" w:rsidRDefault="00000000">
            <w:r>
              <w:rPr>
                <w:b/>
                <w:bCs/>
                <w:color w:val="1A1A1A"/>
                <w:sz w:val="20"/>
                <w:szCs w:val="20"/>
              </w:rPr>
              <w:t>AA</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A7A8BF9" w14:textId="77777777" w:rsidR="007519C6" w:rsidRDefault="00000000">
            <w:r>
              <w:rPr>
                <w:color w:val="1A1A1A"/>
                <w:sz w:val="20"/>
                <w:szCs w:val="20"/>
              </w:rPr>
              <w:t>8-12%</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A58C279" w14:textId="77777777" w:rsidR="007519C6" w:rsidRDefault="00000000">
            <w:r>
              <w:rPr>
                <w:color w:val="1A1A1A"/>
                <w:sz w:val="20"/>
                <w:szCs w:val="20"/>
              </w:rPr>
              <w:t>170-200 bps</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A296ED4" w14:textId="77777777" w:rsidR="007519C6" w:rsidRDefault="00000000">
            <w:r>
              <w:rPr>
                <w:color w:val="1A1A1A"/>
                <w:sz w:val="20"/>
                <w:szCs w:val="20"/>
              </w:rPr>
              <w:t>25-29%</w:t>
            </w:r>
          </w:p>
        </w:tc>
        <w:tc>
          <w:tcPr>
            <w:tcW w:w="26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28D90D0" w14:textId="77777777" w:rsidR="007519C6" w:rsidRDefault="00000000">
            <w:r>
              <w:rPr>
                <w:color w:val="1A1A1A"/>
                <w:sz w:val="20"/>
                <w:szCs w:val="20"/>
              </w:rPr>
              <w:t>Insurers, asset managers</w:t>
            </w:r>
          </w:p>
        </w:tc>
      </w:tr>
      <w:tr w:rsidR="007519C6" w14:paraId="5AE58CCE" w14:textId="77777777">
        <w:tblPrEx>
          <w:tblCellMar>
            <w:top w:w="0" w:type="dxa"/>
            <w:bottom w:w="0" w:type="dxa"/>
          </w:tblCellMar>
        </w:tblPrEx>
        <w:tc>
          <w:tcPr>
            <w:tcW w:w="13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16EC5BB" w14:textId="77777777" w:rsidR="007519C6" w:rsidRDefault="00000000">
            <w:r>
              <w:rPr>
                <w:b/>
                <w:bCs/>
                <w:color w:val="1A1A1A"/>
                <w:sz w:val="20"/>
                <w:szCs w:val="20"/>
              </w:rPr>
              <w:t>A</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1A450EE" w14:textId="77777777" w:rsidR="007519C6" w:rsidRDefault="00000000">
            <w:r>
              <w:rPr>
                <w:color w:val="1A1A1A"/>
                <w:sz w:val="20"/>
                <w:szCs w:val="20"/>
              </w:rPr>
              <w:t>5-8%</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7C18490" w14:textId="77777777" w:rsidR="007519C6" w:rsidRDefault="00000000">
            <w:r>
              <w:rPr>
                <w:color w:val="1A1A1A"/>
                <w:sz w:val="20"/>
                <w:szCs w:val="20"/>
              </w:rPr>
              <w:t>220-260 bps</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607864F" w14:textId="77777777" w:rsidR="007519C6" w:rsidRDefault="00000000">
            <w:r>
              <w:rPr>
                <w:color w:val="1A1A1A"/>
                <w:sz w:val="20"/>
                <w:szCs w:val="20"/>
              </w:rPr>
              <w:t>18-23%</w:t>
            </w:r>
          </w:p>
        </w:tc>
        <w:tc>
          <w:tcPr>
            <w:tcW w:w="26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9B83567" w14:textId="77777777" w:rsidR="007519C6" w:rsidRDefault="00000000">
            <w:r>
              <w:rPr>
                <w:color w:val="1A1A1A"/>
                <w:sz w:val="20"/>
                <w:szCs w:val="20"/>
              </w:rPr>
              <w:t>Insurers, credit funds</w:t>
            </w:r>
          </w:p>
        </w:tc>
      </w:tr>
      <w:tr w:rsidR="007519C6" w14:paraId="51A18DD0" w14:textId="77777777">
        <w:tblPrEx>
          <w:tblCellMar>
            <w:top w:w="0" w:type="dxa"/>
            <w:bottom w:w="0" w:type="dxa"/>
          </w:tblCellMar>
        </w:tblPrEx>
        <w:tc>
          <w:tcPr>
            <w:tcW w:w="13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3579341" w14:textId="77777777" w:rsidR="007519C6" w:rsidRDefault="00000000">
            <w:r>
              <w:rPr>
                <w:b/>
                <w:bCs/>
                <w:color w:val="1A1A1A"/>
                <w:sz w:val="20"/>
                <w:szCs w:val="20"/>
              </w:rPr>
              <w:t>BBB</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1B8E4FA" w14:textId="77777777" w:rsidR="007519C6" w:rsidRDefault="00000000">
            <w:r>
              <w:rPr>
                <w:color w:val="1A1A1A"/>
                <w:sz w:val="20"/>
                <w:szCs w:val="20"/>
              </w:rPr>
              <w:t>4-6%</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D3525C8" w14:textId="77777777" w:rsidR="007519C6" w:rsidRDefault="00000000">
            <w:r>
              <w:rPr>
                <w:color w:val="1A1A1A"/>
                <w:sz w:val="20"/>
                <w:szCs w:val="20"/>
              </w:rPr>
              <w:t>320-400 bps</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AF75721" w14:textId="77777777" w:rsidR="007519C6" w:rsidRDefault="00000000">
            <w:r>
              <w:rPr>
                <w:color w:val="1A1A1A"/>
                <w:sz w:val="20"/>
                <w:szCs w:val="20"/>
              </w:rPr>
              <w:t>12-17%</w:t>
            </w:r>
          </w:p>
        </w:tc>
        <w:tc>
          <w:tcPr>
            <w:tcW w:w="26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DD64EFF" w14:textId="77777777" w:rsidR="007519C6" w:rsidRDefault="00000000">
            <w:r>
              <w:rPr>
                <w:color w:val="1A1A1A"/>
                <w:sz w:val="20"/>
                <w:szCs w:val="20"/>
              </w:rPr>
              <w:t>Credit funds, total-return</w:t>
            </w:r>
          </w:p>
        </w:tc>
      </w:tr>
      <w:tr w:rsidR="007519C6" w14:paraId="26C93B40" w14:textId="77777777">
        <w:tblPrEx>
          <w:tblCellMar>
            <w:top w:w="0" w:type="dxa"/>
            <w:bottom w:w="0" w:type="dxa"/>
          </w:tblCellMar>
        </w:tblPrEx>
        <w:tc>
          <w:tcPr>
            <w:tcW w:w="13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DCA4419" w14:textId="77777777" w:rsidR="007519C6" w:rsidRDefault="00000000">
            <w:r>
              <w:rPr>
                <w:b/>
                <w:bCs/>
                <w:color w:val="1A1A1A"/>
                <w:sz w:val="20"/>
                <w:szCs w:val="20"/>
              </w:rPr>
              <w:t>BB</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3A33D44" w14:textId="77777777" w:rsidR="007519C6" w:rsidRDefault="00000000">
            <w:r>
              <w:rPr>
                <w:color w:val="1A1A1A"/>
                <w:sz w:val="20"/>
                <w:szCs w:val="20"/>
              </w:rPr>
              <w:t>2-4%</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872066F" w14:textId="77777777" w:rsidR="007519C6" w:rsidRDefault="00000000">
            <w:r>
              <w:rPr>
                <w:color w:val="1A1A1A"/>
                <w:sz w:val="20"/>
                <w:szCs w:val="20"/>
              </w:rPr>
              <w:t>600-750 bps</w:t>
            </w:r>
          </w:p>
        </w:tc>
        <w:tc>
          <w:tcPr>
            <w:tcW w:w="17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96DBB06" w14:textId="77777777" w:rsidR="007519C6" w:rsidRDefault="00000000">
            <w:r>
              <w:rPr>
                <w:color w:val="1A1A1A"/>
                <w:sz w:val="20"/>
                <w:szCs w:val="20"/>
              </w:rPr>
              <w:t>8-13%</w:t>
            </w:r>
          </w:p>
        </w:tc>
        <w:tc>
          <w:tcPr>
            <w:tcW w:w="26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1ACA1D6" w14:textId="77777777" w:rsidR="007519C6" w:rsidRDefault="00000000">
            <w:r>
              <w:rPr>
                <w:color w:val="1A1A1A"/>
                <w:sz w:val="20"/>
                <w:szCs w:val="20"/>
              </w:rPr>
              <w:t>Credit and hedge funds</w:t>
            </w:r>
          </w:p>
        </w:tc>
      </w:tr>
      <w:tr w:rsidR="007519C6" w14:paraId="4BD6316D" w14:textId="77777777">
        <w:tblPrEx>
          <w:tblCellMar>
            <w:top w:w="0" w:type="dxa"/>
            <w:bottom w:w="0" w:type="dxa"/>
          </w:tblCellMar>
        </w:tblPrEx>
        <w:tc>
          <w:tcPr>
            <w:tcW w:w="13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0F2DC0C" w14:textId="77777777" w:rsidR="007519C6" w:rsidRDefault="00000000">
            <w:r>
              <w:rPr>
                <w:b/>
                <w:bCs/>
                <w:color w:val="1A1A1A"/>
                <w:sz w:val="20"/>
                <w:szCs w:val="20"/>
              </w:rPr>
              <w:t>Equity</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FF06B03" w14:textId="77777777" w:rsidR="007519C6" w:rsidRDefault="00000000">
            <w:r>
              <w:rPr>
                <w:color w:val="1A1A1A"/>
                <w:sz w:val="20"/>
                <w:szCs w:val="20"/>
              </w:rPr>
              <w:t>8-12%</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54623D6" w14:textId="77777777" w:rsidR="007519C6" w:rsidRDefault="00000000">
            <w:r>
              <w:rPr>
                <w:color w:val="1A1A1A"/>
                <w:sz w:val="20"/>
                <w:szCs w:val="20"/>
              </w:rPr>
              <w:t>12-18% IRR</w:t>
            </w:r>
          </w:p>
        </w:tc>
        <w:tc>
          <w:tcPr>
            <w:tcW w:w="17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ED9A919" w14:textId="77777777" w:rsidR="007519C6" w:rsidRDefault="00000000">
            <w:r>
              <w:rPr>
                <w:color w:val="1A1A1A"/>
                <w:sz w:val="20"/>
                <w:szCs w:val="20"/>
              </w:rPr>
              <w:t>0%</w:t>
            </w:r>
          </w:p>
        </w:tc>
        <w:tc>
          <w:tcPr>
            <w:tcW w:w="26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F39148C" w14:textId="77777777" w:rsidR="007519C6" w:rsidRDefault="00000000">
            <w:r>
              <w:rPr>
                <w:color w:val="1A1A1A"/>
                <w:sz w:val="20"/>
                <w:szCs w:val="20"/>
              </w:rPr>
              <w:t>Managers, specialists, PE</w:t>
            </w:r>
          </w:p>
        </w:tc>
      </w:tr>
    </w:tbl>
    <w:p w14:paraId="7332F218" w14:textId="77777777" w:rsidR="007519C6" w:rsidRDefault="00000000">
      <w:pPr>
        <w:spacing w:before="80" w:after="200"/>
      </w:pPr>
      <w:r>
        <w:rPr>
          <w:i/>
          <w:iCs/>
          <w:color w:val="5A5A5A"/>
          <w:sz w:val="18"/>
          <w:szCs w:val="18"/>
        </w:rPr>
        <w:t>Figure 4.1  A representative CLO capital structure. Subordination is the share of the structure junior to each tranche. The AAA's 35-39% cushion is the heart of its safety record.</w:t>
      </w:r>
    </w:p>
    <w:p w14:paraId="047E7836" w14:textId="77777777" w:rsidR="007519C6" w:rsidRDefault="00000000">
      <w:pPr>
        <w:spacing w:after="60"/>
        <w:ind w:firstLine="360"/>
        <w:jc w:val="both"/>
      </w:pPr>
      <w:r>
        <w:rPr>
          <w:color w:val="1A1A1A"/>
        </w:rPr>
        <w:t xml:space="preserve">That subordination column explains a great deal. The AAA sits atop a cushion of thirty-five to thirty-nine percent, which is to say the collateral pool would have to lose more than a third of its value before the senior investor took a dollar of loss. Few corporate loan portfolios have ever done that. It is the structural reason </w:t>
      </w:r>
      <w:r>
        <w:rPr>
          <w:color w:val="1A1A1A"/>
        </w:rPr>
        <w:lastRenderedPageBreak/>
        <w:t>the senior CLO has behaved the way it has, and the reason banks and insurers hold it in size.</w:t>
      </w:r>
    </w:p>
    <w:p w14:paraId="02D65BE7" w14:textId="77777777" w:rsidR="007519C6" w:rsidRDefault="00000000">
      <w:pPr>
        <w:pStyle w:val="Heading3"/>
      </w:pPr>
      <w:r>
        <w:rPr>
          <w:color w:val="2E2E2E"/>
        </w:rPr>
        <w:t>The waterfall and the coverage tests</w:t>
      </w:r>
    </w:p>
    <w:p w14:paraId="74906DCE" w14:textId="77777777" w:rsidR="007519C6" w:rsidRDefault="00000000">
      <w:pPr>
        <w:spacing w:after="60"/>
        <w:ind w:firstLine="360"/>
        <w:jc w:val="both"/>
      </w:pPr>
      <w:r>
        <w:rPr>
          <w:color w:val="1A1A1A"/>
        </w:rPr>
        <w:t>Cash flows down a defined waterfall. Administrative costs and the senior management fee first, then interest to the debt tranches in order of seniority, then a set of coverage tests that must pass before anything reaches the subordinated fee, the junior tranches, or the equity. The overcollateralization test compares the par value of the collateral to the debt at each level. The interest-coverage test compares the income from the collateral to the interest owed. When a test fails, the structure does something elegant and protective. It diverts cash away from the equity and the junior notes and uses it to pay down the senior debt, deleveraging the vehicle and curing the breach by shrinking what sits above the cushion. The protection is automatic, and it is the mechanism that carried senior CLO investors through the last crisis intact.</w:t>
      </w:r>
    </w:p>
    <w:p w14:paraId="63D15D37" w14:textId="77777777" w:rsidR="007519C6" w:rsidRDefault="00000000">
      <w:pPr>
        <w:pStyle w:val="Heading3"/>
      </w:pPr>
      <w:r>
        <w:rPr>
          <w:color w:val="2E2E2E"/>
        </w:rPr>
        <w:t>The reinvestment period</w:t>
      </w:r>
    </w:p>
    <w:p w14:paraId="71F1EE9B" w14:textId="77777777" w:rsidR="007519C6" w:rsidRDefault="00000000">
      <w:pPr>
        <w:spacing w:after="60"/>
        <w:ind w:firstLine="360"/>
        <w:jc w:val="both"/>
      </w:pPr>
      <w:r>
        <w:rPr>
          <w:color w:val="1A1A1A"/>
        </w:rPr>
        <w:t>For four or five years the manager may trade the portfolio, reinvesting the proceeds of repayments rather than paying down the notes, selling weakening credits and buying better ones, and, in dislocated markets, buying sound loans at a discount that will pull back to par. After the reinvestment period the proceeds must repay the notes in order of seniority, and the structure winds down. That window of active management is the source of much of the equity's return and much of the senior tranche's protection, because a manager who can sell a deteriorating loan before it defaults is protecting the whole structure.</w:t>
      </w:r>
    </w:p>
    <w:p w14:paraId="695B922A" w14:textId="77777777" w:rsidR="007519C6" w:rsidRDefault="00000000">
      <w:pPr>
        <w:pStyle w:val="Heading2"/>
      </w:pPr>
      <w:r>
        <w:rPr>
          <w:color w:val="2E2E2E"/>
        </w:rPr>
        <w:t>The Arbitrage, in Numbers</w:t>
      </w:r>
    </w:p>
    <w:p w14:paraId="790337C9" w14:textId="77777777" w:rsidR="007519C6" w:rsidRDefault="00000000">
      <w:pPr>
        <w:spacing w:after="60"/>
        <w:ind w:firstLine="360"/>
        <w:jc w:val="both"/>
      </w:pPr>
      <w:r>
        <w:rPr>
          <w:color w:val="1A1A1A"/>
        </w:rPr>
        <w:lastRenderedPageBreak/>
        <w:t>The economics are worth walking through, because they are widely misunderstood. Consider a five-hundred-million-dollar CLO.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23"/>
        <w:gridCol w:w="1418"/>
        <w:gridCol w:w="1389"/>
        <w:gridCol w:w="1394"/>
        <w:gridCol w:w="2474"/>
      </w:tblGrid>
      <w:tr w:rsidR="007519C6" w14:paraId="4A0CB257" w14:textId="77777777">
        <w:tblPrEx>
          <w:tblCellMar>
            <w:top w:w="0" w:type="dxa"/>
            <w:bottom w:w="0" w:type="dxa"/>
          </w:tblCellMar>
        </w:tblPrEx>
        <w:trPr>
          <w:tblHeader/>
        </w:trPr>
        <w:tc>
          <w:tcPr>
            <w:tcW w:w="15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0B8014C1" w14:textId="77777777" w:rsidR="007519C6" w:rsidRDefault="00000000">
            <w:r>
              <w:rPr>
                <w:b/>
                <w:bCs/>
                <w:color w:val="FFFFFF"/>
                <w:sz w:val="20"/>
                <w:szCs w:val="20"/>
              </w:rPr>
              <w:t>Tranche</w:t>
            </w:r>
          </w:p>
        </w:tc>
        <w:tc>
          <w:tcPr>
            <w:tcW w:w="15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4BA8F7F8" w14:textId="77777777" w:rsidR="007519C6" w:rsidRDefault="00000000">
            <w:r>
              <w:rPr>
                <w:b/>
                <w:bCs/>
                <w:color w:val="FFFFFF"/>
                <w:sz w:val="20"/>
                <w:szCs w:val="20"/>
              </w:rPr>
              <w:t>Amount</w:t>
            </w:r>
          </w:p>
        </w:tc>
        <w:tc>
          <w:tcPr>
            <w:tcW w:w="15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2C3DC65A" w14:textId="77777777" w:rsidR="007519C6" w:rsidRDefault="00000000">
            <w:r>
              <w:rPr>
                <w:b/>
                <w:bCs/>
                <w:color w:val="FFFFFF"/>
                <w:sz w:val="20"/>
                <w:szCs w:val="20"/>
              </w:rPr>
              <w:t>Spread</w:t>
            </w:r>
          </w:p>
        </w:tc>
        <w:tc>
          <w:tcPr>
            <w:tcW w:w="15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8EF3BB1" w14:textId="77777777" w:rsidR="007519C6" w:rsidRDefault="00000000">
            <w:r>
              <w:rPr>
                <w:b/>
                <w:bCs/>
                <w:color w:val="FFFFFF"/>
                <w:sz w:val="20"/>
                <w:szCs w:val="20"/>
              </w:rPr>
              <w:t>Annual Cost</w:t>
            </w:r>
          </w:p>
        </w:tc>
        <w:tc>
          <w:tcPr>
            <w:tcW w:w="31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6CD1DCB3" w14:textId="77777777" w:rsidR="007519C6" w:rsidRDefault="00000000">
            <w:r>
              <w:rPr>
                <w:b/>
                <w:bCs/>
                <w:color w:val="FFFFFF"/>
                <w:sz w:val="20"/>
                <w:szCs w:val="20"/>
              </w:rPr>
              <w:t>Share</w:t>
            </w:r>
          </w:p>
        </w:tc>
      </w:tr>
      <w:tr w:rsidR="007519C6" w14:paraId="368DCD59" w14:textId="77777777">
        <w:tblPrEx>
          <w:tblCellMar>
            <w:top w:w="0" w:type="dxa"/>
            <w:bottom w:w="0" w:type="dxa"/>
          </w:tblCellMar>
        </w:tblPrEx>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422A26C" w14:textId="77777777" w:rsidR="007519C6" w:rsidRDefault="00000000">
            <w:r>
              <w:rPr>
                <w:b/>
                <w:bCs/>
                <w:color w:val="1A1A1A"/>
                <w:sz w:val="20"/>
                <w:szCs w:val="20"/>
              </w:rPr>
              <w:t>AAA</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FBDFBE1" w14:textId="77777777" w:rsidR="007519C6" w:rsidRDefault="00000000">
            <w:r>
              <w:rPr>
                <w:color w:val="1A1A1A"/>
                <w:sz w:val="20"/>
                <w:szCs w:val="20"/>
              </w:rPr>
              <w:t>$312.5M</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67496C4" w14:textId="77777777" w:rsidR="007519C6" w:rsidRDefault="00000000">
            <w:r>
              <w:rPr>
                <w:color w:val="1A1A1A"/>
                <w:sz w:val="20"/>
                <w:szCs w:val="20"/>
              </w:rPr>
              <w:t>S+125</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1C8C79A" w14:textId="77777777" w:rsidR="007519C6" w:rsidRDefault="00000000">
            <w:r>
              <w:rPr>
                <w:color w:val="1A1A1A"/>
                <w:sz w:val="20"/>
                <w:szCs w:val="20"/>
              </w:rPr>
              <w:t>$20.0M</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E9E3617" w14:textId="77777777" w:rsidR="007519C6" w:rsidRDefault="00000000">
            <w:r>
              <w:rPr>
                <w:color w:val="1A1A1A"/>
                <w:sz w:val="20"/>
                <w:szCs w:val="20"/>
              </w:rPr>
              <w:t>62.5%</w:t>
            </w:r>
          </w:p>
        </w:tc>
      </w:tr>
      <w:tr w:rsidR="007519C6" w14:paraId="37BC8BAA" w14:textId="77777777">
        <w:tblPrEx>
          <w:tblCellMar>
            <w:top w:w="0" w:type="dxa"/>
            <w:bottom w:w="0" w:type="dxa"/>
          </w:tblCellMar>
        </w:tblPrEx>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90BA3A0" w14:textId="77777777" w:rsidR="007519C6" w:rsidRDefault="00000000">
            <w:r>
              <w:rPr>
                <w:b/>
                <w:bCs/>
                <w:color w:val="1A1A1A"/>
                <w:sz w:val="20"/>
                <w:szCs w:val="20"/>
              </w:rPr>
              <w:t>AA</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E91183A" w14:textId="77777777" w:rsidR="007519C6" w:rsidRDefault="00000000">
            <w:r>
              <w:rPr>
                <w:color w:val="1A1A1A"/>
                <w:sz w:val="20"/>
                <w:szCs w:val="20"/>
              </w:rPr>
              <w:t>$50.0M</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F5B4083" w14:textId="77777777" w:rsidR="007519C6" w:rsidRDefault="00000000">
            <w:r>
              <w:rPr>
                <w:color w:val="1A1A1A"/>
                <w:sz w:val="20"/>
                <w:szCs w:val="20"/>
              </w:rPr>
              <w:t>S+185</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AC6BA74" w14:textId="77777777" w:rsidR="007519C6" w:rsidRDefault="00000000">
            <w:r>
              <w:rPr>
                <w:color w:val="1A1A1A"/>
                <w:sz w:val="20"/>
                <w:szCs w:val="20"/>
              </w:rPr>
              <w:t>$3.5M</w:t>
            </w:r>
          </w:p>
        </w:tc>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4EBDE51" w14:textId="77777777" w:rsidR="007519C6" w:rsidRDefault="00000000">
            <w:r>
              <w:rPr>
                <w:color w:val="1A1A1A"/>
                <w:sz w:val="20"/>
                <w:szCs w:val="20"/>
              </w:rPr>
              <w:t>10.0%</w:t>
            </w:r>
          </w:p>
        </w:tc>
      </w:tr>
      <w:tr w:rsidR="007519C6" w14:paraId="71B1C93B" w14:textId="77777777">
        <w:tblPrEx>
          <w:tblCellMar>
            <w:top w:w="0" w:type="dxa"/>
            <w:bottom w:w="0" w:type="dxa"/>
          </w:tblCellMar>
        </w:tblPrEx>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746C21D" w14:textId="77777777" w:rsidR="007519C6" w:rsidRDefault="00000000">
            <w:r>
              <w:rPr>
                <w:b/>
                <w:bCs/>
                <w:color w:val="1A1A1A"/>
                <w:sz w:val="20"/>
                <w:szCs w:val="20"/>
              </w:rPr>
              <w:t>A</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091A5B4" w14:textId="77777777" w:rsidR="007519C6" w:rsidRDefault="00000000">
            <w:r>
              <w:rPr>
                <w:color w:val="1A1A1A"/>
                <w:sz w:val="20"/>
                <w:szCs w:val="20"/>
              </w:rPr>
              <w:t>$32.5M</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E8EDC0E" w14:textId="77777777" w:rsidR="007519C6" w:rsidRDefault="00000000">
            <w:r>
              <w:rPr>
                <w:color w:val="1A1A1A"/>
                <w:sz w:val="20"/>
                <w:szCs w:val="20"/>
              </w:rPr>
              <w:t>S+240</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99CF3FB" w14:textId="77777777" w:rsidR="007519C6" w:rsidRDefault="00000000">
            <w:r>
              <w:rPr>
                <w:color w:val="1A1A1A"/>
                <w:sz w:val="20"/>
                <w:szCs w:val="20"/>
              </w:rPr>
              <w:t>$2.4M</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548B76E" w14:textId="77777777" w:rsidR="007519C6" w:rsidRDefault="00000000">
            <w:r>
              <w:rPr>
                <w:color w:val="1A1A1A"/>
                <w:sz w:val="20"/>
                <w:szCs w:val="20"/>
              </w:rPr>
              <w:t>6.5%</w:t>
            </w:r>
          </w:p>
        </w:tc>
      </w:tr>
      <w:tr w:rsidR="007519C6" w14:paraId="0DC9040A" w14:textId="77777777">
        <w:tblPrEx>
          <w:tblCellMar>
            <w:top w:w="0" w:type="dxa"/>
            <w:bottom w:w="0" w:type="dxa"/>
          </w:tblCellMar>
        </w:tblPrEx>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C81C735" w14:textId="77777777" w:rsidR="007519C6" w:rsidRDefault="00000000">
            <w:r>
              <w:rPr>
                <w:b/>
                <w:bCs/>
                <w:color w:val="1A1A1A"/>
                <w:sz w:val="20"/>
                <w:szCs w:val="20"/>
              </w:rPr>
              <w:t>BBB</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9C40FF3" w14:textId="77777777" w:rsidR="007519C6" w:rsidRDefault="00000000">
            <w:r>
              <w:rPr>
                <w:color w:val="1A1A1A"/>
                <w:sz w:val="20"/>
                <w:szCs w:val="20"/>
              </w:rPr>
              <w:t>$25.0M</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1A4B2FE" w14:textId="77777777" w:rsidR="007519C6" w:rsidRDefault="00000000">
            <w:r>
              <w:rPr>
                <w:color w:val="1A1A1A"/>
                <w:sz w:val="20"/>
                <w:szCs w:val="20"/>
              </w:rPr>
              <w:t>S+360</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673B2B0" w14:textId="77777777" w:rsidR="007519C6" w:rsidRDefault="00000000">
            <w:r>
              <w:rPr>
                <w:color w:val="1A1A1A"/>
                <w:sz w:val="20"/>
                <w:szCs w:val="20"/>
              </w:rPr>
              <w:t>$2.2M</w:t>
            </w:r>
          </w:p>
        </w:tc>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F9AB972" w14:textId="77777777" w:rsidR="007519C6" w:rsidRDefault="00000000">
            <w:r>
              <w:rPr>
                <w:color w:val="1A1A1A"/>
                <w:sz w:val="20"/>
                <w:szCs w:val="20"/>
              </w:rPr>
              <w:t>5.0%</w:t>
            </w:r>
          </w:p>
        </w:tc>
      </w:tr>
      <w:tr w:rsidR="007519C6" w14:paraId="5A22F074" w14:textId="77777777">
        <w:tblPrEx>
          <w:tblCellMar>
            <w:top w:w="0" w:type="dxa"/>
            <w:bottom w:w="0" w:type="dxa"/>
          </w:tblCellMar>
        </w:tblPrEx>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3AC9AE4" w14:textId="77777777" w:rsidR="007519C6" w:rsidRDefault="00000000">
            <w:r>
              <w:rPr>
                <w:b/>
                <w:bCs/>
                <w:color w:val="1A1A1A"/>
                <w:sz w:val="20"/>
                <w:szCs w:val="20"/>
              </w:rPr>
              <w:t>BB</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FBF23ED" w14:textId="77777777" w:rsidR="007519C6" w:rsidRDefault="00000000">
            <w:r>
              <w:rPr>
                <w:color w:val="1A1A1A"/>
                <w:sz w:val="20"/>
                <w:szCs w:val="20"/>
              </w:rPr>
              <w:t>$17.5M</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2D201C2" w14:textId="77777777" w:rsidR="007519C6" w:rsidRDefault="00000000">
            <w:r>
              <w:rPr>
                <w:color w:val="1A1A1A"/>
                <w:sz w:val="20"/>
                <w:szCs w:val="20"/>
              </w:rPr>
              <w:t>S+675</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D9A2DF7" w14:textId="77777777" w:rsidR="007519C6" w:rsidRDefault="00000000">
            <w:r>
              <w:rPr>
                <w:color w:val="1A1A1A"/>
                <w:sz w:val="20"/>
                <w:szCs w:val="20"/>
              </w:rPr>
              <w:t>$2.0M</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EE2494D" w14:textId="77777777" w:rsidR="007519C6" w:rsidRDefault="00000000">
            <w:r>
              <w:rPr>
                <w:color w:val="1A1A1A"/>
                <w:sz w:val="20"/>
                <w:szCs w:val="20"/>
              </w:rPr>
              <w:t>3.5%</w:t>
            </w:r>
          </w:p>
        </w:tc>
      </w:tr>
      <w:tr w:rsidR="007519C6" w14:paraId="14B95451" w14:textId="77777777">
        <w:tblPrEx>
          <w:tblCellMar>
            <w:top w:w="0" w:type="dxa"/>
            <w:bottom w:w="0" w:type="dxa"/>
          </w:tblCellMar>
        </w:tblPrEx>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96F780C" w14:textId="77777777" w:rsidR="007519C6" w:rsidRDefault="00000000">
            <w:r>
              <w:rPr>
                <w:b/>
                <w:bCs/>
                <w:color w:val="1A1A1A"/>
                <w:sz w:val="20"/>
                <w:szCs w:val="20"/>
              </w:rPr>
              <w:t>Equity</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45D1909" w14:textId="77777777" w:rsidR="007519C6" w:rsidRDefault="00000000">
            <w:r>
              <w:rPr>
                <w:color w:val="1A1A1A"/>
                <w:sz w:val="20"/>
                <w:szCs w:val="20"/>
              </w:rPr>
              <w:t>$62.5M</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2963C58" w14:textId="77777777" w:rsidR="007519C6" w:rsidRDefault="00000000">
            <w:r>
              <w:rPr>
                <w:color w:val="1A1A1A"/>
                <w:sz w:val="20"/>
                <w:szCs w:val="20"/>
              </w:rPr>
              <w:t>residual</w:t>
            </w:r>
          </w:p>
        </w:tc>
        <w:tc>
          <w:tcPr>
            <w:tcW w:w="15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895E025" w14:textId="77777777" w:rsidR="007519C6" w:rsidRDefault="00000000">
            <w:r>
              <w:rPr>
                <w:color w:val="1A1A1A"/>
                <w:sz w:val="20"/>
                <w:szCs w:val="20"/>
              </w:rPr>
              <w:t>n/a</w:t>
            </w:r>
          </w:p>
        </w:tc>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8C4E606" w14:textId="77777777" w:rsidR="007519C6" w:rsidRDefault="00000000">
            <w:r>
              <w:rPr>
                <w:color w:val="1A1A1A"/>
                <w:sz w:val="20"/>
                <w:szCs w:val="20"/>
              </w:rPr>
              <w:t>12.5%</w:t>
            </w:r>
          </w:p>
        </w:tc>
      </w:tr>
      <w:tr w:rsidR="007519C6" w14:paraId="28B7C3B6" w14:textId="77777777">
        <w:tblPrEx>
          <w:tblCellMar>
            <w:top w:w="0" w:type="dxa"/>
            <w:bottom w:w="0" w:type="dxa"/>
          </w:tblCellMar>
        </w:tblPrEx>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4E45CA0" w14:textId="77777777" w:rsidR="007519C6" w:rsidRDefault="00000000">
            <w:r>
              <w:rPr>
                <w:b/>
                <w:bCs/>
                <w:color w:val="1A1A1A"/>
                <w:sz w:val="20"/>
                <w:szCs w:val="20"/>
              </w:rPr>
              <w:t>Total debt</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7C23E9D" w14:textId="77777777" w:rsidR="007519C6" w:rsidRDefault="00000000">
            <w:r>
              <w:rPr>
                <w:color w:val="1A1A1A"/>
                <w:sz w:val="20"/>
                <w:szCs w:val="20"/>
              </w:rPr>
              <w:t>$437.5M</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1E8FABB" w14:textId="77777777" w:rsidR="007519C6" w:rsidRDefault="00000000">
            <w:r>
              <w:rPr>
                <w:color w:val="1A1A1A"/>
                <w:sz w:val="20"/>
                <w:szCs w:val="20"/>
              </w:rPr>
              <w:t>n/a</w:t>
            </w:r>
          </w:p>
        </w:tc>
        <w:tc>
          <w:tcPr>
            <w:tcW w:w="15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1E7AEC8" w14:textId="77777777" w:rsidR="007519C6" w:rsidRDefault="00000000">
            <w:r>
              <w:rPr>
                <w:color w:val="1A1A1A"/>
                <w:sz w:val="20"/>
                <w:szCs w:val="20"/>
              </w:rPr>
              <w:t>~$6.1M</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028CFC7" w14:textId="77777777" w:rsidR="007519C6" w:rsidRDefault="00000000">
            <w:r>
              <w:rPr>
                <w:color w:val="1A1A1A"/>
                <w:sz w:val="20"/>
                <w:szCs w:val="20"/>
              </w:rPr>
              <w:t>87.5%</w:t>
            </w:r>
          </w:p>
        </w:tc>
      </w:tr>
    </w:tbl>
    <w:p w14:paraId="2CDBF35C" w14:textId="77777777" w:rsidR="007519C6" w:rsidRDefault="00000000">
      <w:pPr>
        <w:spacing w:before="80" w:after="200"/>
      </w:pPr>
      <w:r>
        <w:rPr>
          <w:i/>
          <w:iCs/>
          <w:color w:val="5A5A5A"/>
          <w:sz w:val="18"/>
          <w:szCs w:val="18"/>
        </w:rPr>
        <w:t>Figure 4.2  A simplified CLO arbitrage. The equity return is the spread the collateral earns on the full pool, less the cost of the debt, the fees, and the credit losses, levered onto a thin equity base.</w:t>
      </w:r>
    </w:p>
    <w:p w14:paraId="0D13ECE3" w14:textId="77777777" w:rsidR="007519C6" w:rsidRDefault="00000000">
      <w:pPr>
        <w:spacing w:after="60"/>
        <w:ind w:firstLine="360"/>
        <w:jc w:val="both"/>
      </w:pPr>
      <w:r>
        <w:rPr>
          <w:color w:val="1A1A1A"/>
        </w:rPr>
        <w:t>The intuition is this. The collateral earns its spread on the whole five hundred million. In this example, at a weighted-average spread of SOFR plus 375, roughly nineteen million a year above the base rate. The rated debt costs only its own narrower spread on the 437.5 million it represents, roughly six million. The difference, less management fees and expenses of perhaps two and a half million and credit losses of perhaps five million in an ordinary year, falls to the equity, here around five million on a sixty-two-and-a-half-million base, an eight percent cash return before the value of the options the equity holds. The arbitrage works because a thin slice of equity captures the spread differential on a pool many times its size. It is leverage, disciplined by the coverage tests, applied to a diversified book of senior loans.</w:t>
      </w:r>
    </w:p>
    <w:p w14:paraId="5073797C" w14:textId="77777777" w:rsidR="007519C6" w:rsidRDefault="00000000">
      <w:pPr>
        <w:spacing w:after="60"/>
        <w:ind w:firstLine="360"/>
        <w:jc w:val="both"/>
      </w:pPr>
      <w:r>
        <w:rPr>
          <w:color w:val="1A1A1A"/>
        </w:rPr>
        <w:lastRenderedPageBreak/>
        <w:t>That simplified figure understates the real return because it ignores the optionality, which is where CLO equity earns its keep. After a non-call period the equity can refinance the debt at tighter spreads when the market improves, lowering the cost of the largest tranches and widening the arbitrage. It can reset the deal, extending the reinvestment period to keep the engine running. And in a dislocation it can build par, buying sound loans at eighty cents that will mature at a hundred, manufacturing value that eventually accrues to the bottom of the stack. The highest-returning equity vintages in the market's history were not the ones formed in calm years. They were the 2007 and early-2020 vintages, early in their reinvestment periods when spreads blew out, free to buy the discount. The structure turns a crisis, for the patient equity holder, into an opportunity.</w:t>
      </w:r>
    </w:p>
    <w:p w14:paraId="79086CA6" w14:textId="77777777" w:rsidR="007519C6" w:rsidRDefault="00000000">
      <w:pPr>
        <w:pStyle w:val="Heading2"/>
      </w:pPr>
      <w:r>
        <w:rPr>
          <w:color w:val="2E2E2E"/>
        </w:rPr>
        <w:t>The Record That Earns the Trust</w:t>
      </w:r>
    </w:p>
    <w:p w14:paraId="533D1E01" w14:textId="77777777" w:rsidR="007519C6" w:rsidRDefault="00000000">
      <w:pPr>
        <w:spacing w:after="60"/>
        <w:ind w:firstLine="360"/>
        <w:jc w:val="both"/>
      </w:pPr>
      <w:r>
        <w:rPr>
          <w:color w:val="1A1A1A"/>
        </w:rPr>
        <w:t>No CLO AAA tranche, from the pre-crisis 1.0 era or the post-crisis 2.0 era, has ever defaulted. The sentence is worth sitting with, because it is the empirical foundation of the asset class's standing, and because it stands in such contrast to the structured products that failed in 2008. The difference was never cosmetic. The mortgage CDO was often built from tranches of other securitizations, leverage stacked on leverage, correlation hidden inside correlation, so that a single national move in house prices could carry the whole edifice down together. The CLO is built from individual corporate loans to companies in different industries with idiosyncratic fortunes, it is actively managed rather than static, and its coverage tests divert cash to protect the senior notes the moment quality slips. The loans fell in price in 2008. The CLOs held them. The loans recovered. The CLOs paid. That is the whole story, and it is why the structure is trusted.</w:t>
      </w:r>
    </w:p>
    <w:p w14:paraId="6AB4F662" w14:textId="77777777" w:rsidR="007519C6" w:rsidRDefault="00000000">
      <w:pPr>
        <w:spacing w:after="60"/>
        <w:ind w:firstLine="360"/>
        <w:jc w:val="both"/>
      </w:pPr>
      <w:r>
        <w:rPr>
          <w:color w:val="1A1A1A"/>
        </w:rPr>
        <w:lastRenderedPageBreak/>
        <w:t>None of which makes the CLO riskless. The honest catalogue of what can go wrong includes credit risk, the possibility that losses in a severe, concentrated downturn exceed the cushion and reach the mezzanine. Manager risk, since selection and trading skill drive returns and the dispersion among managers is wide. Structural complexity, where indenture provisions carry value implications that are not obvious. Market-value risk, vivid in March 2020 when BBB spreads gapped from around four hundred basis points to over a thousand before recovering, and reinvestment risk, when a manager cannot find loans worth buying and the arbitrage thins. The senior tranche has earned its reputation. The lower one demands the analysis.</w:t>
      </w:r>
    </w:p>
    <w:p w14:paraId="3B5D0EA1" w14:textId="77777777" w:rsidR="007519C6" w:rsidRDefault="00000000">
      <w:pPr>
        <w:pStyle w:val="Heading2"/>
      </w:pPr>
      <w:r>
        <w:rPr>
          <w:color w:val="2E2E2E"/>
        </w:rPr>
        <w:t>A CLO Through the Crisis</w:t>
      </w:r>
    </w:p>
    <w:p w14:paraId="7C070815" w14:textId="77777777" w:rsidR="007519C6" w:rsidRDefault="00000000">
      <w:pPr>
        <w:spacing w:after="60"/>
        <w:ind w:firstLine="360"/>
        <w:jc w:val="both"/>
      </w:pPr>
      <w:r>
        <w:rPr>
          <w:color w:val="1A1A1A"/>
        </w:rPr>
        <w:t>The abstract claim that the CLO's structure protected its senior investors becomes concrete if you follow a representative deal through 2008 and 2009. Take a CLO that priced in 2006, in the heart of the pre-crisis market, a billion dollars of broadly syndicated loans financed with the usual stack from AAA down to a thin slice of equity, early in a five-year reinvestment period when the crisis hit. By late 2008 the loans in its portfolio were marked at sixty to seventy cents on the dollar. On a mark-to-market funding structure, those marks would have been fatal. The lenders financing the vehicle overnight would have called for more collateral, the manager would have been forced to sell into a market with no bids, and the forced sale would have crystallized losses that the loans themselves, most of which were still paying, did not yet warrant. That is precisely the spiral that destroyed the mark-to-market vehicles of the era.</w:t>
      </w:r>
    </w:p>
    <w:p w14:paraId="34CE066A" w14:textId="77777777" w:rsidR="007519C6" w:rsidRDefault="00000000">
      <w:pPr>
        <w:spacing w:after="60"/>
        <w:ind w:firstLine="360"/>
        <w:jc w:val="both"/>
      </w:pPr>
      <w:r>
        <w:rPr>
          <w:color w:val="1A1A1A"/>
        </w:rPr>
        <w:lastRenderedPageBreak/>
        <w:t>The CLO did not face that spiral, because its funding could not be pulled. The notes it had issued were term liabilities, matched to the life of the assets, and no decline in the market price of the loans could force their repayment. The manager was free to hold loans that were trading at sixty cents but still paying their coupon and still likely to mature at par. Where credits genuinely deteriorated, the coverage tests did their work. As the lowest-rated holdings breached their limits and the overcollateralization tests failed, the waterfall diverted cash away from the equity and the junior notes and used it to pay down the senior tranche, deleveraging the structure exactly when deleveraging was protective. The equity holders saw their distributions cut off. The senior investors saw their principal protected and accelerated.</w:t>
      </w:r>
    </w:p>
    <w:p w14:paraId="5ED8E2DA" w14:textId="77777777" w:rsidR="007519C6" w:rsidRDefault="00000000">
      <w:pPr>
        <w:spacing w:after="60"/>
        <w:ind w:firstLine="360"/>
        <w:jc w:val="both"/>
      </w:pPr>
      <w:r>
        <w:rPr>
          <w:color w:val="1A1A1A"/>
        </w:rPr>
        <w:t>And then the more interesting half of the story. A manager early in the reinvestment period in 2008 and 2009 was not merely surviving. It was buying. Sound loans were available at deep discounts from forced sellers, and a CLO with cash to reinvest could acquire them at sixty cents knowing they would mature at a hundred, building par value that accrued, once the coverage tests were cured, to the bottom of the structure. The vintages of CLO equity formed just before and just into the crisis turned out to be among the highest-returning in the market's history, not in spite of the dislocation but because of it. By the time the loans recovered, in 2010 and after, the structure had paid its senior investors in full, cut and then restored its equity distributions, and demonstrated the single fact that has anchored the asset class ever since. The loans fell, the CLO held, the loans recovered, the CLO paid. The structure was not lucky. It was built for exactly that.</w:t>
      </w:r>
    </w:p>
    <w:p w14:paraId="4183B6F0" w14:textId="77777777" w:rsidR="007519C6" w:rsidRDefault="00000000">
      <w:pPr>
        <w:pStyle w:val="Heading2"/>
      </w:pPr>
      <w:r>
        <w:rPr>
          <w:color w:val="2E2E2E"/>
        </w:rPr>
        <w:lastRenderedPageBreak/>
        <w:t>Middle-Market and Private Credit CLOs</w:t>
      </w:r>
    </w:p>
    <w:p w14:paraId="750DE4AF" w14:textId="77777777" w:rsidR="007519C6" w:rsidRDefault="00000000">
      <w:pPr>
        <w:spacing w:after="60"/>
        <w:ind w:firstLine="360"/>
        <w:jc w:val="both"/>
      </w:pPr>
      <w:r>
        <w:rPr>
          <w:color w:val="1A1A1A"/>
        </w:rPr>
        <w:t>The most consequential recent development is the CLO built not from broadly syndicated loans but from directly originated middle-market loans, the point where the securitization machinery Ranieri built meets the private credit market the banks' retreat created. In these structures the manager is often both the originator of the loans and the manager of the CLO, an alignment that concentrates the credit judgment in one house rather than separating origination from selection. They carry more credit enhancement than their broadly syndicated cousins, AAA subordination of forty to forty-five percent against thirty-five to thirty-nine, in compensation for the thinner liquidity and lighter disclosure of the underlying loans, and their tranches pay correspondingly wider. Issuance reached a record near thirty-eight billion dollars in 2024, and the private credit CLO has grown from roughly a tenth of the market toward a quarter. It is among the fastest-moving corners of the structured landscape, and one of the least tested through a genuine downturn.</w:t>
      </w:r>
    </w:p>
    <w:p w14:paraId="310B0310" w14:textId="77777777" w:rsidR="007519C6" w:rsidRDefault="00000000">
      <w:pPr>
        <w:spacing w:after="60"/>
        <w:ind w:firstLine="360"/>
        <w:jc w:val="both"/>
      </w:pPr>
      <w:r>
        <w:rPr>
          <w:color w:val="1A1A1A"/>
        </w:rPr>
        <w:t>A lighter variant, sometimes called CLO-lite, serves smaller or more specialized portfolios with simplified documentation, smaller size, shorter reinvestment, or a static pool. It offers a direct lender an efficient way to finance a book without the full machinery and cost of a traditional CLO, trading some flexibility for simplicity.</w:t>
      </w:r>
    </w:p>
    <w:p w14:paraId="0E814F76" w14:textId="77777777" w:rsidR="007519C6" w:rsidRDefault="00000000">
      <w:pPr>
        <w:pStyle w:val="Heading2"/>
      </w:pPr>
      <w:r>
        <w:rPr>
          <w:color w:val="2E2E2E"/>
        </w:rPr>
        <w:t>Who Owns Which Piece</w:t>
      </w:r>
    </w:p>
    <w:p w14:paraId="11D222C2" w14:textId="77777777" w:rsidR="007519C6" w:rsidRDefault="00000000">
      <w:pPr>
        <w:spacing w:after="60"/>
        <w:ind w:firstLine="360"/>
        <w:jc w:val="both"/>
      </w:pPr>
      <w:r>
        <w:rPr>
          <w:color w:val="1A1A1A"/>
        </w:rPr>
        <w:t xml:space="preserve">The capital structure sorts its investors by risk appetite and by the rules they operate under. Banks and insurers hold the AAA and AA for the yield, the floating rate, and the favorable regulatory capital treatment, and a growing ETF market </w:t>
      </w:r>
      <w:r>
        <w:rPr>
          <w:color w:val="1A1A1A"/>
        </w:rPr>
        <w:lastRenderedPageBreak/>
        <w:t>has opened the senior tranches to a wider base. Credit funds and total-return investors take the A and BBB for the additional yield. Credit and hedge funds take the BB, comfortable with real credit risk and real volatility. The equity belongs to specialists, managers, and private equity investors who can assess a manager, read a structure, and hold through a cycle to harvest the optionality. One pool, many instruments, each matched to a different buyer. That is the genius of the design, and the reason it has endured.</w:t>
      </w:r>
    </w:p>
    <w:p w14:paraId="458C2B7E" w14:textId="77777777" w:rsidR="007519C6" w:rsidRDefault="00000000">
      <w:r>
        <w:br w:type="page"/>
      </w:r>
    </w:p>
    <w:p w14:paraId="2D6D5166" w14:textId="77777777" w:rsidR="007519C6" w:rsidRDefault="00000000">
      <w:pPr>
        <w:pStyle w:val="Heading1"/>
      </w:pPr>
      <w:r>
        <w:lastRenderedPageBreak/>
        <w:t>Chapter 17: ABS: From Flow to Esoteric</w:t>
      </w:r>
    </w:p>
    <w:p w14:paraId="55D87A9D" w14:textId="77777777" w:rsidR="007519C6" w:rsidRDefault="00000000">
      <w:pPr>
        <w:spacing w:after="60"/>
        <w:jc w:val="both"/>
      </w:pPr>
      <w:r>
        <w:rPr>
          <w:color w:val="1A1A1A"/>
        </w:rPr>
        <w:t>Asset-backed securities are the oldest and broadest application of the machine, and the easiest way to understand the whole family is to walk it from one end to the other. At one end sit the deep, liquid, heavily standardized markets, credit card receivables and auto loans, financed through public shelves that issue in size and trade every day. At the other end sit the esoteric deals, royalties and equipment and whole businesses and the cash flows of data centers, financed thinly and bespokely and largely out of view. The walk from one end to the other, from flow to esoteric, is also the road that leads into private credit, and seeing why is the point of this chapter.</w:t>
      </w:r>
    </w:p>
    <w:p w14:paraId="6CE4BA97" w14:textId="77777777" w:rsidR="007519C6" w:rsidRDefault="00000000">
      <w:pPr>
        <w:pStyle w:val="Heading2"/>
      </w:pPr>
      <w:r>
        <w:rPr>
          <w:color w:val="2E2E2E"/>
        </w:rPr>
        <w:t>The Deep End: Cards and Autos</w:t>
      </w:r>
    </w:p>
    <w:p w14:paraId="1DD71FBB" w14:textId="77777777" w:rsidR="007519C6" w:rsidRDefault="00000000">
      <w:pPr>
        <w:spacing w:after="60"/>
        <w:ind w:firstLine="360"/>
        <w:jc w:val="both"/>
      </w:pPr>
      <w:r>
        <w:rPr>
          <w:color w:val="1A1A1A"/>
        </w:rPr>
        <w:t>Start where the market is deepest. Credit card receivables and auto loans are the bluest of blue-chip securitization collateral, for a reason that has nothing to do with any individual borrower and everything to do with numbers. A pool of card receivables might contain hundreds of thousands of accounts. A pool of auto loans might hold tens of thousands of borrowers spread across the country. No single account matters. What matters is the behavior of the pool in aggregate, and that behavior, over decades of data through good times and bad, is remarkably stable and well understood. Card losses rise in a recession and fall in a recovery, within a band the market has seen many times. Auto losses track employment and used-car values along curves the rating agencies have modeled for thirty years.</w:t>
      </w:r>
    </w:p>
    <w:p w14:paraId="60E8F98F" w14:textId="77777777" w:rsidR="007519C6" w:rsidRDefault="00000000">
      <w:pPr>
        <w:spacing w:after="60"/>
        <w:ind w:firstLine="360"/>
        <w:jc w:val="both"/>
      </w:pPr>
      <w:r>
        <w:rPr>
          <w:color w:val="1A1A1A"/>
        </w:rPr>
        <w:t xml:space="preserve">This statistical regularity is what makes the deep end deep. Because the pools behave predictably, the structures can be standardized, the same shelf issuing </w:t>
      </w:r>
      <w:r>
        <w:rPr>
          <w:color w:val="1A1A1A"/>
        </w:rPr>
        <w:lastRenderedPageBreak/>
        <w:t>the same kind of deal quarter after quarter. Because the structures are standardized, a wide range of investors can analyze them without specialized expertise, and a wide base of investors means real liquidity, competitive pricing, and a secondary market where the bonds change hands. The largest issuers are household names, the captive finance arms of the carmakers and the big card banks, and their programs are machines that turn a steady flow of new loans into a steady flow of new securities. The collateral is granular, the history is long, the documentation is conventional, and the buyer base is broad. Everything about the deep end is built for scale and repetition.</w:t>
      </w:r>
    </w:p>
    <w:p w14:paraId="64BADEBB" w14:textId="77777777" w:rsidR="007519C6" w:rsidRDefault="00000000">
      <w:pPr>
        <w:spacing w:after="60"/>
        <w:ind w:firstLine="360"/>
        <w:jc w:val="both"/>
      </w:pPr>
      <w:r>
        <w:rPr>
          <w:color w:val="1A1A1A"/>
        </w:rPr>
        <w:t>The lesson the deep end teaches, and carries into everything that follows, is that securitization works best when the pool is large, granular, and statistically familiar. The further a deal sits from that ideal, the more the analysis shifts from the behavior of a crowd to the particulars of a few, and the thinner the market for it becomes.</w:t>
      </w:r>
    </w:p>
    <w:p w14:paraId="6FFF8878" w14:textId="77777777" w:rsidR="007519C6" w:rsidRDefault="00000000">
      <w:pPr>
        <w:pStyle w:val="Heading2"/>
      </w:pPr>
      <w:r>
        <w:rPr>
          <w:color w:val="2E2E2E"/>
        </w:rPr>
        <w:t>Moving Out the Curve</w:t>
      </w:r>
    </w:p>
    <w:p w14:paraId="392349F2" w14:textId="77777777" w:rsidR="007519C6" w:rsidRDefault="00000000">
      <w:pPr>
        <w:spacing w:after="60"/>
        <w:ind w:firstLine="360"/>
        <w:jc w:val="both"/>
      </w:pPr>
      <w:r>
        <w:rPr>
          <w:color w:val="1A1A1A"/>
        </w:rPr>
        <w:t>Now move outward. Just past the flow sectors sits equipment finance, loans and leases on trucks, construction machinery, medical devices, agricultural gear, the productive hardware of the economy. The pools are smaller and less granular than cards or autos, the collateral is specific enough that its resale value matters, and the underwriting starts to require knowledge of the particular equipment and the particular industry. Still familiar, still well-trodden, but a step further from the pure statistics of the deep end.</w:t>
      </w:r>
    </w:p>
    <w:p w14:paraId="19D8A78D" w14:textId="77777777" w:rsidR="007519C6" w:rsidRDefault="00000000">
      <w:pPr>
        <w:spacing w:after="60"/>
        <w:ind w:firstLine="360"/>
        <w:jc w:val="both"/>
      </w:pPr>
      <w:r>
        <w:rPr>
          <w:color w:val="1A1A1A"/>
        </w:rPr>
        <w:t xml:space="preserve">Keep going and the collateral turns genuinely esoteric. Aircraft, financed against the value of the planes and the credit of the airlines that fly them. Royalty </w:t>
      </w:r>
      <w:r>
        <w:rPr>
          <w:color w:val="1A1A1A"/>
        </w:rPr>
        <w:lastRenderedPageBreak/>
        <w:t>streams, the cash flows thrown off by music catalogs, film libraries, and pharmaceutical patents. Litigation finance, where the collateral is the expected proceeds of legal claims. Whole-business securitizations, in which a franchisor like a restaurant chain securitizes substantially all of its cash flows, the franchise fees and the brand royalties, in one large structure. And newest of all, the digital-infrastructure deals, the securitization of the contracted cash flows from data centers and fiber networks and cell towers, the physical plumbing of the computing economy that the infrastructure chapter described from the lending side.</w:t>
      </w:r>
    </w:p>
    <w:p w14:paraId="27A08F83" w14:textId="77777777" w:rsidR="007519C6" w:rsidRDefault="00000000">
      <w:pPr>
        <w:spacing w:after="60"/>
        <w:ind w:firstLine="360"/>
        <w:jc w:val="both"/>
      </w:pPr>
      <w:r>
        <w:rPr>
          <w:color w:val="1A1A1A"/>
        </w:rPr>
        <w:t>What changes as you move out the curve is not the machine. It is still gather, isolate, tranche, distribute, exactly as the last chapter laid out. What changes is the collateral, and with it the analysis. A pool of a few aircraft or a single franchisor's cash flows cannot be understood as a statistical crowd. It has to be understood specifically, the planes and the airlines, the franchise system and its competition, the patents and their expiry. The underwriting stops being actuarial and starts being a matter of judgment about particular assets, particular industries, and particular structures. Esoteric is the honest word for it. These are deals you have to understand one at a time.</w:t>
      </w:r>
    </w:p>
    <w:p w14:paraId="55AE4C69" w14:textId="77777777" w:rsidR="007519C6" w:rsidRDefault="00000000">
      <w:pPr>
        <w:pStyle w:val="Heading2"/>
      </w:pPr>
      <w:r>
        <w:rPr>
          <w:color w:val="2E2E2E"/>
        </w:rPr>
        <w:t>The Thinning Syndication</w:t>
      </w:r>
    </w:p>
    <w:p w14:paraId="1AB63E59" w14:textId="77777777" w:rsidR="007519C6" w:rsidRDefault="00000000">
      <w:pPr>
        <w:spacing w:after="60"/>
        <w:ind w:firstLine="360"/>
        <w:jc w:val="both"/>
      </w:pPr>
      <w:r>
        <w:rPr>
          <w:color w:val="1A1A1A"/>
        </w:rPr>
        <w:t>And here is the observation this chapter is built around, the one that connects the whole spectrum to private credit. As the collateral moves from flow to esoteric, the syndication thins.</w:t>
      </w:r>
    </w:p>
    <w:p w14:paraId="5C82ACE1" w14:textId="77777777" w:rsidR="007519C6" w:rsidRDefault="00000000">
      <w:pPr>
        <w:spacing w:after="60"/>
        <w:ind w:firstLine="360"/>
        <w:jc w:val="both"/>
      </w:pPr>
      <w:r>
        <w:rPr>
          <w:color w:val="1A1A1A"/>
        </w:rPr>
        <w:t xml:space="preserve">In the deep end, a card or auto deal is sold to a broad base of buyers, money market funds, insurers, banks, asset managers, all comfortable with familiar </w:t>
      </w:r>
      <w:r>
        <w:rPr>
          <w:color w:val="1A1A1A"/>
        </w:rPr>
        <w:lastRenderedPageBreak/>
        <w:t>collateral they can analyze with standard tools, and the breadth of that base is what creates the liquidity. As you move out the curve, the base narrows. Fewer investors have the expertise to underwrite an aircraft pool or a pharmaceutical royalty deal, so fewer of them buy it. The deals get smaller and less frequent. The pricing depends more on a negotiation with a handful of specialist buyers than on a deep competitive market. By the time you reach the truly esoteric end, a securitization can look less like a public offering and more like a private arrangement between an issuer and a small club of investors who happen to know the asset.</w:t>
      </w:r>
    </w:p>
    <w:p w14:paraId="1C2F17B2" w14:textId="77777777" w:rsidR="007519C6" w:rsidRDefault="00000000">
      <w:pPr>
        <w:spacing w:after="60"/>
        <w:ind w:firstLine="360"/>
        <w:jc w:val="both"/>
      </w:pPr>
      <w:r>
        <w:rPr>
          <w:color w:val="1A1A1A"/>
        </w:rPr>
        <w:t>That thinness has always been a feature of esoteric ABS, not a recent development. The market for these deals was never deep, because the expertise required to play in it was never widespread. And the thinness is the clue. A market this thin, this dependent on specialized underwriting and relationship rather than on broad liquidity and standard analysis, is describing something that no longer behaves like a public securities market at all. It is describing something that behaves like private credit.</w:t>
      </w:r>
    </w:p>
    <w:p w14:paraId="55ACC6FA" w14:textId="77777777" w:rsidR="007519C6" w:rsidRDefault="00000000">
      <w:pPr>
        <w:pStyle w:val="Heading2"/>
      </w:pPr>
      <w:r>
        <w:rPr>
          <w:color w:val="2E2E2E"/>
        </w:rPr>
        <w:t>Where ABS Crosses into Private Credit</w:t>
      </w:r>
    </w:p>
    <w:p w14:paraId="605A5151" w14:textId="77777777" w:rsidR="007519C6" w:rsidRDefault="00000000">
      <w:pPr>
        <w:spacing w:after="60"/>
        <w:ind w:firstLine="360"/>
        <w:jc w:val="both"/>
      </w:pPr>
      <w:r>
        <w:rPr>
          <w:color w:val="1A1A1A"/>
        </w:rPr>
        <w:t>Follow the spectrum to its end and the boundary between structured products and private credit simply dissolves. Consider an esoteric pool, royalties, equipment, specialty receivables, financed not through a public shelf but through a private structure placed with one insurer or a small group of funds. Is that a securitization or a private credit deal? The honest answer is that it is both, and the question is not worth arguing, because the two descriptions have converged on the same thing.</w:t>
      </w:r>
    </w:p>
    <w:p w14:paraId="03EE6ADE" w14:textId="77777777" w:rsidR="007519C6" w:rsidRDefault="00000000">
      <w:pPr>
        <w:spacing w:after="60"/>
        <w:ind w:firstLine="360"/>
        <w:jc w:val="both"/>
      </w:pPr>
      <w:r>
        <w:rPr>
          <w:color w:val="1A1A1A"/>
        </w:rPr>
        <w:lastRenderedPageBreak/>
        <w:t>This is the crossover, and it runs in both directions. From the structured side, an esoteric ABS sold privately to a handful of specialist buyers is, in substance, asset-based private credit wearing securitization's clothes. From the private credit side, the asset-based strategies that the earlier chapter described, the equipment finance, the royalty lending, the specialty receivables, are routinely financed through structures that use the securitization machine, the bankruptcy-remote vehicle, the tranching, the coverage tests, even when no public security is ever issued. The same assets, the same machinery, the same small base of expert capital. Only the wrapper and the label differ.</w:t>
      </w:r>
    </w:p>
    <w:p w14:paraId="6C868357" w14:textId="77777777" w:rsidR="007519C6" w:rsidRDefault="00000000">
      <w:pPr>
        <w:spacing w:after="60"/>
        <w:ind w:firstLine="360"/>
        <w:jc w:val="both"/>
      </w:pPr>
      <w:r>
        <w:rPr>
          <w:color w:val="1A1A1A"/>
        </w:rPr>
        <w:t>This is why the line between Part Two and Part Three of this book is, in places, a convenience rather than a real division. The flow sectors at the deep end are genuinely public markets, broad and liquid, and they belong to the world of structured products. The esoteric end is genuinely private, thin and bespoke, and it belongs to the world of private credit. In between is a continuous gradient, not a border, and the asset-based corner of private credit and the esoteric corner of structured products are the same activity approached from two directions. The most permeable point in the entire architecture is right here, where the syndication has thinned to a handful of buyers and a securitization has quietly become a private loan. Keep that in view as the next chapters turn to the mortgage market, where the same crossover is happening again, in a far larger asset class and in real time.</w:t>
      </w:r>
    </w:p>
    <w:p w14:paraId="7F697F63" w14:textId="77777777" w:rsidR="007519C6" w:rsidRDefault="00000000">
      <w:r>
        <w:br w:type="page"/>
      </w:r>
    </w:p>
    <w:p w14:paraId="0D48F0A1" w14:textId="77777777" w:rsidR="007519C6" w:rsidRDefault="00000000">
      <w:pPr>
        <w:pStyle w:val="Heading1"/>
      </w:pPr>
      <w:r>
        <w:lastRenderedPageBreak/>
        <w:t>Chapter 18: RMBS and the Return of Residential Credit</w:t>
      </w:r>
    </w:p>
    <w:p w14:paraId="4244071C" w14:textId="77777777" w:rsidR="007519C6" w:rsidRDefault="00000000">
      <w:pPr>
        <w:spacing w:after="60"/>
        <w:jc w:val="both"/>
      </w:pPr>
      <w:r>
        <w:rPr>
          <w:color w:val="1A1A1A"/>
        </w:rPr>
        <w:t>Residential mortgage-backed securities were the instrument at the center of the last catastrophe, and for a few years after it the private-label version of the market all but disappeared. It did not stay gone. Residential credit has come back, but in a changed shape, and increasingly it arrives through private credit rather than through the public bond market. This chapter traces that arc from the agencies, through the crisis, to the residential credit frontier that is growing again now, and it is in many ways the largest live example of the crossover the last chapter described.</w:t>
      </w:r>
    </w:p>
    <w:p w14:paraId="46D1A6F8" w14:textId="77777777" w:rsidR="007519C6" w:rsidRDefault="00000000">
      <w:pPr>
        <w:pStyle w:val="Heading2"/>
      </w:pPr>
      <w:r>
        <w:rPr>
          <w:color w:val="2E2E2E"/>
        </w:rPr>
        <w:t>Agency and Private-Label</w:t>
      </w:r>
    </w:p>
    <w:p w14:paraId="73FF6436" w14:textId="77777777" w:rsidR="007519C6" w:rsidRDefault="00000000">
      <w:pPr>
        <w:spacing w:after="60"/>
        <w:ind w:firstLine="360"/>
        <w:jc w:val="both"/>
      </w:pPr>
      <w:r>
        <w:rPr>
          <w:color w:val="1A1A1A"/>
        </w:rPr>
        <w:t>The American mortgage market has two halves, and the distinction between them is the key to everything that follows. The first half is the agency market, built around Fannie Mae, Freddie Mac, and Ginnie Mae. A mortgage that meets their standards, a conforming loan, can be sold to one of the agencies, pooled, and securitized into a bond that carries a guarantee of timely payment backed, explicitly or implicitly, by the federal government. The credit risk on an agency mortgage bond is effectively the government's. What the investor is really taking is interest-rate risk and prepayment risk, the chance that rates move or that homeowners refinance and hand back their principal early. This is the larger half of the market by far, the plumbing of American housing finance, and it is not really private credit at all. The government stands behind it.</w:t>
      </w:r>
    </w:p>
    <w:p w14:paraId="27B46FF1" w14:textId="77777777" w:rsidR="007519C6" w:rsidRDefault="00000000">
      <w:pPr>
        <w:spacing w:after="60"/>
        <w:ind w:firstLine="360"/>
        <w:jc w:val="both"/>
      </w:pPr>
      <w:r>
        <w:rPr>
          <w:color w:val="1A1A1A"/>
        </w:rPr>
        <w:t xml:space="preserve">The second half is the private-label market, which securitizes the mortgages the agencies will not take. Loans too large to conform, the jumbo mortgages. </w:t>
      </w:r>
      <w:r>
        <w:rPr>
          <w:color w:val="1A1A1A"/>
        </w:rPr>
        <w:lastRenderedPageBreak/>
        <w:t>Loans to borrowers who do not fit the agency template. Loans on terms the agencies do not allow. Here there is no government guarantee. The investor takes the actual credit risk of the borrowers, and the structure has to manufacture safety the old-fashioned way, through subordination and the rest of the credit enhancement the machine provides. Private-label RMBS is genuine private credit risk, tranched and sold, and it is the half of the mortgage market this chapter cares about, because it is the half that broke, and the half that has come back.</w:t>
      </w:r>
    </w:p>
    <w:p w14:paraId="503741FF" w14:textId="77777777" w:rsidR="007519C6" w:rsidRDefault="00000000">
      <w:pPr>
        <w:pStyle w:val="Heading2"/>
      </w:pPr>
      <w:r>
        <w:rPr>
          <w:color w:val="2E2E2E"/>
        </w:rPr>
        <w:t>What the Crisis Did to the Label</w:t>
      </w:r>
    </w:p>
    <w:p w14:paraId="72EBBE7B" w14:textId="77777777" w:rsidR="007519C6" w:rsidRDefault="00000000">
      <w:pPr>
        <w:spacing w:after="60"/>
        <w:ind w:firstLine="360"/>
        <w:jc w:val="both"/>
      </w:pPr>
      <w:r>
        <w:rPr>
          <w:color w:val="1A1A1A"/>
        </w:rPr>
        <w:t>What broke in 2008 was, specifically, the private-label market, and it broke because the underwriting underneath it had rotted while the structure on top of it pretended otherwise. The crisis chapters told that story from the top down, through the CDOs and the funding runs. From the bottom up it was simpler. The loans going into the private-label pools in the years before the crisis were, in growing measure, loans that should never have been made, to borrowers who could not document their income, on houses whose prices assumed a rise that could not continue, underwritten by originators who bore none of the risk because they sold every loan into a securitization the moment it closed.</w:t>
      </w:r>
    </w:p>
    <w:p w14:paraId="58F775A2" w14:textId="77777777" w:rsidR="007519C6" w:rsidRDefault="00000000">
      <w:pPr>
        <w:spacing w:after="60"/>
        <w:ind w:firstLine="360"/>
        <w:jc w:val="both"/>
      </w:pPr>
      <w:r>
        <w:rPr>
          <w:color w:val="1A1A1A"/>
        </w:rPr>
        <w:t xml:space="preserve">That last point is the one that matters most, and it has a name this book keeps returning to, originate-to-distribute. When the originator keeps the loan, the originator cares whether it is any good. When the originator sells the loan immediately and keeps only the fee, the incentive shifts from quality to volume, and the quality of what fed the private-label machine degraded accordingly, year after year, until the pools were full of loans that defaulted the moment house </w:t>
      </w:r>
      <w:r>
        <w:rPr>
          <w:color w:val="1A1A1A"/>
        </w:rPr>
        <w:lastRenderedPageBreak/>
        <w:t>prices stopped rising. The structures did not save the investors, because no amount of tranching makes a safe senior claim out of a pool of loans that all fail together when the same thing goes wrong. The private-label market did not just take losses. It lost the trust of its investors so completely that new issuance very nearly stopped for years. The agencies, government-backed, kept functioning and absorbed almost the entire mortgage market for a time. The private label went dark, the way the fiber had a cycle earlier, and for a while it looked like it might not come back at all.</w:t>
      </w:r>
    </w:p>
    <w:p w14:paraId="2868B8EC" w14:textId="77777777" w:rsidR="007519C6" w:rsidRDefault="00000000">
      <w:pPr>
        <w:spacing w:after="60"/>
        <w:ind w:firstLine="360"/>
        <w:jc w:val="both"/>
      </w:pPr>
      <w:r>
        <w:rPr>
          <w:color w:val="1A1A1A"/>
        </w:rPr>
        <w:t>The lesson was the one the whole crisis taught, stated in the mortgage market's particular dialect. Retained risk and real underwriting are not optional features of a securitization. They are the thing that makes the collateral worth owning, and a structure built on collateral nobody underwrote honestly is a machine for manufacturing losses with a triple-A label on the box.</w:t>
      </w:r>
    </w:p>
    <w:p w14:paraId="548AECE1" w14:textId="77777777" w:rsidR="007519C6" w:rsidRDefault="00000000">
      <w:pPr>
        <w:pStyle w:val="Heading2"/>
      </w:pPr>
      <w:r>
        <w:rPr>
          <w:color w:val="2E2E2E"/>
        </w:rPr>
        <w:t>The New Residential Credit</w:t>
      </w:r>
    </w:p>
    <w:p w14:paraId="70AE67F3" w14:textId="77777777" w:rsidR="007519C6" w:rsidRDefault="00000000">
      <w:pPr>
        <w:spacing w:after="60"/>
        <w:ind w:firstLine="360"/>
        <w:jc w:val="both"/>
      </w:pPr>
      <w:r>
        <w:rPr>
          <w:color w:val="1A1A1A"/>
        </w:rPr>
        <w:t>When residential credit came back, it came back changed, and it came back largely through private credit. The post-crisis reforms had drawn a bright line. A category of carefully underwritten, well-documented loans was defined as the qualified mortgage, the safe harbor, and most of those loans flow to the agencies. Everything outside that line, loans that are perfectly sound but do not fit the qualified-mortgage template, became the territory of a new private market, and that market has grown into one of the more interesting frontiers in private credit.</w:t>
      </w:r>
    </w:p>
    <w:p w14:paraId="6DD6CAEA" w14:textId="77777777" w:rsidR="007519C6" w:rsidRDefault="00000000">
      <w:pPr>
        <w:spacing w:after="60"/>
        <w:ind w:firstLine="360"/>
        <w:jc w:val="both"/>
      </w:pPr>
      <w:r>
        <w:rPr>
          <w:color w:val="1A1A1A"/>
        </w:rPr>
        <w:t xml:space="preserve">It has a few main streams. Non-qualified-mortgage lending, non-QM for short, serves borrowers who are creditworthy but do not fit the agency box, the self-employed borrower whose tax returns understate real income, the investor </w:t>
      </w:r>
      <w:r>
        <w:rPr>
          <w:color w:val="1A1A1A"/>
        </w:rPr>
        <w:lastRenderedPageBreak/>
        <w:t>with many properties, the borrower with a one-time blemish. These are not the liar loans of the last cycle. They are loans that require actual underwriting rather than a checklist, which is precisely why a checklist-driven agency market does not make them and a judgment-driven private market does. A second stream is the residential transition loan, the short-term financing behind the fix-and-flip, lending to the investor who buys a house, renovates it, and sells or refinances it within a year or two. A third is the DSCR loan, named for the debt service coverage ratio it is underwritten against, made to investor-owners and sized not against the borrower's personal income but against the rent the property itself generates, which makes it closer to a small commercial real estate loan than to a traditional mortgage.</w:t>
      </w:r>
    </w:p>
    <w:p w14:paraId="643353BD" w14:textId="77777777" w:rsidR="007519C6" w:rsidRDefault="00000000">
      <w:pPr>
        <w:spacing w:after="60"/>
        <w:ind w:firstLine="360"/>
        <w:jc w:val="both"/>
      </w:pPr>
      <w:r>
        <w:rPr>
          <w:color w:val="1A1A1A"/>
        </w:rPr>
        <w:t>What unites these streams is the shape of the activity. A specialist lender, often backed by private credit capital, originates the loans using real underwriting judgment, holds them or warehouses them, and then finances them, frequently by securitizing them into exactly the kind of private-label RMBS structure that disappeared after the crisis. The machine is the same one the crisis discredited. The difference, the difference the whole market is betting on, is that the loans going into it this time were actually underwritten, and that the originators this time keep a stake in the outcome rather than selling and forgetting. Whether that difference holds through a real housing downturn is, like so much else in this book, a question the next severe test will answer and the benign years cannot.</w:t>
      </w:r>
    </w:p>
    <w:p w14:paraId="202066AF" w14:textId="77777777" w:rsidR="007519C6" w:rsidRDefault="00000000">
      <w:pPr>
        <w:pStyle w:val="Heading2"/>
      </w:pPr>
      <w:r>
        <w:rPr>
          <w:color w:val="2E2E2E"/>
        </w:rPr>
        <w:t>Servicing Rights and the Private Bid</w:t>
      </w:r>
    </w:p>
    <w:p w14:paraId="16100611" w14:textId="77777777" w:rsidR="007519C6" w:rsidRDefault="00000000">
      <w:pPr>
        <w:spacing w:after="60"/>
        <w:ind w:firstLine="360"/>
        <w:jc w:val="both"/>
      </w:pPr>
      <w:r>
        <w:rPr>
          <w:color w:val="1A1A1A"/>
        </w:rPr>
        <w:lastRenderedPageBreak/>
        <w:t>Alongside the loans themselves sits a stranger and more technical asset that has quietly become a significant private credit holding, the mortgage servicing right. When a mortgage is made, someone has to service it, collect the payments, manage the escrow, chase the delinquencies, handle the paperwork, and the right to do that work in exchange for a small slice of the interest is itself a financial asset that can be bought and sold. A mortgage servicing right is a claim on a thin, long-dated stream of cash flows, and valuing it is genuinely difficult, because its worth depends on how long the underlying mortgages stay outstanding, which depends on when borrowers refinance, which depends on the path of interest rates. It is, in effect, a bet on prepayment.</w:t>
      </w:r>
    </w:p>
    <w:p w14:paraId="7FC58061" w14:textId="77777777" w:rsidR="007519C6" w:rsidRDefault="00000000">
      <w:pPr>
        <w:spacing w:after="60"/>
        <w:ind w:firstLine="360"/>
        <w:jc w:val="both"/>
      </w:pPr>
      <w:r>
        <w:rPr>
          <w:color w:val="1A1A1A"/>
        </w:rPr>
        <w:t>These rights used to sit overwhelmingly on bank balance sheets. After the crisis, capital rules made them expensive for banks to hold, and they migrated, like so much else in this book, to non-bank specialists funded substantially by private credit and insurance capital. The non-bank servicers and the funds behind them became major owners of servicing rights, taking on an asset that requires real expertise to value and hedge, and earning a return for doing the work and bearing the prepayment risk that the banks no longer wanted. It is an unglamorous corner of the market, but it is a sizable one, and it is a clean example of the broader pattern, an asset leaving the regulated bank balance sheet and reappearing on a private one.</w:t>
      </w:r>
    </w:p>
    <w:p w14:paraId="56DB1102" w14:textId="77777777" w:rsidR="007519C6" w:rsidRDefault="00000000">
      <w:pPr>
        <w:pStyle w:val="Heading2"/>
      </w:pPr>
      <w:r>
        <w:rPr>
          <w:color w:val="2E2E2E"/>
        </w:rPr>
        <w:t>Why It Is Growing Again</w:t>
      </w:r>
    </w:p>
    <w:p w14:paraId="2D2858AA" w14:textId="77777777" w:rsidR="007519C6" w:rsidRDefault="00000000">
      <w:pPr>
        <w:spacing w:after="60"/>
        <w:ind w:firstLine="360"/>
        <w:jc w:val="both"/>
      </w:pPr>
      <w:r>
        <w:rPr>
          <w:color w:val="1A1A1A"/>
        </w:rPr>
        <w:t xml:space="preserve">Step back and the reasons residential credit is expanding through private channels are the same forces that run through this entire book. The banks have pulled back from the parts of mortgage lending that the post-crisis rules made </w:t>
      </w:r>
      <w:r>
        <w:rPr>
          <w:color w:val="1A1A1A"/>
        </w:rPr>
        <w:lastRenderedPageBreak/>
        <w:t>expensive, the non-conforming loans and the servicing rights, leaving room for private capital to step in, exactly as they pulled back from middle-market lending and left room for direct lending. Insurance capital, hunting for long-dated assets that match its long-dated liabilities, has found residential credit a natural fit, and the integrated asset-manager-insurer platforms have become large buyers of it. And the securitization machine, rebuilt and to some degree rehabilitated, gives the whole activity a funding channel, turning pools of privately originated mortgages into rated securities that insurers and other institutions can hold.</w:t>
      </w:r>
    </w:p>
    <w:p w14:paraId="7FDE2A8D" w14:textId="77777777" w:rsidR="007519C6" w:rsidRDefault="00000000">
      <w:pPr>
        <w:spacing w:after="60"/>
        <w:ind w:firstLine="360"/>
        <w:jc w:val="both"/>
      </w:pPr>
      <w:r>
        <w:rPr>
          <w:color w:val="1A1A1A"/>
        </w:rPr>
        <w:t>So the same crossover the last chapter traced in esoteric ABS is happening again in the mortgage market, on a far larger scale. Residential credit is being originated privately, with real underwriting, by specialist lenders backed by private capital, and then financed through structures that use the securitization machine. The boundary between private credit and structured products runs right through the middle of it, and the activity does not care which side of the line you assign it to. The open question is the one the crisis posed and this cycle has not yet answered. The structures are better and the underwriting is more honest than it was in 2006. But residential credit at scale has not faced a serious national housing downturn since it came back, and until it does, the confidence that this time is different rests on better incentives and better memories, both of which, as the cycles chapter warned, have a way of fading precisely when they are most needed.</w:t>
      </w:r>
    </w:p>
    <w:p w14:paraId="0913574A" w14:textId="77777777" w:rsidR="007519C6" w:rsidRDefault="00000000">
      <w:r>
        <w:br w:type="page"/>
      </w:r>
    </w:p>
    <w:p w14:paraId="4608734C" w14:textId="77777777" w:rsidR="007519C6" w:rsidRDefault="00000000">
      <w:pPr>
        <w:pStyle w:val="Heading1"/>
      </w:pPr>
      <w:r>
        <w:lastRenderedPageBreak/>
        <w:t>Chapter 19: ABS CDOs, CDO-Squared, and the Limits of Complexity</w:t>
      </w:r>
    </w:p>
    <w:p w14:paraId="4D3BF40A" w14:textId="77777777" w:rsidR="007519C6" w:rsidRDefault="00000000">
      <w:pPr>
        <w:spacing w:after="60"/>
        <w:jc w:val="both"/>
      </w:pPr>
      <w:r>
        <w:rPr>
          <w:color w:val="1A1A1A"/>
        </w:rPr>
        <w:t>If the CLO is the structured market's success story, the ABS CDO and its descendant the CDO-squared are its cautionary tale, and the contrast between them is one of the most instructive in all of finance. They used the same machine the last chapters described, the pool, the tranches, the waterfall, the ratings, and they pointed it at the wrong collateral, then resecuritized the result until almost no one could see what was inside. The crisis chapters told the story of the damage these structures did. This chapter is the anatomy and the judgment. What they actually were, why they failed in the specific way they did, how a practitioner should approach anything resembling them, and whether the honest answer is ever yes.</w:t>
      </w:r>
    </w:p>
    <w:p w14:paraId="100DFDC6" w14:textId="77777777" w:rsidR="007519C6" w:rsidRDefault="00000000">
      <w:pPr>
        <w:pStyle w:val="Heading2"/>
      </w:pPr>
      <w:r>
        <w:rPr>
          <w:color w:val="2E2E2E"/>
        </w:rPr>
        <w:t>What They Were</w:t>
      </w:r>
    </w:p>
    <w:p w14:paraId="03CD5C1E" w14:textId="77777777" w:rsidR="007519C6" w:rsidRDefault="00000000">
      <w:pPr>
        <w:spacing w:after="60"/>
        <w:ind w:firstLine="360"/>
        <w:jc w:val="both"/>
      </w:pPr>
      <w:r>
        <w:rPr>
          <w:color w:val="1A1A1A"/>
        </w:rPr>
        <w:t>Begin with the definitions, because the names are confusing by design and the confusion was part of the problem. A collateralized debt obligation, a CDO, is the general form of the machine, a structure that pools debt and issues tranches against it. The CLO, the collateralized loan obligation of the earlier chapter, is the version whose collateral is corporate loans, and it worked. The ABS CDO is the version whose collateral is tranches of asset-backed securities, and in the years before the crisis that meant, overwhelmingly, the mezzanine tranches of subprime residential mortgage bonds. This is the crucial fact. An ABS CDO did not hold mortgages. It held slices of other securitizations that held mortgages. It was a securitization of securitizations, one full step removed from the actual loans.</w:t>
      </w:r>
    </w:p>
    <w:p w14:paraId="78538D70" w14:textId="77777777" w:rsidR="007519C6" w:rsidRDefault="00000000">
      <w:pPr>
        <w:spacing w:after="60"/>
        <w:ind w:firstLine="360"/>
        <w:jc w:val="both"/>
      </w:pPr>
      <w:r>
        <w:rPr>
          <w:color w:val="1A1A1A"/>
        </w:rPr>
        <w:lastRenderedPageBreak/>
        <w:t>Hold onto what that means in practice. A subprime mortgage bond pooled thousands of loans and tranched them, and the lower-rated tranches, the BBB layer that sat above the equity and absorbed losses early, were hard to sell on their own, because everyone understood they were risky. The ABS CDO was the machine that solved that selling problem. It gathered up the unloved BBB tranches from dozens of different subprime deals, pooled them, and ran them through the machine again, and out the other end came a new stack of securities, most of it newly rated triple-A. The structure had taken a pile of BBB-rated subprime mortgage risk and, through a second round of pooling and tranching, manufactured a large quantity of paper rated as safe as government debt. That was the trick, and it was sold as diversification. By combining tranches from many different deals, the argument ran, the structure spread its risk and earned its high rating.</w:t>
      </w:r>
    </w:p>
    <w:p w14:paraId="3865F7C6" w14:textId="77777777" w:rsidR="007519C6" w:rsidRDefault="00000000">
      <w:pPr>
        <w:spacing w:after="60"/>
        <w:ind w:firstLine="360"/>
        <w:jc w:val="both"/>
      </w:pPr>
      <w:r>
        <w:rPr>
          <w:color w:val="1A1A1A"/>
        </w:rPr>
        <w:t xml:space="preserve">The CDO-squared took the same move one step further into the dark. Its collateral was not tranches of mortgage bonds but tranches of other CDOs. A securitization of securitizations of securitizations, two full steps from the mortgages, and by the time you reached it the connection to any actual house in any actual town had become almost impossible to trace. And a great many of these structures, especially late in the cycle, were synthetic, built not from cash bonds at all but from credit default swaps that referenced the subprime tranches. That mattered enormously, because a synthetic structure did not need real bonds to exist. The same subprime tranche could be referenced by many different synthetic CDOs at once, so the machine could manufacture exposure to subprime mortgages far in excess of the mortgages that actually existed. The losses, when </w:t>
      </w:r>
      <w:r>
        <w:rPr>
          <w:color w:val="1A1A1A"/>
        </w:rPr>
        <w:lastRenderedPageBreak/>
        <w:t>they came, were therefore larger than the underlying market, because the bets had been copied many times over.</w:t>
      </w:r>
    </w:p>
    <w:p w14:paraId="3ADF4AF6" w14:textId="77777777" w:rsidR="007519C6" w:rsidRDefault="00000000">
      <w:pPr>
        <w:pStyle w:val="Heading2"/>
      </w:pPr>
      <w:r>
        <w:rPr>
          <w:color w:val="2E2E2E"/>
        </w:rPr>
        <w:t>Why Resecuritization Concentrated Correlation</w:t>
      </w:r>
    </w:p>
    <w:p w14:paraId="234B85A7" w14:textId="77777777" w:rsidR="007519C6" w:rsidRDefault="00000000">
      <w:pPr>
        <w:spacing w:after="60"/>
        <w:ind w:firstLine="360"/>
        <w:jc w:val="both"/>
      </w:pPr>
      <w:r>
        <w:rPr>
          <w:color w:val="1A1A1A"/>
        </w:rPr>
        <w:t>Now the heart of it, the single error from which everything else followed. The whole case for the ABS CDO rested on diversification, the claim that pooling BBB tranches from many different mortgage deals spread the risk. That claim was false, and it was false for a reason that is obvious in hindsight and was obvious to a few people at the time. The BBB tranches of subprime mortgage bonds were not independent of one another. They were all exposed to the same thing, the American housing market, and to the same underwriting deterioration that had spread across the entire subprime industry. Geography did not save them, because house prices were falling everywhere at once. Issuer did not save them, because every issuer had loosened standards in the same way. The tranches looked different on paper. Underneath, they were the same bet.</w:t>
      </w:r>
    </w:p>
    <w:p w14:paraId="235319AF" w14:textId="77777777" w:rsidR="007519C6" w:rsidRDefault="00000000">
      <w:pPr>
        <w:spacing w:after="60"/>
        <w:ind w:firstLine="360"/>
        <w:jc w:val="both"/>
      </w:pPr>
      <w:r>
        <w:rPr>
          <w:color w:val="1A1A1A"/>
        </w:rPr>
        <w:t xml:space="preserve">This is what correlation means in a credit pool, and it is the parameter on which a resecuritization lives or dies. If the underlying exposures are genuinely independent, pooling them does spread risk, and a thick senior tranche is justified, because they will not all fail together. If the underlying exposures are correlated, pooling them does nothing, because when one fails they all fail, and a senior tranche built on the assumption of independence has no cushion at all. The models that rated the ABS CDOs assumed a level of correlation among the underlying tranches that was far too low. That low assumption is precisely what allowed the structures to manufacture so much triple-A out of so much BBB. When the real correlation turned out to be close to one, when the BBB tranches </w:t>
      </w:r>
      <w:r>
        <w:rPr>
          <w:color w:val="1A1A1A"/>
        </w:rPr>
        <w:lastRenderedPageBreak/>
        <w:t>across every deal defaulted together because they were all bets on the same housing market, the diversification the structure had been built on simply was not there.</w:t>
      </w:r>
    </w:p>
    <w:p w14:paraId="460D0306" w14:textId="77777777" w:rsidR="007519C6" w:rsidRDefault="00000000">
      <w:pPr>
        <w:spacing w:after="60"/>
        <w:ind w:firstLine="360"/>
        <w:jc w:val="both"/>
      </w:pPr>
      <w:r>
        <w:rPr>
          <w:color w:val="1A1A1A"/>
        </w:rPr>
        <w:t>Resecuritization makes this error catastrophic rather than merely costly, and this is the technical point worth carrying away from the whole episode. Tranching is hypersensitive to correlation, and tranching a second time compounds the sensitivity. A modest error in the correlation assumption at the level of a single mortgage bond becomes a large error at the level of the ABS CDO built on its tranches, and a fatal one at the level of the CDO-squared built on those. The senior tranches of these structures did not decline gracefully as losses mounted. They fell off a cliff, going from triple-A to nearly worthless in a span that left no time and no room to react, because there was no real cushion underneath them. There never had been. The cushion existed only in the correlation assumption, and the assumption was wrong.</w:t>
      </w:r>
    </w:p>
    <w:p w14:paraId="7C39DCB6" w14:textId="77777777" w:rsidR="007519C6" w:rsidRDefault="00000000">
      <w:pPr>
        <w:pStyle w:val="Heading2"/>
      </w:pPr>
      <w:r>
        <w:rPr>
          <w:color w:val="2E2E2E"/>
        </w:rPr>
        <w:t>The Analytical Problem</w:t>
      </w:r>
    </w:p>
    <w:p w14:paraId="52D522A9" w14:textId="77777777" w:rsidR="007519C6" w:rsidRDefault="00000000">
      <w:pPr>
        <w:spacing w:after="60"/>
        <w:ind w:firstLine="360"/>
        <w:jc w:val="both"/>
      </w:pPr>
      <w:r>
        <w:rPr>
          <w:color w:val="1A1A1A"/>
        </w:rPr>
        <w:t>There is a second failure layered on the first, and it is about knowledge rather than correlation. Even setting aside whether the structures were sound, they were very nearly impossible to analyze honestly, and most of the people who owned them were not really analyzing them at all.</w:t>
      </w:r>
    </w:p>
    <w:p w14:paraId="559F80A4" w14:textId="77777777" w:rsidR="007519C6" w:rsidRDefault="00000000">
      <w:pPr>
        <w:spacing w:after="60"/>
        <w:ind w:firstLine="360"/>
        <w:jc w:val="both"/>
      </w:pPr>
      <w:r>
        <w:rPr>
          <w:color w:val="1A1A1A"/>
        </w:rPr>
        <w:t xml:space="preserve">Consider what genuine analysis of a CDO-squared tranche would have required. You would need to look through to the CDO tranches it held, perhaps a hundred of them. For each of those, you would need to look through to the mortgage bond tranches it held, perhaps a hundred each. For each of those, you would need to understand the thousands of individual subprime mortgages </w:t>
      </w:r>
      <w:r>
        <w:rPr>
          <w:color w:val="1A1A1A"/>
        </w:rPr>
        <w:lastRenderedPageBreak/>
        <w:t>underneath, the borrowers, the loan terms, the house values, the geographies. The number of underlying mortgages standing behind a single CDO-squared tranche ran into the millions, and they overlapped in ways that defied tracing, because the same popular subprime tranches turned up again and again across many different CDOs. No investor could realistically perform that analysis. The look-through was not merely difficult. For practical purposes it was impossible, and the structures were complex enough that even their creators often could not say with confidence what was inside them.</w:t>
      </w:r>
    </w:p>
    <w:p w14:paraId="6316E5D9" w14:textId="77777777" w:rsidR="007519C6" w:rsidRDefault="00000000">
      <w:pPr>
        <w:spacing w:after="60"/>
        <w:ind w:firstLine="360"/>
        <w:jc w:val="both"/>
      </w:pPr>
      <w:r>
        <w:rPr>
          <w:color w:val="1A1A1A"/>
        </w:rPr>
        <w:t>So the investors did what the system invited them to do. They relied on the rating. The triple-A was treated as a fact about safety rather than as what it actually was, a model's opinion resting on a correlation assumption almost nobody examined. This is the deeper lesson of the analytical problem, and it generalizes well beyond the crisis. When a structure is too complex to understand, the rating does not fill the gap. It hides it. The letter grade lets capital flow into something no one has analyzed, and it substitutes the agency's assumptions for the investor's judgment, which is fine exactly until those assumptions are wrong, at which point the investor discovers that a symbol was standing in for an understanding he never had. Complexity that cannot be seen through is not a sign of sophistication. It is a place for risk to hide.</w:t>
      </w:r>
    </w:p>
    <w:p w14:paraId="007CA09C" w14:textId="77777777" w:rsidR="007519C6" w:rsidRDefault="00000000">
      <w:pPr>
        <w:pStyle w:val="Heading2"/>
      </w:pPr>
      <w:r>
        <w:rPr>
          <w:color w:val="2E2E2E"/>
        </w:rPr>
        <w:t>How One Should Be Approached, If at All</w:t>
      </w:r>
    </w:p>
    <w:p w14:paraId="482A2DEE" w14:textId="77777777" w:rsidR="007519C6" w:rsidRDefault="00000000">
      <w:pPr>
        <w:spacing w:after="60"/>
        <w:ind w:firstLine="360"/>
        <w:jc w:val="both"/>
      </w:pPr>
      <w:r>
        <w:rPr>
          <w:color w:val="1A1A1A"/>
        </w:rPr>
        <w:t>What, then, should a practitioner do when something resembling a resecuritization appears, as in various forms it always eventually does? The answer is a discipline, not a slogan, and it starts by being honest about the narrow conditions under which the structure can make sense at all.</w:t>
      </w:r>
    </w:p>
    <w:p w14:paraId="1530D237" w14:textId="77777777" w:rsidR="007519C6" w:rsidRDefault="00000000">
      <w:pPr>
        <w:spacing w:after="60"/>
        <w:ind w:firstLine="360"/>
        <w:jc w:val="both"/>
      </w:pPr>
      <w:r>
        <w:rPr>
          <w:color w:val="1A1A1A"/>
        </w:rPr>
        <w:lastRenderedPageBreak/>
        <w:t>Resecuritization is legitimate when, and only when, a few demanding conditions hold together. The underlying exposures have to be genuinely independent, with a correlation that is low and, more importantly, stable under stress, because correlation among credit assets has a habit of rising toward one in exactly the conditions that matter. The look-through has to be tractable, meaning you can actually see and analyze what sits underneath rather than taking it on faith. There must be no hidden overlap, no situation where the same exposures recur across the pool in ways that quietly concentrate what looks diversified. And the structure has to carry real cushion against the correlation assumption being wrong, rather than depending on that assumption being right. When all of those hold, a second layer of securitization can do honest work. They rarely all hold.</w:t>
      </w:r>
    </w:p>
    <w:p w14:paraId="0CFD4341" w14:textId="77777777" w:rsidR="007519C6" w:rsidRDefault="00000000">
      <w:pPr>
        <w:spacing w:after="60"/>
        <w:ind w:firstLine="360"/>
        <w:jc w:val="both"/>
      </w:pPr>
      <w:r>
        <w:rPr>
          <w:color w:val="1A1A1A"/>
        </w:rPr>
        <w:t xml:space="preserve">For most resecuritizations of correlated credit, the honest answer is simply no, and saying so is a discipline worth keeping. The questions to ask are blunt. Can I see through to the underlying exposures, or am I trusting a rating because I cannot? Are the things in this pool independent, or are they the same bet in different wrappers? What happens to the senior tranche if correlation runs higher than the model assumes, and is there any cushion if it does, or is the cushion made entirely of the assumption itself? If the look-through is impossible and the safety rests on a correlation number you cannot verify, you are not holding a diversified senior claim. You are holding a leveraged bet on a correlation assumption, and you should know that is what it is before you own it, not after. The genuine benefits of resecuritization, when they exist, are real but modest. The costs, when the assumptions fail, are total. That asymmetry should </w:t>
      </w:r>
      <w:r>
        <w:rPr>
          <w:color w:val="1A1A1A"/>
        </w:rPr>
        <w:lastRenderedPageBreak/>
        <w:t>set a very high bar, and the practitioner who holds the bar is the one who is not surprised.</w:t>
      </w:r>
    </w:p>
    <w:p w14:paraId="6B09BBB9" w14:textId="77777777" w:rsidR="007519C6" w:rsidRDefault="00000000">
      <w:pPr>
        <w:pStyle w:val="Heading2"/>
      </w:pPr>
      <w:r>
        <w:rPr>
          <w:color w:val="2E2E2E"/>
        </w:rPr>
        <w:t>What Was Phased Out, and What It Taught</w:t>
      </w:r>
    </w:p>
    <w:p w14:paraId="6F73A15D" w14:textId="77777777" w:rsidR="007519C6" w:rsidRDefault="00000000">
      <w:pPr>
        <w:spacing w:after="60"/>
        <w:ind w:firstLine="360"/>
        <w:jc w:val="both"/>
      </w:pPr>
      <w:r>
        <w:rPr>
          <w:color w:val="1A1A1A"/>
        </w:rPr>
        <w:t>The verdict of the market was emphatic, and it is worth recording plainly. The ABS CDO and the CDO-squared, in the forms that did the damage, died in the crisis and did not come back. The resecuritization of subprime mortgage tranches is simply not done anymore at anything like that scale, and the synthetic machine that copied subprime bets many times over was discredited along with it. The post-crisis reforms aimed at exactly this target. Risk retention forced sponsors to keep a stake. Bank capital rules placed deliberately punitive charges on resecuritizations, recognizing that a securitization of securitizations is a different and more dangerous animal than the thing it is built from. The rating agencies, having been wrong in the most expensive way, revised the correlation assumptions at the center of their structured methodologies. The specific machine that produced the disaster was, to a real degree, dismantled.</w:t>
      </w:r>
    </w:p>
    <w:p w14:paraId="4202620C" w14:textId="77777777" w:rsidR="007519C6" w:rsidRDefault="00000000">
      <w:pPr>
        <w:spacing w:after="60"/>
        <w:ind w:firstLine="360"/>
        <w:jc w:val="both"/>
      </w:pPr>
      <w:r>
        <w:rPr>
          <w:color w:val="1A1A1A"/>
        </w:rPr>
        <w:t xml:space="preserve">What survived was the honest version of the same idea. Single-layer securitization of genuine, well-understood collateral did not die. It is the CLO, and it came through the crisis paying its investors, for all the reasons the CLO chapter set out, real collateral, real diversification, real cushion, no second layer of tranching standing between the investor and the loans. The contrast between the CLO that survived and the ABS CDO that did not is the whole lesson in a single comparison. The machine is not the problem. The collateral is, and the number of times you run it through the machine is, and the honesty of the correlation assumption is. Resecuritize correlated risk and call the result </w:t>
      </w:r>
      <w:r>
        <w:rPr>
          <w:color w:val="1A1A1A"/>
        </w:rPr>
        <w:lastRenderedPageBreak/>
        <w:t>diversified, and you have built a structure that will fail suddenly and completely the first time the correlation you assumed away shows up.</w:t>
      </w:r>
    </w:p>
    <w:p w14:paraId="70784A89" w14:textId="77777777" w:rsidR="007519C6" w:rsidRDefault="00000000">
      <w:pPr>
        <w:spacing w:after="60"/>
        <w:ind w:firstLine="360"/>
        <w:jc w:val="both"/>
      </w:pPr>
      <w:r>
        <w:rPr>
          <w:color w:val="1A1A1A"/>
        </w:rPr>
        <w:t>Which brings us to the present, and to a question this chapter raises but the next one has to answer. The specific structures that failed are gone. But the deeper pattern, the layering of leverage and the manufacture of safe-looking senior claims out of riskier underlying credit, is not gone at all. It has migrated, and some of the newer structures in private credit, the private CLOs and the levered fund vehicles and the ratings-driven feeders into insurance balance sheets, rhyme with the old resecuritizations closely enough that a careful person ought to ask how much of the lesson has actually been kept and how much has merely been relabeled. That is the question the next chapter takes up, and it is one this book will not pretend to settle.</w:t>
      </w:r>
    </w:p>
    <w:p w14:paraId="51D0645A" w14:textId="77777777" w:rsidR="007519C6" w:rsidRDefault="00000000">
      <w:r>
        <w:br w:type="page"/>
      </w:r>
    </w:p>
    <w:p w14:paraId="42A6B0D4" w14:textId="77777777" w:rsidR="007519C6" w:rsidRDefault="00000000">
      <w:pPr>
        <w:pStyle w:val="Heading1"/>
      </w:pPr>
      <w:r>
        <w:lastRenderedPageBreak/>
        <w:t>Chapter 20: Private CLOs and the Question of Memory</w:t>
      </w:r>
    </w:p>
    <w:p w14:paraId="0FDA9095" w14:textId="77777777" w:rsidR="007519C6" w:rsidRDefault="00000000">
      <w:pPr>
        <w:spacing w:after="60"/>
        <w:jc w:val="both"/>
      </w:pPr>
      <w:r>
        <w:rPr>
          <w:color w:val="1A1A1A"/>
        </w:rPr>
        <w:t>This chapter sits where the book's history and its present meet, and it will not resolve the tension it raises, because the tension is the honest state of the question. Private credit has begun to build structures that resemble, in their architecture if not their collateral, the resecuritizations of the last cycle. Private CLOs. Levered fund vehicles. Rated feeders engineered to put credit risk onto insurance balance sheets at a favorable capital charge. To an eye trained on what failed in 2008, some of this rhymes, and the rhyme is uncomfortable. The question is whether this time is genuinely different or whether it is the fading-memory story from an earlier chapter playing out again on a new stage. Both readings have real evidence behind them. What follows lays them side by side and declines to pick, because picking would be dishonest, and because the discipline this book argues for lives in holding the question open rather than collapsing it into a comfortable answer.</w:t>
      </w:r>
    </w:p>
    <w:p w14:paraId="4EE95641" w14:textId="77777777" w:rsidR="007519C6" w:rsidRDefault="00000000">
      <w:pPr>
        <w:pStyle w:val="Heading2"/>
      </w:pPr>
      <w:r>
        <w:rPr>
          <w:color w:val="2E2E2E"/>
        </w:rPr>
        <w:t>The Rise of the Private CLO</w:t>
      </w:r>
    </w:p>
    <w:p w14:paraId="689EE94E" w14:textId="77777777" w:rsidR="007519C6" w:rsidRDefault="00000000">
      <w:pPr>
        <w:spacing w:after="60"/>
        <w:ind w:firstLine="360"/>
        <w:jc w:val="both"/>
      </w:pPr>
      <w:r>
        <w:rPr>
          <w:color w:val="1A1A1A"/>
        </w:rPr>
        <w:t>Start with the structure itself, which the CLO chapter introduced and this one can take as understood. A private CLO, also called a middle-market CLO, is a collateralized loan obligation whose collateral is directly originated private credit loans rather than broadly syndicated ones. The machine is identical to the one that has worked for thirty years. A pool of senior secured loans, a stack of tranches from triple-A down to equity, a waterfall, the coverage tests. The only difference is the provenance of the loans. They were originated privately, by a direct lender, rather than bought in the syndicated market.</w:t>
      </w:r>
    </w:p>
    <w:p w14:paraId="3369528B" w14:textId="77777777" w:rsidR="007519C6" w:rsidRDefault="00000000">
      <w:pPr>
        <w:spacing w:after="60"/>
        <w:ind w:firstLine="360"/>
        <w:jc w:val="both"/>
      </w:pPr>
      <w:r>
        <w:rPr>
          <w:color w:val="1A1A1A"/>
        </w:rPr>
        <w:lastRenderedPageBreak/>
        <w:t>That difference is small in mechanics and large in consequence, because of what it does to the funding chain. A direct lender originates loans and needs capital to originate more. The private CLO is how it recycles. The lender pools the loans it has made, often loans to companies backed by private equity sponsors it knows well, sells them into a CLO it frequently manages itself, and uses the proceeds to make the next round of loans. The senior tranches of that CLO are bought by insurers, banks, and money managers who want floating-rate exposure carrying an investment-grade rating. The junior tranches and the equity are held by specialist credit investors reaching for higher returns. The structure has become one of the primary ways the private credit machine finances itself, and it has grown fast, from a small share of total CLO issuance a few years ago to something in the range of a fifth to a quarter of it more recently.</w:t>
      </w:r>
    </w:p>
    <w:p w14:paraId="6A9065FA" w14:textId="77777777" w:rsidR="007519C6" w:rsidRDefault="00000000">
      <w:pPr>
        <w:spacing w:after="60"/>
        <w:ind w:firstLine="360"/>
        <w:jc w:val="both"/>
      </w:pPr>
      <w:r>
        <w:rPr>
          <w:color w:val="1A1A1A"/>
        </w:rPr>
        <w:t>This is worth pausing on, because it means the two markets this book has treated as distinct, private credit and structured credit, have grown into each other at exactly this point. The private CLO is the seam. It is where a directly originated private loan becomes a rated structured security, where the relationship-driven world of direct lending meets the model-driven world of the rating agency and the insurance balance sheet. And it sits inside a larger stack of leverage that the shadow-leverage chapter already mapped, the borrower levered, the fund that owns the loan levered, the CLO levered on top of that, the insurer that buys the senior tranche levered again on its own balance sheet. The private CLO is one floor in a building with several, and you cannot judge it honestly without seeing the whole building.</w:t>
      </w:r>
    </w:p>
    <w:p w14:paraId="40A50C99" w14:textId="77777777" w:rsidR="007519C6" w:rsidRDefault="00000000">
      <w:pPr>
        <w:pStyle w:val="Heading2"/>
      </w:pPr>
      <w:r>
        <w:rPr>
          <w:color w:val="2E2E2E"/>
        </w:rPr>
        <w:t>The Structures That Rhyme</w:t>
      </w:r>
    </w:p>
    <w:p w14:paraId="16E12F30" w14:textId="77777777" w:rsidR="007519C6" w:rsidRDefault="00000000">
      <w:pPr>
        <w:spacing w:after="60"/>
        <w:ind w:firstLine="360"/>
        <w:jc w:val="both"/>
      </w:pPr>
      <w:r>
        <w:rPr>
          <w:color w:val="1A1A1A"/>
        </w:rPr>
        <w:lastRenderedPageBreak/>
        <w:t>The private CLO is the most visible of the new structures, but it is not the one that rhymes most closely with the last cycle. Several others deserve naming, because the resemblance is in the layering, not in any single deal.</w:t>
      </w:r>
    </w:p>
    <w:p w14:paraId="57DC039A" w14:textId="77777777" w:rsidR="007519C6" w:rsidRDefault="00000000">
      <w:pPr>
        <w:spacing w:after="60"/>
        <w:ind w:firstLine="360"/>
        <w:jc w:val="both"/>
      </w:pPr>
      <w:r>
        <w:rPr>
          <w:color w:val="1A1A1A"/>
        </w:rPr>
        <w:t>Consider the rated-note feeder, a structure that has grown quietly and matters more than its low profile suggests. An insurance company wants exposure to a private credit fund, but holding fund equity directly carries a heavy regulatory capital charge. So the fund's interests are repackaged into a vehicle that issues rated notes, most of them investment-grade, and the insurer buys the notes instead of the equity. The economics are similar. The capital treatment is far better, because a rated note attracts a lighter charge than the equity it is built from. Pause on what that structure is doing. It is manufacturing rated, safe-looking paper out of riskier underlying credit, for the specific purpose of improving how the risk is treated on a regulated balance sheet. That sentence could have been written about the mezzanine ABS CDO in 2006, and the echo should not be waved away.</w:t>
      </w:r>
    </w:p>
    <w:p w14:paraId="2E830982" w14:textId="77777777" w:rsidR="007519C6" w:rsidRDefault="00000000">
      <w:pPr>
        <w:spacing w:after="60"/>
        <w:ind w:firstLine="360"/>
        <w:jc w:val="both"/>
      </w:pPr>
      <w:r>
        <w:rPr>
          <w:color w:val="1A1A1A"/>
        </w:rPr>
        <w:t>Consider the collateralized fund obligation, the CFO, which securitizes a portfolio of fund interests, stakes in private equity or private credit funds, and issues tranches against them. A fund interest is already a levered, pooled claim on a portfolio of companies. Securitizing a basket of them is, structurally, a securitization of levered pools, which is uncomfortably close in form to the securitization of securitizations that the last chapter spent its length warning about. CFOs are not ABS CDOs. The collateral is different and the leverage is lower. But the family resemblance is real, and an honest observer notices it.</w:t>
      </w:r>
    </w:p>
    <w:p w14:paraId="74107C8A" w14:textId="77777777" w:rsidR="007519C6" w:rsidRDefault="00000000">
      <w:pPr>
        <w:spacing w:after="60"/>
        <w:ind w:firstLine="360"/>
        <w:jc w:val="both"/>
      </w:pPr>
      <w:r>
        <w:rPr>
          <w:color w:val="1A1A1A"/>
        </w:rPr>
        <w:lastRenderedPageBreak/>
        <w:t>And consider the broader pattern that runs through all of it, the one the shadow-leverage chapter named. Leverage stacked on leverage on leverage, much of it invisible in any single statistic, so that the true leverage on the underlying business cash flows is far higher than any one number reveals. NAV facilities lending against portfolios that are themselves built of levered loans. Funds of funds. Feeders into feeders. None of this is hidden in the sense of being secret. It is all documented and disclosed somewhere. But it is hidden in the sense that almost no one sees the whole chain at once, which is precisely the condition the analytical-problem section of the last chapter described. When you cannot see the whole stack, you are trusting that someone else has, and that the rating on your floor of the building accounts for what is happening on the floors below. In 2008, it did not.</w:t>
      </w:r>
    </w:p>
    <w:p w14:paraId="3786C2CE" w14:textId="77777777" w:rsidR="007519C6" w:rsidRDefault="00000000">
      <w:pPr>
        <w:pStyle w:val="Heading2"/>
      </w:pPr>
      <w:r>
        <w:rPr>
          <w:color w:val="2E2E2E"/>
        </w:rPr>
        <w:t>The Case That It Is Different</w:t>
      </w:r>
    </w:p>
    <w:p w14:paraId="47EC184D" w14:textId="77777777" w:rsidR="007519C6" w:rsidRDefault="00000000">
      <w:pPr>
        <w:spacing w:after="60"/>
        <w:ind w:firstLine="360"/>
        <w:jc w:val="both"/>
      </w:pPr>
      <w:r>
        <w:rPr>
          <w:color w:val="1A1A1A"/>
        </w:rPr>
        <w:t>Now the other side, stated as strongly as it deserves, because the differences are not cosmetic and the person who treats this as a simple replay of 2008 is making a real mistake.</w:t>
      </w:r>
    </w:p>
    <w:p w14:paraId="476D160B" w14:textId="77777777" w:rsidR="007519C6" w:rsidRDefault="00000000">
      <w:pPr>
        <w:spacing w:after="60"/>
        <w:ind w:firstLine="360"/>
        <w:jc w:val="both"/>
      </w:pPr>
      <w:r>
        <w:rPr>
          <w:color w:val="1A1A1A"/>
        </w:rPr>
        <w:t xml:space="preserve">Start with the collateral, which is the heart of it. The ABS CDO failed because its collateral, the BBB tranches of subprime mortgage bonds, was not diversified at all. Every piece was the same bet on the same national housing market, so the correlation the models assumed away turned out to be close to one. The collateral of a private CLO is loans to hundreds of different operating companies across many industries, healthcare and software and business services and manufacturing and the rest. Those companies are not independent. A recession hurts them together to some degree, and the concentration in particular sectors </w:t>
      </w:r>
      <w:r>
        <w:rPr>
          <w:color w:val="1A1A1A"/>
        </w:rPr>
        <w:lastRenderedPageBreak/>
        <w:t>is a genuine risk the earlier chapters flagged. But corporate default correlation across a diversified loan pool is materially lower than the near-perfect correlation of subprime tranches in 2008. The diversification in a private CLO is real in a way the diversification in an ABS CDO never was. That is not a small distinction. It is the distinction.</w:t>
      </w:r>
    </w:p>
    <w:p w14:paraId="3EF37631" w14:textId="77777777" w:rsidR="007519C6" w:rsidRDefault="00000000">
      <w:pPr>
        <w:spacing w:after="60"/>
        <w:ind w:firstLine="360"/>
        <w:jc w:val="both"/>
      </w:pPr>
      <w:r>
        <w:rPr>
          <w:color w:val="1A1A1A"/>
        </w:rPr>
        <w:t>Then the structural differences, which compound the point. A private CLO is a single layer of securitization. It pools loans and tranches them once. It is not a CDO built on the tranches of other CDOs, and the fatal second layer that made the CDO-squared hypersensitive to correlation error is simply absent from the basic private CLO. The loans are cash, real credit agreements with real borrowers, not credit default swaps referencing them, so the machine cannot manufacture exposure beyond the loans that actually exist, and the multiplication that made the synthetic CDOs so destructive cannot happen. The originators retain risk, because the post-crisis rules require it, which means the manager keeps a stake in the outcome rather than selling everything and walking away in the originate-to-distribute pattern that rotted the mortgage pools. And the coverage tests that protect the senior tranches are the same machinery that actually worked in 2008 and again in the 2015 energy bust, diverting cash to the senior notes exactly when the collateral weakened, a protection tested through real stress and proven.</w:t>
      </w:r>
    </w:p>
    <w:p w14:paraId="1D0A199C" w14:textId="77777777" w:rsidR="007519C6" w:rsidRDefault="00000000">
      <w:pPr>
        <w:spacing w:after="60"/>
        <w:ind w:firstLine="360"/>
        <w:jc w:val="both"/>
      </w:pPr>
      <w:r>
        <w:rPr>
          <w:color w:val="1A1A1A"/>
        </w:rPr>
        <w:t xml:space="preserve">Add the simplest point of all. The CLO structure has a track record approaching three decades, across the telecom cycle, the financial crisis, and the energy bust, and its senior tranches have come through paying. The ABS CDO was a newer contraption with no comparable history, built fast in the few years before it failed. A structure that has survived multiple cycles is not the same </w:t>
      </w:r>
      <w:r>
        <w:rPr>
          <w:color w:val="1A1A1A"/>
        </w:rPr>
        <w:lastRenderedPageBreak/>
        <w:t>proposition as one that had never been tested. The person making the case that this time is different is not naive. He is pointing at real, load-bearing differences, and he is mostly right about them.</w:t>
      </w:r>
    </w:p>
    <w:p w14:paraId="2785270D" w14:textId="77777777" w:rsidR="007519C6" w:rsidRDefault="00000000">
      <w:pPr>
        <w:pStyle w:val="Heading2"/>
      </w:pPr>
      <w:r>
        <w:rPr>
          <w:color w:val="2E2E2E"/>
        </w:rPr>
        <w:t>The Case That It Is Not</w:t>
      </w:r>
    </w:p>
    <w:p w14:paraId="3A37EC19" w14:textId="77777777" w:rsidR="007519C6" w:rsidRDefault="00000000">
      <w:pPr>
        <w:spacing w:after="60"/>
        <w:ind w:firstLine="360"/>
        <w:jc w:val="both"/>
      </w:pPr>
      <w:r>
        <w:rPr>
          <w:color w:val="1A1A1A"/>
        </w:rPr>
        <w:t>And yet. The case that this rhymes more than the industry admits is also strong, and it is strongest precisely where the reassuring case is weakest, which is in the parts of the new architecture that are newest and least tested.</w:t>
      </w:r>
    </w:p>
    <w:p w14:paraId="0E6954C6" w14:textId="77777777" w:rsidR="007519C6" w:rsidRDefault="00000000">
      <w:pPr>
        <w:spacing w:after="60"/>
        <w:ind w:firstLine="360"/>
        <w:jc w:val="both"/>
      </w:pPr>
      <w:r>
        <w:rPr>
          <w:color w:val="1A1A1A"/>
        </w:rPr>
        <w:t>Begin with the leverage, because it is the most concrete worry. The diversification of the collateral is real, but the layering of leverage on top of it is also real, and the two partly cancel. A pool of reasonably diversified loans, financed through a fund that is itself levered, securitized in a CLO that is levered again, the senior tranche bought by an insurer levered on its own balance sheet, is not as safe as the diversification of the underlying loans alone would suggest, because each layer of leverage amplifies what the layer below it passes up. Small deteriorations in the underlying business cash flows get magnified as they travel up the stack, and a shock that a single unlevered loan portfolio would absorb can become serious by the time it has been multiplied through several floors. This is the genuine sense in which the new structures rhyme with the old. Not in the collateral, which is better, but in the layering, which may be just as treacherous.</w:t>
      </w:r>
    </w:p>
    <w:p w14:paraId="79E5F3A9" w14:textId="77777777" w:rsidR="007519C6" w:rsidRDefault="00000000">
      <w:pPr>
        <w:spacing w:after="60"/>
        <w:ind w:firstLine="360"/>
        <w:jc w:val="both"/>
      </w:pPr>
      <w:r>
        <w:rPr>
          <w:color w:val="1A1A1A"/>
        </w:rPr>
        <w:t xml:space="preserve">Then the dependence on models and ratings, which is where the resemblance bites hardest. The safety of a private CLO senior tranche, and far more so the safety of a rated-note insurance feeder, rests on assumptions about how the underlying credits will behave together, the same correlation assumptions whose failure destroyed the ABS CDO. And here the new structures are arguably on </w:t>
      </w:r>
      <w:r>
        <w:rPr>
          <w:color w:val="1A1A1A"/>
        </w:rPr>
        <w:lastRenderedPageBreak/>
        <w:t>thinner ice than the old broadly syndicated CLOs, because middle-market and private loans are more opaque, less standardized, and backed by a shorter and shallower history than the syndicated loans the rating models were originally built around. The agencies are extending their methods to collateral with less data behind it, and the insurers buying the rated paper are, once again, trusting a letter grade as a fact about safety, for capital-treatment reasons that look uncomfortably like regulatory arbitrage. That reflex, treating the rating as the analysis rather than as a model's opinion, is the precise reflex that failed last time, and there is little evidence the industry has cured it. It has mostly moved it to a new asset class.</w:t>
      </w:r>
    </w:p>
    <w:p w14:paraId="05C1A265" w14:textId="77777777" w:rsidR="007519C6" w:rsidRDefault="00000000">
      <w:pPr>
        <w:spacing w:after="60"/>
        <w:ind w:firstLine="360"/>
        <w:jc w:val="both"/>
      </w:pPr>
      <w:r>
        <w:rPr>
          <w:color w:val="1A1A1A"/>
        </w:rPr>
        <w:t>Then the opacity, which makes all of the above harder to check. Private loans are marked to model, not to market, as the valuation chapter set out, so the very inputs you would want in order to verify the correlation and recovery assumptions are themselves estimates produced by the people with an interest in the answer. And underneath all of it, the fact this book keeps returning to. None of these newer structures, the private CLO at today's scale, the rated feeder, the CFO, has been tested through a severe, prolonged corporate default cycle. The stresses they have weathered, including the rate shock of recent years, have been real but short of that. They were built and grew in a long benign stretch, which is exactly the condition in which, as the cycles chapter argued, the memory of why the protections matter is thinnest and the temptation to relax them is strongest. The people structuring and buying these vehicles are, increasingly, people who read about 2008 rather than lived it. The lesson is written in the rules. Whether it is alive in the judgment is a different question, and a harder one.</w:t>
      </w:r>
    </w:p>
    <w:p w14:paraId="707FA3E0" w14:textId="77777777" w:rsidR="007519C6" w:rsidRDefault="00000000">
      <w:pPr>
        <w:pStyle w:val="Heading2"/>
      </w:pPr>
      <w:r>
        <w:rPr>
          <w:color w:val="2E2E2E"/>
        </w:rPr>
        <w:lastRenderedPageBreak/>
        <w:t>An Unsettled Verdict</w:t>
      </w:r>
    </w:p>
    <w:p w14:paraId="6BBEC880" w14:textId="77777777" w:rsidR="007519C6" w:rsidRDefault="00000000">
      <w:pPr>
        <w:spacing w:after="60"/>
        <w:ind w:firstLine="360"/>
        <w:jc w:val="both"/>
      </w:pPr>
      <w:r>
        <w:rPr>
          <w:color w:val="1A1A1A"/>
        </w:rPr>
        <w:t>So which is it. The honest answer, and the one this chapter was built to give, is that the question does not resolve, and that anyone offering you a confident answer in either direction is selling something. The differences are real. A private CLO is genuinely better collateralized, genuinely simpler in structure, genuinely better aligned, and genuinely more tested than the resecuritizations that failed in the last crisis. And the similarities are also real. The leverage is layered and partly hidden, the safety leans on model and rating assumptions harder to verify in this collateral than in the old, the reliance on the rating is the same reflex that failed before, and the structures are untested in the one environment that would actually test them. Both of those statements are true. Holding them together, without letting either cancel the other, is the whole of the discipline.</w:t>
      </w:r>
    </w:p>
    <w:p w14:paraId="111EC7B8" w14:textId="77777777" w:rsidR="007519C6" w:rsidRDefault="00000000">
      <w:pPr>
        <w:spacing w:after="60"/>
        <w:ind w:firstLine="360"/>
        <w:jc w:val="both"/>
      </w:pPr>
      <w:r>
        <w:rPr>
          <w:color w:val="1A1A1A"/>
        </w:rPr>
        <w:t>What that discipline looks like in practice is a set of things to watch, the leading indicators rather than the lagging ones. Watch the correlation assumptions in the ratings on middle-market CLOs and CFOs, and whether they are being stress-tested against a real corporate downturn or merely calibrated on a benign past. Watch the growth of the rated-note feeders, and ask in each case whether the structure is doing honest economic work or mainly manufacturing a lighter capital charge. Watch the look-through, the plain question of whether the buyer of a given piece can actually see the loans underneath it or is trusting the rating because he cannot. Watch the total leverage on the underlying cash flows, counted up through every floor of the building rather than one floor at a time. And watch whether the coverage tests and the retained risk hold, or fail to hold, the first time a real default cycle arrives, because that is the test none of this has yet faced.</w:t>
      </w:r>
    </w:p>
    <w:p w14:paraId="64E0A300" w14:textId="77777777" w:rsidR="007519C6" w:rsidRDefault="00000000">
      <w:pPr>
        <w:spacing w:after="60"/>
        <w:ind w:firstLine="360"/>
        <w:jc w:val="both"/>
      </w:pPr>
      <w:r>
        <w:rPr>
          <w:color w:val="1A1A1A"/>
        </w:rPr>
        <w:lastRenderedPageBreak/>
        <w:t>The right posture is neither of the two easy ones. It is not the alarm that declares this a rerun of 2008, because that alarm ignores differences that are real and important and that may well prove decisive. And it is not the complacency that declares the structure perfected and the risk engineered away, because that complacency ignores similarities that are equally real and a memory that is visibly fading. The posture is vigilance. Ask the blunt questions from the last chapter. Keep the bar high. Refuse to let the rating stand in for the analysis. And remember the thing the cycles chapter insisted on, that the rules survive in writing but the judgment that knows when the rules are about to fail leaves the room one retirement at a time. The structures are better this time. That much is clear. Whether the people running them still remember why the structures need to be better is the question on which it turns, and it is not a question anyone can answer from where we stand. It can only be watched, and met honestly when the answer comes.</w:t>
      </w:r>
    </w:p>
    <w:p w14:paraId="18DA29F1" w14:textId="77777777" w:rsidR="007519C6" w:rsidRDefault="00000000">
      <w:r>
        <w:br w:type="page"/>
      </w:r>
    </w:p>
    <w:p w14:paraId="0487CE75" w14:textId="77777777" w:rsidR="007519C6" w:rsidRDefault="00000000">
      <w:pPr>
        <w:pStyle w:val="Heading1"/>
      </w:pPr>
      <w:r>
        <w:lastRenderedPageBreak/>
        <w:t>Chapter 21: The Blockchain Question</w:t>
      </w:r>
    </w:p>
    <w:p w14:paraId="6908120D" w14:textId="77777777" w:rsidR="007519C6" w:rsidRDefault="00000000">
      <w:pPr>
        <w:spacing w:after="60"/>
        <w:jc w:val="both"/>
      </w:pPr>
      <w:r>
        <w:rPr>
          <w:color w:val="1A1A1A"/>
        </w:rPr>
        <w:t>Almost every conversation about technology and private credit eventually arrives at crypto, usually with more heat than light. So let me separate two things that get tangled together, because they are not the same and they deserve different verdicts. One is cryptocurrency as an asset and an industry, the tokens, the exchanges, the speculative froth. The other is the underlying technology, the distributed ledger, and the question of whether it could do anything useful for the plumbing of private credit. The first has almost nothing to do with this asset class. The second might, eventually, matter quite a lot, though probably not in the way its loudest promoters claim.</w:t>
      </w:r>
    </w:p>
    <w:p w14:paraId="75A97BB9" w14:textId="77777777" w:rsidR="007519C6" w:rsidRDefault="00000000">
      <w:pPr>
        <w:pStyle w:val="Heading2"/>
      </w:pPr>
      <w:r>
        <w:rPr>
          <w:color w:val="2E2E2E"/>
        </w:rPr>
        <w:t>Where Crypto Does Not Belong</w:t>
      </w:r>
    </w:p>
    <w:p w14:paraId="01FC63D8" w14:textId="77777777" w:rsidR="007519C6" w:rsidRDefault="00000000">
      <w:pPr>
        <w:spacing w:after="60"/>
        <w:ind w:firstLine="360"/>
        <w:jc w:val="both"/>
      </w:pPr>
      <w:r>
        <w:rPr>
          <w:color w:val="1A1A1A"/>
        </w:rPr>
        <w:t>Start with the easy part. Private credit is a market built on contracted cash flows, legal documentation, collateral, and the slow work of underwriting and recovery. Cryptocurrency, as an asset class, is built on something close to the opposite. Price, sentiment, and the absence of cash flow entirely. A direct loan to a manufacturer earns a coupon backed by the company's earnings and secured by its assets. A token earns nothing and is secured by nothing. Its value is whatever the next buyer will pay. These are not cousins, and the asset itself has little to offer a credit market.</w:t>
      </w:r>
    </w:p>
    <w:p w14:paraId="4A8EFDDB" w14:textId="77777777" w:rsidR="007519C6" w:rsidRDefault="00000000">
      <w:pPr>
        <w:spacing w:after="60"/>
        <w:ind w:firstLine="360"/>
        <w:jc w:val="both"/>
      </w:pPr>
      <w:r>
        <w:rPr>
          <w:color w:val="1A1A1A"/>
        </w:rPr>
        <w:t xml:space="preserve">What does exist is lending into the crypto industry itself, and it has been a hard education. Capital was extended to exchanges, miners, and crypto-focused firms, often against tokens posted as collateral, and when the sector seized up in 2022 the lenders who had treated those tokens as if they were money found out, abruptly, that they were not. Several crypto lenders failed outright, and the </w:t>
      </w:r>
      <w:r>
        <w:rPr>
          <w:color w:val="1A1A1A"/>
        </w:rPr>
        <w:lastRenderedPageBreak/>
        <w:t>collateral that was supposed to protect them evaporated at the exact moment it was needed, because its value was tied to the very thing that was collapsing. The lesson was not subtle. A volatile, sentiment-driven asset makes poor collateral, and lending against it is a bet on the asset wearing the costume of a secured loan. That is lending to a boom-and-bust industry, no different in principle from the energy and telecom cycles this book has already described, and it carries the same warning written in a newer hand.</w:t>
      </w:r>
    </w:p>
    <w:p w14:paraId="6AAD90BA" w14:textId="77777777" w:rsidR="007519C6" w:rsidRDefault="00000000">
      <w:pPr>
        <w:spacing w:after="60"/>
        <w:ind w:firstLine="360"/>
        <w:jc w:val="both"/>
      </w:pPr>
      <w:r>
        <w:rPr>
          <w:color w:val="1A1A1A"/>
        </w:rPr>
        <w:t>There is one place where the crypto world brushes against the securitization machine, and it is worth naming precisely so it is not overstated. The industry runs on physical infrastructure, the mining facilities, the data centers, the power contracts, and that infrastructure gets financed, sometimes through structures that look asset-backed, with the contracted cash flows from hosting and power agreements pledged to lenders. Where those cash flows are genuinely contracted and the counterparties are sound, this is ordinary infrastructure and asset-based finance of the kind earlier chapters described, and it sits in the same family as the data-center lending behind the AI build. Where it is really a wager on token prices or mining economics dressed up as infrastructure debt, it is the familiar error in new clothes, a volatile bet wearing the documentation of a steady one. The machine does not care what you point it at. The discipline is in refusing to mistake the second case for the first. So the honest answer to whether crypto and private credit intersect is mostly no on the asset, and a narrow yes on the infrastructure around it that deserves exactly the scrutiny any lending against violently movable value deserves.</w:t>
      </w:r>
    </w:p>
    <w:p w14:paraId="1F961C12" w14:textId="77777777" w:rsidR="007519C6" w:rsidRDefault="00000000">
      <w:pPr>
        <w:pStyle w:val="Heading2"/>
      </w:pPr>
      <w:r>
        <w:rPr>
          <w:color w:val="2E2E2E"/>
        </w:rPr>
        <w:t>Where the Technology Might</w:t>
      </w:r>
    </w:p>
    <w:p w14:paraId="5CBF929D" w14:textId="77777777" w:rsidR="007519C6" w:rsidRDefault="00000000">
      <w:pPr>
        <w:spacing w:after="60"/>
        <w:ind w:firstLine="360"/>
        <w:jc w:val="both"/>
      </w:pPr>
      <w:r>
        <w:rPr>
          <w:color w:val="1A1A1A"/>
        </w:rPr>
        <w:lastRenderedPageBreak/>
        <w:t>The ledger is a different matter, and this is where I think the genuinely interesting possibility lies, buried under years of hype that made it hard to take seriously. Set aside the tokens and ask what the technology actually does. A distributed ledger is a shared, tamper-evident record that multiple parties can trust without trusting each other or routing everything through a central intermediary. Now recall what this book has said, repeatedly, about private credit's deepest operational weaknesses. That it is opaque, that its documentation is bespoke and non-standard, that transferring a loan is slow and clogged with consents and paperwork, that there is no common record of what exists and how it is performing. Those are, suspiciously, the precise problems a shared ledger is designed to address.</w:t>
      </w:r>
    </w:p>
    <w:p w14:paraId="3C687417" w14:textId="77777777" w:rsidR="007519C6" w:rsidRDefault="00000000">
      <w:pPr>
        <w:spacing w:after="60"/>
        <w:ind w:firstLine="360"/>
        <w:jc w:val="both"/>
      </w:pPr>
      <w:r>
        <w:rPr>
          <w:color w:val="1A1A1A"/>
        </w:rPr>
        <w:t xml:space="preserve">Imagine a loan whose key terms live on a common ledger in a standard, machine-readable form rather than buried in a four-hundred-page agreement that every party must read separately. Imagine the loan's performance, the payments, the covenant tests, the financials, recorded to that ledger as it happens, visible to the lenders and, in suitable form, to a regulator. Imagine transferring a position, or a piece of one, settling in something close to real time rather than the weeks a private loan transfer can take today, because the record and the rules travel with the asset. Imagine the senior and junior pieces of a private credit pool represented as transferable digital interests, a structural cousin to the tranches of a CLO but cheaper to create and easier to move. None of this requires a cryptocurrency. It requires standardization, a shared record, and agreement among the parties to use it, and the blockchain is one plausible technology for providing the record. This is what people are gesturing at, not always coherently, when they talk about tokenizing private credit, and stripped </w:t>
      </w:r>
      <w:r>
        <w:rPr>
          <w:color w:val="1A1A1A"/>
        </w:rPr>
        <w:lastRenderedPageBreak/>
        <w:t>of the speculative nonsense, it is a serious idea. The same technology built to trade speculative tokens could, pointed at a real asset class, attack exactly the inefficiencies that make private credit slow, opaque, and hard to trade.</w:t>
      </w:r>
    </w:p>
    <w:p w14:paraId="0E3A7525" w14:textId="77777777" w:rsidR="007519C6" w:rsidRDefault="00000000">
      <w:pPr>
        <w:spacing w:after="60"/>
        <w:ind w:firstLine="360"/>
        <w:jc w:val="both"/>
      </w:pPr>
      <w:r>
        <w:rPr>
          <w:color w:val="1A1A1A"/>
        </w:rPr>
        <w:t>This has, very recently, begun to happen, though it is worth watching where it started. The first real traction for putting assets on a ledger has come in the simplest, most liquid, most standardized instruments, tokenized money-market funds and short-term government debt, where the cash flows are trivial to represent and there is no opacity to protect. Tokenized treasury products attracted billions of dollars surprisingly quickly. Private credit, the asset that would benefit most from a shared record, has seen only the earliest experiments. That ordering is itself a clue. The technology is moving first into the places where it meets the least resistance, and private credit, for reasons the next section explains, is where the resistance is greatest.</w:t>
      </w:r>
    </w:p>
    <w:p w14:paraId="73ACB74C" w14:textId="77777777" w:rsidR="007519C6" w:rsidRDefault="00000000">
      <w:pPr>
        <w:pStyle w:val="Heading2"/>
      </w:pPr>
      <w:r>
        <w:rPr>
          <w:color w:val="2E2E2E"/>
        </w:rPr>
        <w:t>Why It Has Not Happened Yet</w:t>
      </w:r>
    </w:p>
    <w:p w14:paraId="4400DAEA" w14:textId="77777777" w:rsidR="007519C6" w:rsidRDefault="00000000">
      <w:pPr>
        <w:spacing w:after="60"/>
        <w:ind w:firstLine="360"/>
        <w:jc w:val="both"/>
      </w:pPr>
      <w:r>
        <w:rPr>
          <w:color w:val="1A1A1A"/>
        </w:rPr>
        <w:t xml:space="preserve">If the fit is so natural, why is private credit still run on PDFs and spreadsheets and email? Part of the answer is ordinary inertia, the difficulty of changing the habits of a large industry. But part of it is more interesting and connects to the next chapter, because it is the same reason the market resists transparency generally. Standardization and a shared record would erode the information advantages that some of the most powerful players in this market quietly depend on. A manager who can see and price a loan better than its competitors, because it originated the loan and holds the only good data on it, has little reason to put that data on a ledger where others can see it too. The technology is not really the obstacle. The obstacle is that a meaningful number of incumbents benefit from </w:t>
      </w:r>
      <w:r>
        <w:rPr>
          <w:color w:val="1A1A1A"/>
        </w:rPr>
        <w:lastRenderedPageBreak/>
        <w:t>the opacity the technology would dissolve, and they are not in a hurry to dissolve it. Which is the bridge to a larger subject, the one this book turns to next. Transparency, standardization, the data problem, and the uncomfortable fact that the people best positioned to fix these things are sometimes the people with the least interest in doing so.</w:t>
      </w:r>
    </w:p>
    <w:p w14:paraId="6FDB2A08" w14:textId="77777777" w:rsidR="007519C6" w:rsidRDefault="00000000">
      <w:r>
        <w:br w:type="page"/>
      </w:r>
    </w:p>
    <w:p w14:paraId="45E86BBE" w14:textId="77777777" w:rsidR="007519C6" w:rsidRDefault="00000000">
      <w:pPr>
        <w:spacing w:before="2400" w:after="120"/>
        <w:jc w:val="center"/>
      </w:pPr>
      <w:r>
        <w:rPr>
          <w:b/>
          <w:bCs/>
          <w:color w:val="B9933E"/>
          <w:spacing w:val="60"/>
          <w:sz w:val="40"/>
          <w:szCs w:val="40"/>
        </w:rPr>
        <w:lastRenderedPageBreak/>
        <w:t>PART IV</w:t>
      </w:r>
    </w:p>
    <w:p w14:paraId="007A352A" w14:textId="77777777" w:rsidR="007519C6" w:rsidRDefault="00000000">
      <w:pPr>
        <w:spacing w:after="240"/>
        <w:jc w:val="center"/>
      </w:pPr>
      <w:r>
        <w:rPr>
          <w:color w:val="1F3A5F"/>
          <w:sz w:val="38"/>
          <w:szCs w:val="38"/>
        </w:rPr>
        <w:t>Risk, Stress, and the Management of Both</w:t>
      </w:r>
    </w:p>
    <w:p w14:paraId="6B563744" w14:textId="77777777" w:rsidR="007519C6" w:rsidRDefault="00000000">
      <w:pPr>
        <w:spacing w:before="120" w:after="200" w:line="320" w:lineRule="auto"/>
        <w:ind w:left="900" w:right="900"/>
        <w:jc w:val="center"/>
      </w:pPr>
      <w:r>
        <w:rPr>
          <w:i/>
          <w:iCs/>
          <w:color w:val="33414F"/>
          <w:sz w:val="22"/>
          <w:szCs w:val="22"/>
        </w:rPr>
        <w:t>How the asset class behaves when the weather turns, and how a careful investor prepares for it.</w:t>
      </w:r>
    </w:p>
    <w:p w14:paraId="65930F95" w14:textId="77777777" w:rsidR="007519C6" w:rsidRDefault="00000000">
      <w:r>
        <w:br w:type="page"/>
      </w:r>
    </w:p>
    <w:p w14:paraId="55C9B173" w14:textId="77777777" w:rsidR="007519C6" w:rsidRDefault="00000000">
      <w:pPr>
        <w:pStyle w:val="Heading1"/>
      </w:pPr>
      <w:r>
        <w:lastRenderedPageBreak/>
        <w:t>Chapter 22: Risk and Credit Analysis</w:t>
      </w:r>
    </w:p>
    <w:p w14:paraId="35A97F51" w14:textId="77777777" w:rsidR="007519C6" w:rsidRDefault="00000000">
      <w:pPr>
        <w:spacing w:after="60"/>
        <w:jc w:val="both"/>
      </w:pPr>
      <w:r>
        <w:rPr>
          <w:color w:val="1A1A1A"/>
        </w:rPr>
        <w:t>Private credit carries the risks common to all lending, the chance that a borrower defaults, that recovery falls short, that the whole portfolio deteriorates at once when the economy turns. It also carries risks particular to its structure. The illiquidity of assets that cannot be sold, the valuation uncertainty of marks set by model rather than market, the documentation risk of covenants that may not protect as well as they appear to, and the leverage risk of funding structures that amplify losses in ways the headline return does not reveal. What determines how a portfolio behaves under stress is not any one of these in isolation. It is their interaction, and managing that interaction, rather than optimizing any single dimension, is the real analytical task.</w:t>
      </w:r>
    </w:p>
    <w:p w14:paraId="4286078A" w14:textId="77777777" w:rsidR="007519C6" w:rsidRDefault="00000000">
      <w:pPr>
        <w:pStyle w:val="Heading2"/>
      </w:pPr>
      <w:r>
        <w:rPr>
          <w:color w:val="2E2E2E"/>
        </w:rPr>
        <w:t>The Probability of Default</w:t>
      </w:r>
    </w:p>
    <w:p w14:paraId="2ADC0D0E" w14:textId="77777777" w:rsidR="007519C6" w:rsidRDefault="00000000">
      <w:pPr>
        <w:spacing w:after="60"/>
        <w:ind w:firstLine="360"/>
        <w:jc w:val="both"/>
      </w:pPr>
      <w:r>
        <w:rPr>
          <w:color w:val="1A1A1A"/>
        </w:rPr>
        <w:t>Default frequency varies widely across the spectrum, with economic conditions and the particular borrower, and the ranges are worth holding in mind as orders of magnitude rather than precise forecasts.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87"/>
        <w:gridCol w:w="1622"/>
        <w:gridCol w:w="3989"/>
      </w:tblGrid>
      <w:tr w:rsidR="007519C6" w14:paraId="519F84E8" w14:textId="77777777">
        <w:tblPrEx>
          <w:tblCellMar>
            <w:top w:w="0" w:type="dxa"/>
            <w:bottom w:w="0" w:type="dxa"/>
          </w:tblCellMar>
        </w:tblPrEx>
        <w:trPr>
          <w:tblHeader/>
        </w:trPr>
        <w:tc>
          <w:tcPr>
            <w:tcW w:w="28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6ED9658" w14:textId="77777777" w:rsidR="007519C6" w:rsidRDefault="00000000">
            <w:r>
              <w:rPr>
                <w:b/>
                <w:bCs/>
                <w:color w:val="FFFFFF"/>
                <w:sz w:val="20"/>
                <w:szCs w:val="20"/>
              </w:rPr>
              <w:t>Strategy</w:t>
            </w:r>
          </w:p>
        </w:tc>
        <w:tc>
          <w:tcPr>
            <w:tcW w:w="18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73AD9A03" w14:textId="77777777" w:rsidR="007519C6" w:rsidRDefault="00000000">
            <w:r>
              <w:rPr>
                <w:b/>
                <w:bCs/>
                <w:color w:val="FFFFFF"/>
                <w:sz w:val="20"/>
                <w:szCs w:val="20"/>
              </w:rPr>
              <w:t>Range</w:t>
            </w:r>
          </w:p>
        </w:tc>
        <w:tc>
          <w:tcPr>
            <w:tcW w:w="470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65FA6271" w14:textId="77777777" w:rsidR="007519C6" w:rsidRDefault="00000000">
            <w:r>
              <w:rPr>
                <w:b/>
                <w:bCs/>
                <w:color w:val="FFFFFF"/>
                <w:sz w:val="20"/>
                <w:szCs w:val="20"/>
              </w:rPr>
              <w:t>What Drives It</w:t>
            </w:r>
          </w:p>
        </w:tc>
      </w:tr>
      <w:tr w:rsidR="007519C6" w14:paraId="53FE983B"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FBA9BC9" w14:textId="77777777" w:rsidR="007519C6" w:rsidRDefault="00000000">
            <w:r>
              <w:rPr>
                <w:b/>
                <w:bCs/>
                <w:color w:val="1A1A1A"/>
                <w:sz w:val="20"/>
                <w:szCs w:val="20"/>
              </w:rPr>
              <w:t>Senior secured direct lending</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4F75040" w14:textId="77777777" w:rsidR="007519C6" w:rsidRDefault="00000000">
            <w:r>
              <w:rPr>
                <w:color w:val="1A1A1A"/>
                <w:sz w:val="20"/>
                <w:szCs w:val="20"/>
              </w:rPr>
              <w:t>1.5% - 3.5%</w:t>
            </w:r>
          </w:p>
        </w:tc>
        <w:tc>
          <w:tcPr>
            <w:tcW w:w="47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ECE862E" w14:textId="77777777" w:rsidR="007519C6" w:rsidRDefault="00000000">
            <w:r>
              <w:rPr>
                <w:color w:val="1A1A1A"/>
                <w:sz w:val="20"/>
                <w:szCs w:val="20"/>
              </w:rPr>
              <w:t>Sponsor support, covenants, seniority</w:t>
            </w:r>
          </w:p>
        </w:tc>
      </w:tr>
      <w:tr w:rsidR="007519C6" w14:paraId="3FBAC16B"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92303A5" w14:textId="77777777" w:rsidR="007519C6" w:rsidRDefault="00000000">
            <w:r>
              <w:rPr>
                <w:b/>
                <w:bCs/>
                <w:color w:val="1A1A1A"/>
                <w:sz w:val="20"/>
                <w:szCs w:val="20"/>
              </w:rPr>
              <w:t>Broadly syndicated loans</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F4FC693" w14:textId="77777777" w:rsidR="007519C6" w:rsidRDefault="00000000">
            <w:r>
              <w:rPr>
                <w:color w:val="1A1A1A"/>
                <w:sz w:val="20"/>
                <w:szCs w:val="20"/>
              </w:rPr>
              <w:t>2.5% - 5.0%</w:t>
            </w:r>
          </w:p>
        </w:tc>
        <w:tc>
          <w:tcPr>
            <w:tcW w:w="47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281FC59" w14:textId="77777777" w:rsidR="007519C6" w:rsidRDefault="00000000">
            <w:r>
              <w:rPr>
                <w:color w:val="1A1A1A"/>
                <w:sz w:val="20"/>
                <w:szCs w:val="20"/>
              </w:rPr>
              <w:t>Larger borrowers, covenant-lite, more leverage</w:t>
            </w:r>
          </w:p>
        </w:tc>
      </w:tr>
      <w:tr w:rsidR="007519C6" w14:paraId="54FB6652"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A9AEC9A" w14:textId="77777777" w:rsidR="007519C6" w:rsidRDefault="00000000">
            <w:r>
              <w:rPr>
                <w:b/>
                <w:bCs/>
                <w:color w:val="1A1A1A"/>
                <w:sz w:val="20"/>
                <w:szCs w:val="20"/>
              </w:rPr>
              <w:t>High-yield bonds</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473BBC5" w14:textId="77777777" w:rsidR="007519C6" w:rsidRDefault="00000000">
            <w:r>
              <w:rPr>
                <w:color w:val="1A1A1A"/>
                <w:sz w:val="20"/>
                <w:szCs w:val="20"/>
              </w:rPr>
              <w:t>3.0% - 5.5%</w:t>
            </w:r>
          </w:p>
        </w:tc>
        <w:tc>
          <w:tcPr>
            <w:tcW w:w="47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6F736BB" w14:textId="77777777" w:rsidR="007519C6" w:rsidRDefault="00000000">
            <w:r>
              <w:rPr>
                <w:color w:val="1A1A1A"/>
                <w:sz w:val="20"/>
                <w:szCs w:val="20"/>
              </w:rPr>
              <w:t>Unsecured, fixed-rate, longer duration</w:t>
            </w:r>
          </w:p>
        </w:tc>
      </w:tr>
      <w:tr w:rsidR="007519C6" w14:paraId="425954DA"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B912F15" w14:textId="77777777" w:rsidR="007519C6" w:rsidRDefault="00000000">
            <w:r>
              <w:rPr>
                <w:b/>
                <w:bCs/>
                <w:color w:val="1A1A1A"/>
                <w:sz w:val="20"/>
                <w:szCs w:val="20"/>
              </w:rPr>
              <w:t>Mezzanine / junior debt</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BC8038F" w14:textId="77777777" w:rsidR="007519C6" w:rsidRDefault="00000000">
            <w:r>
              <w:rPr>
                <w:color w:val="1A1A1A"/>
                <w:sz w:val="20"/>
                <w:szCs w:val="20"/>
              </w:rPr>
              <w:t>4.0% - 8.0%</w:t>
            </w:r>
          </w:p>
        </w:tc>
        <w:tc>
          <w:tcPr>
            <w:tcW w:w="47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33D5100" w14:textId="77777777" w:rsidR="007519C6" w:rsidRDefault="00000000">
            <w:r>
              <w:rPr>
                <w:color w:val="1A1A1A"/>
                <w:sz w:val="20"/>
                <w:szCs w:val="20"/>
              </w:rPr>
              <w:t>Structural subordination, leverage tolerance</w:t>
            </w:r>
          </w:p>
        </w:tc>
      </w:tr>
      <w:tr w:rsidR="007519C6" w14:paraId="7C94F74D"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818FF97" w14:textId="77777777" w:rsidR="007519C6" w:rsidRDefault="00000000">
            <w:r>
              <w:rPr>
                <w:b/>
                <w:bCs/>
                <w:color w:val="1A1A1A"/>
                <w:sz w:val="20"/>
                <w:szCs w:val="20"/>
              </w:rPr>
              <w:lastRenderedPageBreak/>
              <w:t>Venture debt</w:t>
            </w:r>
          </w:p>
        </w:tc>
        <w:tc>
          <w:tcPr>
            <w:tcW w:w="18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212403C" w14:textId="77777777" w:rsidR="007519C6" w:rsidRDefault="00000000">
            <w:r>
              <w:rPr>
                <w:color w:val="1A1A1A"/>
                <w:sz w:val="20"/>
                <w:szCs w:val="20"/>
              </w:rPr>
              <w:t>5.0% - 15.0%</w:t>
            </w:r>
          </w:p>
        </w:tc>
        <w:tc>
          <w:tcPr>
            <w:tcW w:w="47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1372BB8" w14:textId="77777777" w:rsidR="007519C6" w:rsidRDefault="00000000">
            <w:r>
              <w:rPr>
                <w:color w:val="1A1A1A"/>
                <w:sz w:val="20"/>
                <w:szCs w:val="20"/>
              </w:rPr>
              <w:t>Early-stage, thin cash flow, startup risk</w:t>
            </w:r>
          </w:p>
        </w:tc>
      </w:tr>
      <w:tr w:rsidR="007519C6" w14:paraId="54C120DA" w14:textId="77777777">
        <w:tblPrEx>
          <w:tblCellMar>
            <w:top w:w="0" w:type="dxa"/>
            <w:bottom w:w="0" w:type="dxa"/>
          </w:tblCellMar>
        </w:tblPrEx>
        <w:tc>
          <w:tcPr>
            <w:tcW w:w="28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9E02D6B" w14:textId="77777777" w:rsidR="007519C6" w:rsidRDefault="00000000">
            <w:r>
              <w:rPr>
                <w:b/>
                <w:bCs/>
                <w:color w:val="1A1A1A"/>
                <w:sz w:val="20"/>
                <w:szCs w:val="20"/>
              </w:rPr>
              <w:t>Distressed strategies</w:t>
            </w:r>
          </w:p>
        </w:tc>
        <w:tc>
          <w:tcPr>
            <w:tcW w:w="18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83B6A2B" w14:textId="77777777" w:rsidR="007519C6" w:rsidRDefault="00000000">
            <w:r>
              <w:rPr>
                <w:color w:val="1A1A1A"/>
                <w:sz w:val="20"/>
                <w:szCs w:val="20"/>
              </w:rPr>
              <w:t>15.0% - 40.0%</w:t>
            </w:r>
          </w:p>
        </w:tc>
        <w:tc>
          <w:tcPr>
            <w:tcW w:w="47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A64B6AF" w14:textId="77777777" w:rsidR="007519C6" w:rsidRDefault="00000000">
            <w:r>
              <w:rPr>
                <w:color w:val="1A1A1A"/>
                <w:sz w:val="20"/>
                <w:szCs w:val="20"/>
              </w:rPr>
              <w:t>Deliberately distressed entry</w:t>
            </w:r>
          </w:p>
        </w:tc>
      </w:tr>
    </w:tbl>
    <w:p w14:paraId="10163DC4" w14:textId="77777777" w:rsidR="007519C6" w:rsidRDefault="00000000">
      <w:pPr>
        <w:spacing w:before="80" w:after="200"/>
      </w:pPr>
      <w:r>
        <w:rPr>
          <w:i/>
          <w:iCs/>
          <w:color w:val="5A5A5A"/>
          <w:sz w:val="18"/>
          <w:szCs w:val="18"/>
        </w:rPr>
        <w:t>Figure 11.1  Indicative annual default ranges by strategy. Definitions vary by source. The figures describe magnitude, not precision.</w:t>
      </w:r>
    </w:p>
    <w:p w14:paraId="404C3144" w14:textId="77777777" w:rsidR="007519C6" w:rsidRDefault="00000000">
      <w:pPr>
        <w:spacing w:after="60"/>
        <w:ind w:firstLine="360"/>
        <w:jc w:val="both"/>
      </w:pPr>
      <w:r>
        <w:rPr>
          <w:color w:val="1A1A1A"/>
        </w:rPr>
        <w:t>The long-run default rate for leveraged loans has averaged around three and a half percent over the decades for which the data exists, and middle-market direct lending has generally run below that, helped by the sponsor support, the tighter covenants, and the concentrated attention that direct lenders bring. The careful reader holds these numbers with a caveat the next chapter develops. The mechanisms that keep stress out of the default statistics, the maturity extension, the covenant waiver, the election to pay in kind, defer the recognition of trouble without curing it, so the reported default rate and the true economic stress rate can diverge, and the gap tends to widen late in a cycle.</w:t>
      </w:r>
    </w:p>
    <w:p w14:paraId="460AC5DC" w14:textId="77777777" w:rsidR="007519C6" w:rsidRDefault="00000000">
      <w:pPr>
        <w:pStyle w:val="Heading2"/>
      </w:pPr>
      <w:r>
        <w:rPr>
          <w:color w:val="2E2E2E"/>
        </w:rPr>
        <w:t>The Loss When Default Comes</w:t>
      </w:r>
    </w:p>
    <w:p w14:paraId="26555FB1" w14:textId="77777777" w:rsidR="007519C6" w:rsidRDefault="00000000">
      <w:pPr>
        <w:spacing w:after="60"/>
        <w:ind w:firstLine="360"/>
        <w:jc w:val="both"/>
      </w:pPr>
      <w:r>
        <w:rPr>
          <w:color w:val="1A1A1A"/>
        </w:rPr>
        <w:t xml:space="preserve">Recovery is the other determinant, and it is the one most often treated as a residual assumption when it deserves to be a conclusion. The standard figure, sixty-five to eighty cents for senior secured first-lien loans, conceals a wide distribution whose tails are determined by factors knowable in advance. And the standard figure is a historical one, drawn mostly from broadly syndicated loans, that recent experience has pressed lower. First-lien loans written loan-only, with no junior debt beneath them and documents that had drifted cov-lite, came back closer to the high fifties and low sixties across the 2023 to 2025 stretch, and the liability-management deals of those years left some lenders with less than the old </w:t>
      </w:r>
      <w:r>
        <w:rPr>
          <w:color w:val="1A1A1A"/>
        </w:rPr>
        <w:lastRenderedPageBreak/>
        <w:t>averages promised. Middle-market direct lending sits lower still on the published indices, nearer the high forties, which is worth remembering whenever a direct-lending model reaches for the syndicated recovery number. One more distinction earns its keep. A recovery measured at the price a defaulted loan trades for runs well below the ultimate recovery realized at the end of a workout, often by ten to fifteen points, so it always pays to ask which one is being quoted. Capital-structure position is paramount. First lien recovers far more than second lien, which recovers more than unsecured. Collateral quality matters next, because a recovery resting on enterprise value rather than hard assets is hostage to whether the impairment is cyclical or structural. Leverage at default determines how much value is left to distribute before the senior loan is reached. Economic conditions depress recoveries exactly when defaults rise and buyers are scarce. And workout execution, the early intervention and the experienced hand, can move an outcome from thirty cents to eighty. The expected loss is the product of frequency and severity, and it is the number that belongs beside the spread. For a book defaulting at two and a half percent with a quarter lost on each default, the expected annual loss is roughly sixty basis points, against a spread several times larger. The excess is the compensation for illiquidity, for the unexpected losses beyond the average, and for the work of managing the portfolio.</w:t>
      </w:r>
    </w:p>
    <w:p w14:paraId="3444C9D1" w14:textId="77777777" w:rsidR="007519C6" w:rsidRDefault="00000000">
      <w:pPr>
        <w:pStyle w:val="Heading2"/>
      </w:pPr>
      <w:r>
        <w:rPr>
          <w:color w:val="2E2E2E"/>
        </w:rPr>
        <w:t>Stressing the Coverage</w:t>
      </w:r>
    </w:p>
    <w:p w14:paraId="4DFF1976" w14:textId="77777777" w:rsidR="007519C6" w:rsidRDefault="00000000">
      <w:pPr>
        <w:spacing w:after="60"/>
        <w:ind w:firstLine="360"/>
        <w:jc w:val="both"/>
      </w:pPr>
      <w:r>
        <w:rPr>
          <w:color w:val="1A1A1A"/>
        </w:rPr>
        <w:t xml:space="preserve">The floating rate that protects the lender on the way up presses on the borrower at the top, and interest-coverage stress testing has accordingly moved to the center of the analysis. Earnings against cash interest below 1.5 times signals strain. Below 1.0, the borrower cannot cover its interest from operations </w:t>
      </w:r>
      <w:r>
        <w:rPr>
          <w:color w:val="1A1A1A"/>
        </w:rPr>
        <w:lastRenderedPageBreak/>
        <w:t>and must reach for liquidity, asset sales, or a restructuring. The arithmetic is direct. Every hundred basis points of additional base rate adds five hundred thousand dollars of annual interest on fifty million of floating debt, and that increment must be set against the earnings and their trend. Hedges, where they exist, blunt the effect. Sponsor equity cures and revenue growth can offset it. The exercise that mattered least in the low-rate decade matters most now, and the loans written when money was free are being tested against a cost of money that is not.</w:t>
      </w:r>
    </w:p>
    <w:p w14:paraId="4E80A918" w14:textId="77777777" w:rsidR="007519C6" w:rsidRDefault="00000000">
      <w:pPr>
        <w:pStyle w:val="Heading2"/>
      </w:pPr>
      <w:r>
        <w:rPr>
          <w:color w:val="2E2E2E"/>
        </w:rPr>
        <w:t>Reading the Covenants, Building the Portfolio</w:t>
      </w:r>
    </w:p>
    <w:p w14:paraId="38E3E6C5" w14:textId="77777777" w:rsidR="007519C6" w:rsidRDefault="00000000">
      <w:pPr>
        <w:spacing w:after="60"/>
        <w:ind w:firstLine="360"/>
        <w:jc w:val="both"/>
      </w:pPr>
      <w:r>
        <w:rPr>
          <w:color w:val="1A1A1A"/>
        </w:rPr>
        <w:t>The covenant analysis comes down to a few honest questions. How much cushion sits between actual performance and the trigger, and has a competitive market compressed it. How aggressively is EBITDA defined, since the same add-backs that flatter the opening leverage loosen the covenant meant to police it. Whether an initial covenant holiday delays the early warning the structure is supposed to provide. And how readily relief can be obtained, which depends on the market. Granted cheaply in easy conditions, extracted at a price in hard ones. None of this is mechanical, and that is the point. What is not measured is not managed.</w:t>
      </w:r>
    </w:p>
    <w:p w14:paraId="1A18E05F" w14:textId="77777777" w:rsidR="007519C6" w:rsidRDefault="00000000">
      <w:pPr>
        <w:spacing w:after="60"/>
        <w:ind w:firstLine="360"/>
        <w:jc w:val="both"/>
      </w:pPr>
      <w:r>
        <w:rPr>
          <w:color w:val="1A1A1A"/>
        </w:rPr>
        <w:t xml:space="preserve">Portfolio construction then applies the unglamorous disciplines that survive contact with a downturn. Limits on any single borrower, so that one failure is ordinary rather than serious. Diversification across industries, to dull the impact of a sector turning, without so much diversification that sector expertise dissolves. Diversification across vintages, because a book built entirely in one year carries that year's terms and that year's mistakes, and Howard Marks's </w:t>
      </w:r>
      <w:r>
        <w:rPr>
          <w:color w:val="1A1A1A"/>
        </w:rPr>
        <w:lastRenderedPageBreak/>
        <w:t>observation that the vintage matters more than almost anything has been proven across high yield, mortgages, leveraged loans, and CLOs alike. And diversification across strategy, combining direct lending, asset-based finance, and the rest to spread exposure across genuinely different risk factors rather than the same factor in different wrappers. Seth Klarman's principle, that the margin of safety is the most important number in any analysis, applies here as directly as it does to equities. The covenants, the collateral, the structure, the cushion. These are the margin of safety, and they are not secondary considerations. They are the analysis.</w:t>
      </w:r>
    </w:p>
    <w:p w14:paraId="476456F5" w14:textId="77777777" w:rsidR="007519C6" w:rsidRDefault="00000000">
      <w:r>
        <w:br w:type="page"/>
      </w:r>
    </w:p>
    <w:p w14:paraId="6F68C28D" w14:textId="77777777" w:rsidR="007519C6" w:rsidRDefault="00000000">
      <w:pPr>
        <w:pStyle w:val="Heading1"/>
      </w:pPr>
      <w:r>
        <w:lastRenderedPageBreak/>
        <w:t>Chapter 23: Documentation and the Anatomy of a Covenant</w:t>
      </w:r>
    </w:p>
    <w:p w14:paraId="20FC9B5A" w14:textId="77777777" w:rsidR="007519C6" w:rsidRDefault="00000000">
      <w:pPr>
        <w:spacing w:after="60"/>
        <w:jc w:val="both"/>
      </w:pPr>
      <w:r>
        <w:rPr>
          <w:color w:val="1A1A1A"/>
        </w:rPr>
        <w:t>Every credit rests on two foundations. The first is the borrower's ability to pay. The second is the document that governs what the lender can do if the borrower does not. The earlier chapters have returned to this division repeatedly, because it is the single most underweighted truth in the asset class, and it deserves a chapter of its own. The covenant is not a legal nicety bolted onto a credit decision. It is the instrument through which the credit decision is enforced, and an instrument that has been hollowed out over successive deal cycles will not perform when it is finally needed. Paul Singer of Elliott Management has spent four decades on this point, and it is worth stating in its strongest form. The most dangerous moment in credit is not when the company is visibly failing. It is when the documentation turns out not to mean what the lender believed it meant.</w:t>
      </w:r>
    </w:p>
    <w:p w14:paraId="15E0968D" w14:textId="77777777" w:rsidR="007519C6" w:rsidRDefault="00000000">
      <w:pPr>
        <w:spacing w:after="60"/>
        <w:ind w:firstLine="360"/>
        <w:jc w:val="both"/>
      </w:pPr>
      <w:r>
        <w:rPr>
          <w:color w:val="1A1A1A"/>
        </w:rPr>
        <w:t xml:space="preserve">That moment is not unusual. It is the standard experience of any restructuring of a loan written late in an easy cycle, and understanding why requires looking at what a credit agreement actually contains and how its protections have eroded. The agreement is a long and technical document, but its architecture is simple enough to hold in mind. It contains affirmative covenants, the things the borrower must do, deliver financial statements, maintain insurance, pay taxes. It contains negative covenants, the things the borrower may not do without permission, incur additional debt, grant liens, sell assets, pay dividends, transfer property to affiliates. It contains financial covenants, the quarterly tests of leverage and coverage that function as the early-warning system. And underneath all of it, doing more work than any single </w:t>
      </w:r>
      <w:r>
        <w:rPr>
          <w:color w:val="1A1A1A"/>
        </w:rPr>
        <w:lastRenderedPageBreak/>
        <w:t>clause, sit the definitions, the most important of which is the definition of EBITDA, because nearly every other provision is measured against it.</w:t>
      </w:r>
    </w:p>
    <w:p w14:paraId="63FC644E" w14:textId="77777777" w:rsidR="007519C6" w:rsidRDefault="00000000">
      <w:pPr>
        <w:pStyle w:val="Heading2"/>
      </w:pPr>
      <w:r>
        <w:rPr>
          <w:color w:val="2E2E2E"/>
        </w:rPr>
        <w:t>Maintenance and Incurrence</w:t>
      </w:r>
    </w:p>
    <w:p w14:paraId="64A0F04E" w14:textId="77777777" w:rsidR="007519C6" w:rsidRDefault="00000000">
      <w:pPr>
        <w:spacing w:after="60"/>
        <w:ind w:firstLine="360"/>
        <w:jc w:val="both"/>
      </w:pPr>
      <w:r>
        <w:rPr>
          <w:color w:val="1A1A1A"/>
        </w:rPr>
        <w:t>The first distinction that matters is between maintenance covenants and incurrence covenants, because it determines when the lender gets a seat at the table. A maintenance covenant is tested every quarter regardless of what the borrower does. Leverage must stay below a level, coverage above one, and a breach occurs simply because the numbers crossed a line. An incurrence covenant is tested only when the borrower takes an action, raising debt or paying a dividend, and is satisfied or not at that moment. The difference is the difference between a smoke detector and a requirement to call the fire department before lighting a match. The maintenance covenant catches deterioration the borrower did not choose and may not yet have acknowledged. The incurrence covenant catches only the deliberate act.</w:t>
      </w:r>
    </w:p>
    <w:p w14:paraId="0D2FD6BA" w14:textId="77777777" w:rsidR="007519C6" w:rsidRDefault="00000000">
      <w:pPr>
        <w:spacing w:after="60"/>
        <w:ind w:firstLine="360"/>
        <w:jc w:val="both"/>
      </w:pPr>
      <w:r>
        <w:rPr>
          <w:color w:val="1A1A1A"/>
        </w:rPr>
        <w:t xml:space="preserve">Private credit has generally retained maintenance covenants where the broadly syndicated loan market abandoned them, and that retention is one of the asset class's genuine structural advantages. But the word generally is doing real work in that sentence. The competitive pressure of the post-2015 market, when capital was abundant and borrowers could shop their deals, pushed private credit documentation steadily toward the borrower, and the covenant cushion, the gap between the trigger and actual performance, compressed deal by deal. The protections that a lender demanded in 2010 had eroded by increments, each year's agreement slightly friendlier to the borrower than the last, until a loan written in the early 2020s looked structurally quite different from one the crisis </w:t>
      </w:r>
      <w:r>
        <w:rPr>
          <w:color w:val="1A1A1A"/>
        </w:rPr>
        <w:lastRenderedPageBreak/>
        <w:t>generation had been trained on. This is not an accusation against anyone. It is how credit cycles work. When capital is scarce, documentation is tight. When capital is abundant, it loosens. The current vintage of private credit loans was largely written under the loosest conditions the asset class has seen, and how those documents behave under stress is the live experiment the market is now running.</w:t>
      </w:r>
    </w:p>
    <w:p w14:paraId="7F4D50BE" w14:textId="77777777" w:rsidR="007519C6" w:rsidRDefault="00000000">
      <w:pPr>
        <w:pStyle w:val="Heading2"/>
      </w:pPr>
      <w:r>
        <w:rPr>
          <w:color w:val="2E2E2E"/>
        </w:rPr>
        <w:t>The EBITDA Problem</w:t>
      </w:r>
    </w:p>
    <w:p w14:paraId="541F8B8C" w14:textId="77777777" w:rsidR="007519C6" w:rsidRDefault="00000000">
      <w:pPr>
        <w:spacing w:after="60"/>
        <w:ind w:firstLine="360"/>
        <w:jc w:val="both"/>
      </w:pPr>
      <w:r>
        <w:rPr>
          <w:color w:val="1A1A1A"/>
        </w:rPr>
        <w:t>If the covenant is the instrument, the definition of EBITDA is the tuning, and it has been quietly detuned for a decade. EBITDA is meant to approximate the cash a business generates to service its debt, but it is a negotiated number, not an observed one, and the negotiation happens through add-backs, the adjustments that increase reported earnings for items the parties agree to exclude. Some add-backs are legitimate. A genuinely one-time legal settlement, a discrete restructuring charge. But the category expanded over the cycle to include projected cost savings not yet realized, synergies from acquisitions not yet integrated, and run-rate adjustments that assume the future will deliver what the present has not. An EBITDA inflated by aggressive add-backs makes leverage look lower than it is and coverage look higher than it is, which means the covenant calculated against it triggers later, or not at all, while the underlying business deteriorates.</w:t>
      </w:r>
    </w:p>
    <w:p w14:paraId="593963E2" w14:textId="77777777" w:rsidR="007519C6" w:rsidRDefault="00000000">
      <w:pPr>
        <w:spacing w:after="60"/>
        <w:ind w:firstLine="360"/>
        <w:jc w:val="both"/>
      </w:pPr>
      <w:r>
        <w:rPr>
          <w:color w:val="1A1A1A"/>
        </w:rPr>
        <w:t xml:space="preserve">The practical consequence is that two loans with identical stated leverage covenants can offer entirely different protection depending on how their EBITDA is defined. The sophisticated lender reads the definition with more care than the headline spread, because the definition determines whether the headline </w:t>
      </w:r>
      <w:r>
        <w:rPr>
          <w:color w:val="1A1A1A"/>
        </w:rPr>
        <w:lastRenderedPageBreak/>
        <w:t>covenant means anything. The unsophisticated lender, or the one too pressured by a competitive process to push back, accepts a definition that has already neutralized the protection it believes it is buying. Howard Marks's formulation about the difference between what you buy and what you pay applies here with unusual force. The covenant traded away for twenty-five basis points of spread is worth far more than twenty-five basis points when the borrower needs to be managed through stress, and the EBITDA add-back conceded to win the deal is the add-back that hides the deterioration until it is too late to act on it.</w:t>
      </w:r>
    </w:p>
    <w:p w14:paraId="09B9AFC5" w14:textId="77777777" w:rsidR="007519C6" w:rsidRDefault="00000000">
      <w:pPr>
        <w:pStyle w:val="Heading2"/>
      </w:pPr>
      <w:r>
        <w:rPr>
          <w:color w:val="2E2E2E"/>
        </w:rPr>
        <w:t>Creditor-on-Creditor Violence</w:t>
      </w:r>
    </w:p>
    <w:p w14:paraId="3398C3CD" w14:textId="77777777" w:rsidR="007519C6" w:rsidRDefault="00000000">
      <w:pPr>
        <w:spacing w:after="60"/>
        <w:ind w:firstLine="360"/>
        <w:jc w:val="both"/>
      </w:pPr>
      <w:r>
        <w:rPr>
          <w:color w:val="1A1A1A"/>
        </w:rPr>
        <w:t>The erosion of documentation has produced, in the past several years, a genuinely new hazard, one that did not exist at scale in earlier cycles and that every private credit investor must now understand. It goes by the inelegant name of liability management, and in its more aggressive forms by the more honest name of creditor-on-creditor violence. The use of gaps in loan documents to advantage one group of lenders at the direct expense of another, often lenders in the same class who believed they held identical claims. The maneuvers have acquired shorthand names from the landmark situations that introduced them, and the categories matter more than the names.</w:t>
      </w:r>
    </w:p>
    <w:p w14:paraId="069C61E6" w14:textId="77777777" w:rsidR="007519C6" w:rsidRDefault="00000000">
      <w:pPr>
        <w:spacing w:after="60"/>
        <w:ind w:firstLine="360"/>
        <w:jc w:val="both"/>
      </w:pPr>
      <w:r>
        <w:rPr>
          <w:color w:val="1A1A1A"/>
        </w:rPr>
        <w:t xml:space="preserve">The first category is the drop-down, in which a borrower uses permissive baskets and the gaps in its negative covenants to transfer valuable collateral, frequently intellectual property, out of the reach of existing lenders into a subsidiary they do not have a claim against, and then borrows fresh money secured by those assets. The collateral the original lenders thought secured their loan is suddenly financing someone else's, and the documents permitted it </w:t>
      </w:r>
      <w:r>
        <w:rPr>
          <w:color w:val="1A1A1A"/>
        </w:rPr>
        <w:lastRenderedPageBreak/>
        <w:t>because the baskets were loose and the transfer restrictions were not airtight. The second category is the uptier, or priming transaction, in which a majority of lenders agree with the borrower to issue new super-priority debt that leapfrogs the existing loans, and to amend the credit agreement, using the majority-vote provisions, to subordinate the non-participating minority. Lenders who began as senior secured find themselves primed and subordinated by their own co-lenders, their position degraded not by the borrower's failure but by a coalition they were not invited to join. The third category is simpler and older. The use of restricted-payment and investment capacity to move value toward the equity, through dividends or affiliate transactions, that a tighter agreement would have prevented.</w:t>
      </w:r>
    </w:p>
    <w:p w14:paraId="3864608A" w14:textId="77777777" w:rsidR="007519C6" w:rsidRDefault="00000000">
      <w:pPr>
        <w:spacing w:after="60"/>
        <w:ind w:firstLine="360"/>
        <w:jc w:val="both"/>
      </w:pPr>
      <w:r>
        <w:rPr>
          <w:color w:val="1A1A1A"/>
        </w:rPr>
        <w:t xml:space="preserve">What unites these maneuvers is that they were, in nearly every case, permitted by the documents. They are not frauds. They are the exploitation of flexibility that the lenders granted, often without fully pricing it, during the years when competition for deals ran ahead of discipline about terms. The litigation that followed the landmark cases has refined the law and tightened some documents, and the better agreements now include explicit protections, anti-drop-down provisions, requirements that priming transactions treat all lenders equally, tighter baskets and transfer restrictions. But the lesson is permanent and it is the lesson of this chapter. The intercreditor terms agreed in calm markets are tested in stressed ones, and a lender who has not read them closely enough to know whether its co-lenders can turn on it has not finished underwriting the loan. Private credit's bilateral and small-club structure offers real protection here, because a single lender or a tight group has less to fear from a coalition it effectively controls. But as private credit loans are increasingly syndicated more </w:t>
      </w:r>
      <w:r>
        <w:rPr>
          <w:color w:val="1A1A1A"/>
        </w:rPr>
        <w:lastRenderedPageBreak/>
        <w:t>broadly and packaged into CLOs, the exposure to these dynamics grows, and the protection that came from holding the whole loan erodes along with it.</w:t>
      </w:r>
    </w:p>
    <w:p w14:paraId="7DD85982" w14:textId="77777777" w:rsidR="007519C6" w:rsidRDefault="00000000">
      <w:pPr>
        <w:pStyle w:val="Heading2"/>
      </w:pPr>
      <w:r>
        <w:rPr>
          <w:color w:val="2E2E2E"/>
        </w:rPr>
        <w:t>What Good Looks Like</w:t>
      </w:r>
    </w:p>
    <w:p w14:paraId="6FEEC616" w14:textId="77777777" w:rsidR="007519C6" w:rsidRDefault="00000000">
      <w:pPr>
        <w:spacing w:after="60"/>
        <w:ind w:firstLine="360"/>
        <w:jc w:val="both"/>
      </w:pPr>
      <w:r>
        <w:rPr>
          <w:color w:val="1A1A1A"/>
        </w:rPr>
        <w:t>It is easier to catalogue the failures than to describe the standard, but the standard is knowable. Strong documentation includes financial maintenance covenants that trigger early, with cushions that have not been competed away. It includes a disciplined EBITDA definition that limits add-backs to genuinely non-recurring items and caps the projected savings that can be claimed. It includes tight negative covenants, with baskets sized to the actual needs of the business rather than to the maximum the lender could be persuaded to grant, and transfer restrictions that prevent collateral from leaving the lenders' reach. It includes intercreditor protections that prevent a majority from subordinating a minority and ensure that priming transactions, if permitted at all, treat lenders equally. And it includes detailed reporting and information rights, so that the lender sees the deterioration in time to act on it.</w:t>
      </w:r>
    </w:p>
    <w:p w14:paraId="36322F8E" w14:textId="77777777" w:rsidR="007519C6" w:rsidRDefault="00000000">
      <w:pPr>
        <w:spacing w:after="60"/>
        <w:ind w:firstLine="360"/>
        <w:jc w:val="both"/>
      </w:pPr>
      <w:r>
        <w:rPr>
          <w:color w:val="1A1A1A"/>
        </w:rPr>
        <w:t xml:space="preserve">None of this is exotic, and none of it is free. Every protection is a term the borrower would rather not grant and a competitor might be willing to concede, which is precisely why documentation quality is the truest test of a lender's discipline. In an expansionary market, the pressure to win the deal pushes every term toward the borrower, and the manager who holds the line on covenants accepts that it will lose some deals to the manager who does not. The discipline is to lose them anyway, because the loans written on weak documents are exactly the loans that will disappoint in the downturn, and the spread given up to win them will not cover the recovery lost when they do. Read the documents. </w:t>
      </w:r>
      <w:r>
        <w:rPr>
          <w:color w:val="1A1A1A"/>
        </w:rPr>
        <w:lastRenderedPageBreak/>
        <w:t>Understand what you actually hold. Do not substitute the rating, or the reputation of the sponsor, or the comfort of the crowd, for the analysis. The document is the instrument, and in the moment that matters, it is the only thing the lender actually has.</w:t>
      </w:r>
    </w:p>
    <w:p w14:paraId="3E573447" w14:textId="77777777" w:rsidR="007519C6" w:rsidRDefault="00000000">
      <w:r>
        <w:br w:type="page"/>
      </w:r>
    </w:p>
    <w:p w14:paraId="327D4B88" w14:textId="77777777" w:rsidR="007519C6" w:rsidRDefault="00000000">
      <w:pPr>
        <w:pStyle w:val="Heading1"/>
      </w:pPr>
      <w:r>
        <w:lastRenderedPageBreak/>
        <w:t>Chapter 24: Valuation and the Question of Marks</w:t>
      </w:r>
    </w:p>
    <w:p w14:paraId="0BC75BAE" w14:textId="77777777" w:rsidR="007519C6" w:rsidRDefault="00000000">
      <w:pPr>
        <w:spacing w:after="60"/>
        <w:jc w:val="both"/>
      </w:pPr>
      <w:r>
        <w:rPr>
          <w:color w:val="1A1A1A"/>
        </w:rPr>
        <w:t>Private credit assets do not trade, so they cannot be priced. They have to be valued instead, estimated through models, comparables, and judgment. The gap between a price and a valuation is one of the defining tensions of the asset class. With no market price to lean on, the reported value is both steadier and less informative than a traded one would be, and as the market has grown, the question of what those marks actually mean has pulled in regulators, auditors, and investors alike. The question deserves the attention. A valuation that drifts from reality does not make the loss go away. It just delays the day someone has to admit it.</w:t>
      </w:r>
    </w:p>
    <w:p w14:paraId="7A14C952" w14:textId="77777777" w:rsidR="007519C6" w:rsidRDefault="00000000">
      <w:pPr>
        <w:pStyle w:val="Heading2"/>
      </w:pPr>
      <w:r>
        <w:rPr>
          <w:color w:val="2E2E2E"/>
        </w:rPr>
        <w:t>The Fair-Value Hierarchy</w:t>
      </w:r>
    </w:p>
    <w:p w14:paraId="0A7C47F4" w14:textId="77777777" w:rsidR="007519C6" w:rsidRDefault="00000000">
      <w:pPr>
        <w:spacing w:after="60"/>
        <w:ind w:firstLine="360"/>
        <w:jc w:val="both"/>
      </w:pPr>
      <w:r>
        <w:rPr>
          <w:color w:val="1A1A1A"/>
        </w:rPr>
        <w:t>The accounting framework sorts valuation inputs into three levels. Level one is a quoted price in an active market, which private credit almost never has. Level two rests on observable inputs short of a direct quote, things like dealer marks on similar instruments or models built on observable data, and some senior loans qualify. Most of private credit sits in level three, valued on inputs nobody can observe from the outside, the manager's own assumptions about credit quality, discount rates, and comparable pricing. Level three is not a polite word for arbitrary. But it is an admission that judgment is doing the work, and judgment can be disciplined or it can be self-serving.</w:t>
      </w:r>
    </w:p>
    <w:p w14:paraId="5CE1042D" w14:textId="77777777" w:rsidR="007519C6" w:rsidRDefault="00000000">
      <w:pPr>
        <w:pStyle w:val="Heading2"/>
      </w:pPr>
      <w:r>
        <w:rPr>
          <w:color w:val="2E2E2E"/>
        </w:rPr>
        <w:t>How the Marks Are Made</w:t>
      </w:r>
    </w:p>
    <w:p w14:paraId="3F6A1674" w14:textId="77777777" w:rsidR="007519C6" w:rsidRDefault="00000000">
      <w:pPr>
        <w:spacing w:after="60"/>
        <w:ind w:firstLine="360"/>
        <w:jc w:val="both"/>
      </w:pPr>
      <w:r>
        <w:rPr>
          <w:color w:val="1A1A1A"/>
        </w:rPr>
        <w:t xml:space="preserve">The methods are familiar in principle and demanding in practice. Discounted cash flow projects the expected payments and discounts them back at a rate built </w:t>
      </w:r>
      <w:r>
        <w:rPr>
          <w:color w:val="1A1A1A"/>
        </w:rPr>
        <w:lastRenderedPageBreak/>
        <w:t>from the risk-free rate, the spread on comparable credit, and an illiquidity premium. It is sound in theory and very sensitive to its assumptions. Market comparison reads the loan against recently traded instruments of similar quality, using the broadly syndicated market as a yardstick where one exists. Transaction multiples test whether the implied enterprise value still covers the loan with room to spare, and mark it down when it does not. Dealer quotes, where you can get them, give another check, though the thin secondary market makes them shakier than they would be for liquid paper. An honest valuation triangulates across all of these instead of leaning on any single one.</w:t>
      </w:r>
    </w:p>
    <w:p w14:paraId="63EC2D64" w14:textId="77777777" w:rsidR="007519C6" w:rsidRDefault="00000000">
      <w:pPr>
        <w:pStyle w:val="Heading2"/>
      </w:pPr>
      <w:r>
        <w:rPr>
          <w:color w:val="2E2E2E"/>
        </w:rPr>
        <w:t>Governance, and Why It Matters</w:t>
      </w:r>
    </w:p>
    <w:p w14:paraId="76963994" w14:textId="77777777" w:rsidR="007519C6" w:rsidRDefault="00000000">
      <w:pPr>
        <w:spacing w:after="60"/>
        <w:ind w:firstLine="360"/>
        <w:jc w:val="both"/>
      </w:pPr>
      <w:r>
        <w:rPr>
          <w:color w:val="1A1A1A"/>
        </w:rPr>
        <w:t>Because judgment is doing the work, governance is what separates a credible mark from a hopeful one. Independent valuation committees, kept apart from the investment team, review and approve the marks, so the people who made the loan are not the only ones valuing it. Third-party firms review or independently calculate the level-three values, which gives auditors and investors a check on the manager's optimism. Documentation captures the methods and the inputs. Back-testing holds yesterday's marks against today's realizations to catch any systematic drift. None of this is bureaucratic ceremony. When an insurer, a pension, or an endowment carries private credit at a manager's mark, its own capital adequacy rests on that number, and if the marks run generous, the cushions across the system are thinner than they look. The valuation question is not just about one investor's transparency. It is about where the losses are, and who is quietly carrying them before anyone has admitted they exist.</w:t>
      </w:r>
    </w:p>
    <w:p w14:paraId="7C2BE450" w14:textId="77777777" w:rsidR="007519C6" w:rsidRDefault="00000000">
      <w:pPr>
        <w:pStyle w:val="Heading2"/>
      </w:pPr>
      <w:r>
        <w:rPr>
          <w:color w:val="2E2E2E"/>
        </w:rPr>
        <w:t>The Benchmarks</w:t>
      </w:r>
    </w:p>
    <w:p w14:paraId="3AE2D383" w14:textId="77777777" w:rsidR="007519C6" w:rsidRDefault="00000000">
      <w:pPr>
        <w:spacing w:after="60"/>
        <w:ind w:firstLine="360"/>
        <w:jc w:val="both"/>
      </w:pPr>
      <w:r>
        <w:rPr>
          <w:color w:val="1A1A1A"/>
        </w:rPr>
        <w:lastRenderedPageBreak/>
        <w:t>A handful of indices now track the asset class, each through a different lens. The Cliffwater Direct Lending Index, drawn from the holdings of business development companies, is the most cited and the longest, a quarterly total-return series spanning thousands of loans. The Lincoln Senior Debt Index, built from the valuations of several thousand private companies, gives an alternative view and a useful window onto covenant breaches and amendment activity. The KBRA Direct Lending Index follows a wide set of borrowers with an eye on defaults under a comprehensive definition. And the broadly syndicated loan index supplies the public-market comparison that lets you judge the private premium. Across all of them, the number that matters most is the one the history keeps coming back to. Income has consistently run ahead of realized losses, and the gap between the two is the excess return that pays you for illiquidity and risk. Watch that gap rather than the headline total return, and you are reading the asset class the way it should be read.</w:t>
      </w:r>
    </w:p>
    <w:p w14:paraId="2AD92B92" w14:textId="77777777" w:rsidR="007519C6" w:rsidRDefault="00000000">
      <w:pPr>
        <w:pStyle w:val="Heading2"/>
      </w:pPr>
      <w:r>
        <w:rPr>
          <w:color w:val="2E2E2E"/>
        </w:rPr>
        <w:t>The Gap Between the Mark and the Price</w:t>
      </w:r>
    </w:p>
    <w:p w14:paraId="686957DA" w14:textId="77777777" w:rsidR="007519C6" w:rsidRDefault="00000000">
      <w:pPr>
        <w:spacing w:after="60"/>
        <w:ind w:firstLine="360"/>
        <w:jc w:val="both"/>
      </w:pPr>
      <w:r>
        <w:rPr>
          <w:color w:val="1A1A1A"/>
        </w:rPr>
        <w:t xml:space="preserve">The deepest question in private credit valuation is not how the marks are made. It is how far they can drift from what an asset would actually fetch. And the answer matters enormously, because the whole edifice of reported returns, capital adequacy, and investor confidence rests on the marks being roughly right. A traded security has a price, the market's continuous verdict on its value, brutal and honest. A private loan has only a mark, the manager's considered estimate. That estimate is informed by the manager's judgment, shaped by the manager's incentives, and tested by no daily market at all. The mark is steadier than a price, which is a real virtue for a long-term investor who has no use for the daily theater </w:t>
      </w:r>
      <w:r>
        <w:rPr>
          <w:color w:val="1A1A1A"/>
        </w:rPr>
        <w:lastRenderedPageBreak/>
        <w:t>of the public markets. It is also less informative than a price, which is a real danger when the calm hides a deterioration the manager has been slow to admit.</w:t>
      </w:r>
    </w:p>
    <w:p w14:paraId="2C5C41E7" w14:textId="77777777" w:rsidR="007519C6" w:rsidRDefault="00000000">
      <w:pPr>
        <w:spacing w:after="60"/>
        <w:ind w:firstLine="360"/>
        <w:jc w:val="both"/>
      </w:pPr>
      <w:r>
        <w:rPr>
          <w:color w:val="1A1A1A"/>
        </w:rPr>
        <w:t>The incentive problem is real, and it should be stated plainly rather than tactfully. A manager marking its own book has every reason to mark optimistically. A markdown lowers reported returns, dents the next fundraise, and in a semi-liquid vehicle can set off redemptions that force the sale of exactly the assets that are hardest to sell. None of this means fraud, and the great majority of managers value honestly, inside the genuine range of judgment that illiquid assets allow. But that range is wide, the pressure all runs one way, and with no market test the optimism can sit there and compound until something forces the reckoning. When the reckoning comes, it shows up in the secondary market, where assets actually change hands at prices that reveal what the marks were worth. The gaps between model marks and transaction prices that surfaced in the secondary trading of the mid-2020s ran from modest to substantial. The widest ones showed up, predictably, in the most stressed credits and the most aggressively underwritten vintages, the loans where the temptation to mark high was strongest and the reality underneath was weakest. The mark held the line. The transaction told the truth. The space between them measures how much optimism the model had quietly absorbed.</w:t>
      </w:r>
    </w:p>
    <w:p w14:paraId="6A59107C" w14:textId="77777777" w:rsidR="007519C6" w:rsidRDefault="00000000">
      <w:pPr>
        <w:spacing w:after="60"/>
        <w:ind w:firstLine="360"/>
        <w:jc w:val="both"/>
      </w:pPr>
      <w:r>
        <w:rPr>
          <w:color w:val="1A1A1A"/>
        </w:rPr>
        <w:t xml:space="preserve">This is not just a problem of investor transparency, and it is worth seeing why, because the systemic stakes are higher than the individual ones. When an insurer carries private credit at a manager's mark, its regulatory capital, the cushion that protects its policyholders, is measured against that mark. When a pension fund reports its funded status, that status reflects the marks on its private credit. When a bank lends against a fund's NAV, the advance rests on the NAV's marks. If the </w:t>
      </w:r>
      <w:r>
        <w:rPr>
          <w:color w:val="1A1A1A"/>
        </w:rPr>
        <w:lastRenderedPageBreak/>
        <w:t>marks across the system run generous against what the assets would really fetch, then the capital cushions are thinner than they look, the funded statuses are weaker, the bank advances are riskier, and the whole structure is more fragile than its reported numbers let on. That fragility stays invisible right up until a stress forces enough transactions to expose the gap. So the valuation question is not a technical accounting matter. It is the question of whether the reported soundness of a large, interconnected piece of the financial system is real, or partly a product of marks that have not yet met their market test. The honest answer is that nobody fully knows, because the test, at scale, has not yet come. That uncertainty is itself one of the most important facts about the asset class as it stands today.</w:t>
      </w:r>
    </w:p>
    <w:p w14:paraId="75DA4F84" w14:textId="77777777" w:rsidR="007519C6" w:rsidRDefault="00000000">
      <w:r>
        <w:br w:type="page"/>
      </w:r>
    </w:p>
    <w:p w14:paraId="53297F6D" w14:textId="77777777" w:rsidR="007519C6" w:rsidRDefault="00000000">
      <w:pPr>
        <w:pStyle w:val="Heading1"/>
      </w:pPr>
      <w:r>
        <w:lastRenderedPageBreak/>
        <w:t>Chapter 25: Transparency, Standardization, and the Data Problem</w:t>
      </w:r>
    </w:p>
    <w:p w14:paraId="7A0A57D4" w14:textId="77777777" w:rsidR="007519C6" w:rsidRDefault="00000000">
      <w:pPr>
        <w:spacing w:after="60"/>
        <w:jc w:val="both"/>
      </w:pPr>
      <w:r>
        <w:rPr>
          <w:color w:val="1A1A1A"/>
        </w:rPr>
        <w:t>The previous chapter ended on an awkward truth. The technology to make private credit more transparent largely exists, and the market has not rushed to adopt it partly because some of its most powerful participants do quite well out of the opacity. That truth deserves to be unpacked, because the transparency question sits at the center of where this asset class is headed. A market this large cannot stay this opaque forever. The pressure to standardize, to measure, to see, is building from several directions at once, and how the market responds will shape its next decade as much as any credit cycle. The structured products market went through exactly this passage a generation ago, and its history is the best guide we have, both for what is coming and for where the analogy breaks down.</w:t>
      </w:r>
    </w:p>
    <w:p w14:paraId="79D85B0B" w14:textId="77777777" w:rsidR="007519C6" w:rsidRDefault="00000000">
      <w:pPr>
        <w:pStyle w:val="Heading2"/>
      </w:pPr>
      <w:r>
        <w:rPr>
          <w:color w:val="2E2E2E"/>
        </w:rPr>
        <w:t>The Opacity, Stated Plainly</w:t>
      </w:r>
    </w:p>
    <w:p w14:paraId="7C29BF16" w14:textId="77777777" w:rsidR="007519C6" w:rsidRDefault="00000000">
      <w:pPr>
        <w:spacing w:after="60"/>
        <w:ind w:firstLine="360"/>
        <w:jc w:val="both"/>
      </w:pPr>
      <w:r>
        <w:rPr>
          <w:color w:val="1A1A1A"/>
        </w:rPr>
        <w:t xml:space="preserve">Consider what an investor in private credit actually cannot see. There is no central record of the loans that exist. There is no standard way the terms are written, so every agreement must be read on its own. There is no agreed definition of a default, so the rates that different managers report are not strictly comparable. There is no continuous price, so the value of a position is whatever its manager says it is until something forces a transaction. And there is no comprehensive, reliable dataset of how the asset class as a whole is performing, only fragments, gathered by different providers using different methods, lagging reality by months. An investor in public equities can see a price every second and a regulator can see the whole market. An investor in private credit is, by </w:t>
      </w:r>
      <w:r>
        <w:rPr>
          <w:color w:val="1A1A1A"/>
        </w:rPr>
        <w:lastRenderedPageBreak/>
        <w:t>comparison, working in the dark with a flashlight, and so, more worryingly, is anyone trying to gauge the risk building in the system overall.</w:t>
      </w:r>
    </w:p>
    <w:p w14:paraId="6894A633" w14:textId="77777777" w:rsidR="007519C6" w:rsidRDefault="00000000">
      <w:pPr>
        <w:spacing w:after="60"/>
        <w:ind w:firstLine="360"/>
        <w:jc w:val="both"/>
      </w:pPr>
      <w:r>
        <w:rPr>
          <w:color w:val="1A1A1A"/>
        </w:rPr>
        <w:t>Some of this opacity is the honest and unavoidable cost of a market built on private, negotiated, illiquid transactions. A bespoke loan to a middle-market company is genuinely harder to standardize and price than a share of a public company, and always will be. But not all of the opacity is unavoidable, and it is worth being clear-eyed about the part that persists because it serves someone's interest rather than because it must. That is the part that can change, and the part the rest of this chapter is about.</w:t>
      </w:r>
    </w:p>
    <w:p w14:paraId="29B8F26E" w14:textId="77777777" w:rsidR="007519C6" w:rsidRDefault="00000000">
      <w:pPr>
        <w:pStyle w:val="Heading2"/>
      </w:pPr>
      <w:r>
        <w:rPr>
          <w:color w:val="2E2E2E"/>
        </w:rPr>
        <w:t>How the Market Will Standardize</w:t>
      </w:r>
    </w:p>
    <w:p w14:paraId="37394220" w14:textId="77777777" w:rsidR="007519C6" w:rsidRDefault="00000000">
      <w:pPr>
        <w:spacing w:after="60"/>
        <w:ind w:firstLine="360"/>
        <w:jc w:val="both"/>
      </w:pPr>
      <w:r>
        <w:rPr>
          <w:color w:val="1A1A1A"/>
        </w:rPr>
        <w:t>Markets standardize when standardization becomes more valuable to enough participants than the status quo, and several forces are pushing private credit toward that tipping point. The growth of the asset class is itself a pressure, because a market measured in the trillions, holding the retirement savings of ordinary people through insurers and pensions, attracts a scrutiny that a niche market escapes. The entry of retail capital intensifies it, because retail investors and the regulators who protect them demand disclosure that sophisticated institutions could waive. The development of a secondary market requires it, because positions cannot trade efficiently until their terms are standard enough for a buyer to assess quickly. And the rating agencies, the index providers, and the data firms are all building the measurement infrastructure that a maturing market needs, slowly assembling the common language and the reference points that did not exist a decade ago. Standardization in private credit is not a question of whether but of pace, and the pace is quickening.</w:t>
      </w:r>
    </w:p>
    <w:p w14:paraId="2AAA8923" w14:textId="77777777" w:rsidR="007519C6" w:rsidRDefault="00000000">
      <w:pPr>
        <w:spacing w:after="60"/>
        <w:ind w:firstLine="360"/>
        <w:jc w:val="both"/>
      </w:pPr>
      <w:r>
        <w:rPr>
          <w:color w:val="1A1A1A"/>
        </w:rPr>
        <w:lastRenderedPageBreak/>
        <w:t>The structured products market is the precedent, and the parallel is close enough to be genuinely instructive. The leveraged loan market of the early 1990s was nearly as opaque as private credit is now, bespoke, illiquid, untraded, with no common documentation and no secondary market to speak of. What changed it was exactly the institutional plumbing this book has described. The trade associations that built standard documents, the assignment mechanics that let loans transfer, the trade reporting that revealed prices, the index inclusion that created benchmarks. Over roughly fifteen years an opaque, relationship-bound market became a transparent, liquid, institutional one, and the CLO became the standardized vehicle that channeled capital into it. Private credit is walking the same road, and the destination is similar. More standard documents, real secondary trading, reliable benchmarks, transparent performance.</w:t>
      </w:r>
    </w:p>
    <w:p w14:paraId="6B5BD070" w14:textId="77777777" w:rsidR="007519C6" w:rsidRDefault="00000000">
      <w:pPr>
        <w:spacing w:after="60"/>
        <w:ind w:firstLine="360"/>
        <w:jc w:val="both"/>
      </w:pPr>
      <w:r>
        <w:rPr>
          <w:color w:val="1A1A1A"/>
        </w:rPr>
        <w:t xml:space="preserve">But the analogy has limits, and the differences matter as much as the similarities. The leveraged loan market standardized partly because the banks that dominated it shared an interest in a liquid secondary market they could distribute into. The originate-to-distribute model needed liquidity to function. Private credit's originate-to-hold model has no such built-in demand for transparency, which removes one of the engines that drove standardization before. The private credit market is also far more fragmented across managers than the loan market was across banks, which makes coordination on standards harder. And the assets themselves are genuinely more heterogeneous, a portfolio of bespoke middle-market loans resists standardization more than a portfolio of broadly syndicated ones. So private credit will likely standardize more slowly than the structured products market did, and perhaps less completely, reaching a steady state that is more transparent than today but never as transparent as the </w:t>
      </w:r>
      <w:r>
        <w:rPr>
          <w:color w:val="1A1A1A"/>
        </w:rPr>
        <w:lastRenderedPageBreak/>
        <w:t>public markets. The direction is the same. The speed and the endpoint are different, and anyone who assumes private credit will simply replay the structured products arc on the same timeline will be early, possibly by years.</w:t>
      </w:r>
    </w:p>
    <w:p w14:paraId="3C5858E4" w14:textId="77777777" w:rsidR="007519C6" w:rsidRDefault="00000000">
      <w:pPr>
        <w:pStyle w:val="Heading2"/>
      </w:pPr>
      <w:r>
        <w:rPr>
          <w:color w:val="2E2E2E"/>
        </w:rPr>
        <w:t>The Players Who Like the Dark</w:t>
      </w:r>
    </w:p>
    <w:p w14:paraId="2456F494" w14:textId="77777777" w:rsidR="007519C6" w:rsidRDefault="00000000">
      <w:pPr>
        <w:spacing w:after="60"/>
        <w:ind w:firstLine="360"/>
        <w:jc w:val="both"/>
      </w:pPr>
      <w:r>
        <w:rPr>
          <w:color w:val="1A1A1A"/>
        </w:rPr>
        <w:t>Here is the part that the polite version of this discussion tends to skip. Transparency is not in everyone's interest, and pretending otherwise misunderstands why the market resists it. The largest and most sophisticated managers derive a real and valuable advantage from information asymmetry. A manager that originates a loan holds better information about that borrower than anyone else, and a manager that operates at scale across thousands of loans holds a proprietary dataset about how middle-market credits actually behave that its smaller competitors cannot match. That information is a genuine source of edge, in pricing, in selection, in knowing when to worry. A fully transparent, standardized market with shared data would erode that edge, leveling a field these players have spent years and fortunes tilting in their favor. It would be naive to expect them to lead the charge toward their own disadvantage, and they do not.</w:t>
      </w:r>
    </w:p>
    <w:p w14:paraId="36F18BC3" w14:textId="77777777" w:rsidR="007519C6" w:rsidRDefault="00000000">
      <w:pPr>
        <w:spacing w:after="60"/>
        <w:ind w:firstLine="360"/>
        <w:jc w:val="both"/>
      </w:pPr>
      <w:r>
        <w:rPr>
          <w:color w:val="1A1A1A"/>
        </w:rPr>
        <w:t xml:space="preserve">This is the deeper reason the technology of the previous chapter has not been adopted, and the deeper obstacle to standardization generally. It is not that the tools do not exist or that the benefits are unclear. It is that the benefits accrue diffusely, to the market as a whole, to smaller participants, to investors, to regulators, while the costs fall concentratedly on the incumbents who would lose their informational advantage. That is a classic collective-action problem, and it does not resolve on its own. It resolves through external pressure, through </w:t>
      </w:r>
      <w:r>
        <w:rPr>
          <w:color w:val="1A1A1A"/>
        </w:rPr>
        <w:lastRenderedPageBreak/>
        <w:t>regulators demanding disclosure, through investors with enough leverage to insist on transparency as a condition of their capital, through new entrants who compete on openness precisely because they lack the incumbents' proprietary data and have nothing to lose by sharing. Navigating this requires seeing it for what it is. An investor who wants transparency should not wait for the largest managers to provide it voluntarily. They should demand it through their allocation decisions, favoring the managers who offer genuine openness and using the collective weight of capital to make transparency a competitive necessity rather than a competitive sacrifice. The market will become more transparent not because the incumbents choose it but because the investors, the regulators, and the insurgents together make opacity more expensive than it is worth. That is how it happened in structured products, where regulation after the crisis forced disclosure the market would never have volunteered, and it is how it will happen here.</w:t>
      </w:r>
    </w:p>
    <w:p w14:paraId="6B8B81F1" w14:textId="77777777" w:rsidR="007519C6" w:rsidRDefault="00000000">
      <w:pPr>
        <w:pStyle w:val="Heading2"/>
      </w:pPr>
      <w:r>
        <w:rPr>
          <w:color w:val="2E2E2E"/>
        </w:rPr>
        <w:t>The Data Problem</w:t>
      </w:r>
    </w:p>
    <w:p w14:paraId="6204ED0A" w14:textId="77777777" w:rsidR="007519C6" w:rsidRDefault="00000000">
      <w:pPr>
        <w:spacing w:after="60"/>
        <w:ind w:firstLine="360"/>
        <w:jc w:val="both"/>
      </w:pPr>
      <w:r>
        <w:rPr>
          <w:color w:val="1A1A1A"/>
        </w:rPr>
        <w:t xml:space="preserve">Underneath the transparency question sits a more technical but equally consequential one. The data. Even a participant who wants to understand the asset class, with no interest in hiding anything, confronts a dataset that is fragmented, inconsistent, incomplete, and lagged. The information about private credit lives in silos, each manager holding its own, gathered and defined its own way, shared selectively if at all. The data providers who try to assemble a market-wide picture, the index firms and the analytics shops, must stitch together these fragments, and the result is better than nothing but far from complete, with gaps, inconsistencies, and a time lag that means the picture is always somewhat out of </w:t>
      </w:r>
      <w:r>
        <w:rPr>
          <w:color w:val="1A1A1A"/>
        </w:rPr>
        <w:lastRenderedPageBreak/>
        <w:t>date. For an investor trying to benchmark a manager, for a regulator trying to gauge systemic risk, for a researcher trying to understand how the asset class behaves, the absence of a comprehensive, consistent, timely dataset is a real and binding constraint.</w:t>
      </w:r>
    </w:p>
    <w:p w14:paraId="72068773" w14:textId="77777777" w:rsidR="007519C6" w:rsidRDefault="00000000">
      <w:pPr>
        <w:spacing w:after="60"/>
        <w:ind w:firstLine="360"/>
        <w:jc w:val="both"/>
      </w:pPr>
      <w:r>
        <w:rPr>
          <w:color w:val="1A1A1A"/>
        </w:rPr>
        <w:t xml:space="preserve">The consequences run deeper than inconvenience. Without good data, the risk models that investors and regulators rely on are built on thin and possibly unrepresentative history. The default and recovery statistics that anchor every credit decision come from a sample that is short, benign, and inconsistently measured, as this book has noted more than once. The benchmarks against which managers are judged are imperfect proxies. And the systemic picture, the aggregate leverage, the concentration of exposures, the interconnections, is exactly the thing no one can see clearly, which is precisely the blindness that made the last crisis worse. The data problem is not separate from the transparency problem and the standardization problem. It is the same problem viewed from a different angle, and it has the same solution and the same obstacle. Better data requires standardization, so that what is collected is comparable, and it requires participants to share, which runs into the same information-asymmetry resistance. The solutions that are emerging, third-party data consortia, regulatory data collection, the analytics firms slowly building more complete pictures, are real but partial, and they will improve the dataset gradually rather than transform it overnight. An investor in this asset class should understand that they are working with incomplete information, should be appropriately humble about what the thin data can and cannot tell them, and should treat any manager's confident claims about historical performance with the skepticism that an inconsistent and unaudited dataset warrants. The data will </w:t>
      </w:r>
      <w:r>
        <w:rPr>
          <w:color w:val="1A1A1A"/>
        </w:rPr>
        <w:lastRenderedPageBreak/>
        <w:t>get better. It is nowhere near good enough yet, and pretending otherwise is its own kind of risk.</w:t>
      </w:r>
    </w:p>
    <w:p w14:paraId="7F87396A" w14:textId="77777777" w:rsidR="007519C6" w:rsidRDefault="00000000">
      <w:r>
        <w:br w:type="page"/>
      </w:r>
    </w:p>
    <w:p w14:paraId="01B2946B" w14:textId="77777777" w:rsidR="007519C6" w:rsidRDefault="00000000">
      <w:pPr>
        <w:pStyle w:val="Heading1"/>
      </w:pPr>
      <w:r>
        <w:lastRenderedPageBreak/>
        <w:t>Chapter 26: Insurance Capital</w:t>
      </w:r>
    </w:p>
    <w:p w14:paraId="3AF4788E" w14:textId="77777777" w:rsidR="007519C6" w:rsidRDefault="00000000">
      <w:pPr>
        <w:spacing w:after="60"/>
        <w:jc w:val="both"/>
      </w:pPr>
      <w:r>
        <w:rPr>
          <w:color w:val="1A1A1A"/>
        </w:rPr>
        <w:t>One of the most consequential developments of the past decade is the convergence of insurance and private capital, the movement of long-duration insurance balance sheets into private credit and the integration of asset managers with insurers. The pattern is most visible in the combination of Apollo and Athene, but it has been emulated across the industry until nearly every major manager has an insurance relationship or an insurance subsidiary, and the trend has reshaped both who funds private credit and what kind of credit gets funded.</w:t>
      </w:r>
    </w:p>
    <w:p w14:paraId="4FC1B575" w14:textId="77777777" w:rsidR="007519C6" w:rsidRDefault="00000000">
      <w:pPr>
        <w:pStyle w:val="Heading2"/>
      </w:pPr>
      <w:r>
        <w:rPr>
          <w:color w:val="2E2E2E"/>
        </w:rPr>
        <w:t>Why the Fit Is Real</w:t>
      </w:r>
    </w:p>
    <w:p w14:paraId="555B1A20" w14:textId="77777777" w:rsidR="007519C6" w:rsidRDefault="00000000">
      <w:pPr>
        <w:spacing w:after="60"/>
        <w:ind w:firstLine="360"/>
        <w:jc w:val="both"/>
      </w:pPr>
      <w:r>
        <w:rPr>
          <w:color w:val="1A1A1A"/>
        </w:rPr>
        <w:t>The fit is not financial engineering. It rests on a genuine alignment. Insurers, particularly the writers of annuities and life policies, hold long-duration, predictable liabilities, and those liabilities are well matched by long-duration, illiquid credit assets. The spread that private credit earns over public equivalents compensates the insurer for the illiquidity and the complexity, and the illiquidity itself is no obstacle to a balance sheet whose obligations are themselves long and largely foreseeable. The insurer can capture an illiquidity premium that a vehicle facing redemptions cannot, and structured with care, the assets can carry favorable regulatory capital treatment. The asset manager, for its part, gains stable, permanent capital to deploy and fees across both the asset management and the insurance. The interests line up, which is why the model spread so quickly.</w:t>
      </w:r>
    </w:p>
    <w:p w14:paraId="2306288D" w14:textId="77777777" w:rsidR="007519C6" w:rsidRDefault="00000000">
      <w:pPr>
        <w:pStyle w:val="Heading2"/>
      </w:pPr>
      <w:r>
        <w:rPr>
          <w:color w:val="2E2E2E"/>
        </w:rPr>
        <w:t>The Integration, and the Concern</w:t>
      </w:r>
    </w:p>
    <w:p w14:paraId="3E4E646B" w14:textId="77777777" w:rsidR="007519C6" w:rsidRDefault="00000000">
      <w:pPr>
        <w:spacing w:after="60"/>
        <w:ind w:firstLine="360"/>
        <w:jc w:val="both"/>
      </w:pPr>
      <w:r>
        <w:rPr>
          <w:color w:val="1A1A1A"/>
        </w:rPr>
        <w:lastRenderedPageBreak/>
        <w:t>The integration takes several forms. Outright ownership, as with Apollo and Athene or KKR and Global Atlantic. Strategic partnership, as Blackstone and Ares and others manage large insurance mandates without owning the insurer. And reinsurance, through which managers take on insurance liabilities to gain the assets behind them. The capital tends to seek investment-grade private credit, distinct from the below-investment-grade core of direct lending, and that appetite has driven much of the growth in asset-based finance, infrastructure debt, investment-grade commercial mortgages, and private placements, the long-dated, highly-rated exposures that match an insurer's book.</w:t>
      </w:r>
    </w:p>
    <w:p w14:paraId="606F2361" w14:textId="77777777" w:rsidR="007519C6" w:rsidRDefault="00000000">
      <w:pPr>
        <w:spacing w:after="60"/>
        <w:ind w:firstLine="360"/>
        <w:jc w:val="both"/>
      </w:pPr>
      <w:r>
        <w:rPr>
          <w:color w:val="1A1A1A"/>
        </w:rPr>
        <w:t>The concern, which regulators at the NAIC and internationally have grown more vocal about, is in the concentration and the interconnection. When an insurer holds a large portfolio of private credit managed by an affiliated firm with its own fee incentives, the independence of the credit analysis can be compromised. When the assets are structured-credit instruments, the rating frameworks used to set capital requirements may not fully capture the tail risk. These are not hypothetical worries. They are the specific questions being asked, in specific examinations, about specific portfolios, and they sit at the center of the systemic conversation the asset class is beginning to have with its regulators. Insurance capital has been a stabilizing force, permanent where other capital is flighty. It has also woven the credit markets and the insurance system together in ways whose behavior under real stress has not yet been observed.</w:t>
      </w:r>
    </w:p>
    <w:p w14:paraId="22AD1728" w14:textId="77777777" w:rsidR="007519C6" w:rsidRDefault="00000000">
      <w:r>
        <w:br w:type="page"/>
      </w:r>
    </w:p>
    <w:p w14:paraId="655E27FB" w14:textId="77777777" w:rsidR="007519C6" w:rsidRDefault="00000000">
      <w:pPr>
        <w:pStyle w:val="Heading2"/>
      </w:pPr>
      <w:r>
        <w:rPr>
          <w:color w:val="2E2E2E"/>
        </w:rPr>
        <w:lastRenderedPageBreak/>
        <w:t>Offshore Reinsurance and the Bermuda Question</w:t>
      </w:r>
    </w:p>
    <w:p w14:paraId="6830A8D7" w14:textId="77777777" w:rsidR="007519C6" w:rsidRDefault="00000000">
      <w:pPr>
        <w:spacing w:after="60"/>
        <w:ind w:firstLine="360"/>
        <w:jc w:val="both"/>
      </w:pPr>
      <w:r>
        <w:rPr>
          <w:color w:val="1A1A1A"/>
        </w:rPr>
        <w:t>A particular feature of the insurance convergence deserves its own attention, because it concentrates both the appeal and the concern. The heavy use of offshore reinsurance, and of Bermuda above all, in the asset-manager-insurer model. The structure works as follows. A life insurer in the United States writes annuities, long-dated obligations to pay policyholders, and reinsures a block of those obligations to a reinsurer domiciled in Bermuda or a similar jurisdiction, often one affiliated with an alternative asset manager. The reinsurer takes on the liability and, with it, the assets backing it, which it then invests, frequently into the private credit and structured-credit strategies the affiliated manager runs. The appeal is partly genuine economics, the matching of long-dated assets to long-dated liabilities, and partly regulatory and capital arbitrage, because the capital regime in the offshore jurisdiction may permit the reinsurer to hold less capital against the same assets than the onshore insurer would have been required to hold, freeing capital and enhancing returns.</w:t>
      </w:r>
    </w:p>
    <w:p w14:paraId="2DCA2616" w14:textId="77777777" w:rsidR="007519C6" w:rsidRDefault="00000000">
      <w:pPr>
        <w:spacing w:after="60"/>
        <w:ind w:firstLine="360"/>
        <w:jc w:val="both"/>
      </w:pPr>
      <w:r>
        <w:rPr>
          <w:color w:val="1A1A1A"/>
        </w:rPr>
        <w:t xml:space="preserve">This is where the concern sharpens, and where the regulators have focused. The combination of an affiliated manager, an offshore domicile with a lighter capital regime, and a portfolio concentrated in illiquid, model-valued private credit assembles several of the book's worries into a single structure. The independence of the credit analysis is in question when the manager investing the assets and the reinsurer holding the liabilities are related parties. The adequacy of the capital is in question when the offshore regime permits thinner cushions and the assets are valued by model rather than market. The transparency is in question when the structure moves the obligations and the assets offshore, away from the onshore regulators who supervise the original </w:t>
      </w:r>
      <w:r>
        <w:rPr>
          <w:color w:val="1A1A1A"/>
        </w:rPr>
        <w:lastRenderedPageBreak/>
        <w:t>insurer and protect its policyholders. And the whole arrangement rests on the assumption that the long-dated liabilities are genuinely stable, that the annuity holders will not, in some stress, seek to surrender their policies faster than the illiquid assets can be sold to pay them, the maturity-mismatch question reasserting itself in yet another form. The National Association of Insurance Commissioners and state regulators have grown increasingly attentive to exactly these structures, scrutinizing affiliated-party investments, the capital treatment of structured assets, and the use of offshore reinsurance, because the ultimate holders of the risk are policyholders who did not knowingly accept exposure to a private credit portfolio, and the public-consequence principle that justifies light regulation of sophisticated investors points the other way once ordinary annuity holders are involved.</w:t>
      </w:r>
    </w:p>
    <w:p w14:paraId="3F23D5A3" w14:textId="77777777" w:rsidR="007519C6" w:rsidRDefault="00000000">
      <w:pPr>
        <w:spacing w:after="60"/>
        <w:ind w:firstLine="360"/>
        <w:jc w:val="both"/>
      </w:pPr>
      <w:r>
        <w:rPr>
          <w:color w:val="1A1A1A"/>
        </w:rPr>
        <w:t xml:space="preserve">None of this means the model is unsound, and it is worth being fair about its merits as well as its risks. The matching of long-dated, illiquid credit to long-dated, predictable insurance liabilities is genuinely sensible, arguably more sensible than the short-term funding of long assets that destroyed the thrifts and the regional banks, and the insurance capital has been a stabilizing, permanent source of demand that lends steadily through cycles. The integrated model may well represent a durable and beneficial evolution in how illiquid credit is funded. But it concentrates risk in ways that are opaque, it rests on capital and valuation assumptions that have not been tested by a severe downturn, and it extends private credit risk to a population, policyholders, that did not choose it and cannot assess it. Whether it proves to be a sound innovation or a source of the next crisis depends on the same things that determine the soundness of everything else in this book. The honesty of the valuations, the adequacy of the </w:t>
      </w:r>
      <w:r>
        <w:rPr>
          <w:color w:val="1A1A1A"/>
        </w:rPr>
        <w:lastRenderedPageBreak/>
        <w:t>capital, the stability of the funding, and the discipline of the underwriting, none of which can be fully judged until the cycle turns hard enough to test them all at once.</w:t>
      </w:r>
    </w:p>
    <w:p w14:paraId="5CC7982B" w14:textId="77777777" w:rsidR="007519C6" w:rsidRDefault="00000000">
      <w:r>
        <w:br w:type="page"/>
      </w:r>
    </w:p>
    <w:p w14:paraId="70258E2C" w14:textId="77777777" w:rsidR="007519C6" w:rsidRDefault="00000000">
      <w:pPr>
        <w:pStyle w:val="Heading1"/>
      </w:pPr>
      <w:r>
        <w:lastRenderedPageBreak/>
        <w:t>Chapter 27: The Banks and the Partnership Era</w:t>
      </w:r>
    </w:p>
    <w:p w14:paraId="6BCC250B" w14:textId="77777777" w:rsidR="007519C6" w:rsidRDefault="00000000">
      <w:pPr>
        <w:spacing w:after="60"/>
        <w:jc w:val="both"/>
      </w:pPr>
      <w:r>
        <w:rPr>
          <w:color w:val="1A1A1A"/>
        </w:rPr>
        <w:t>The popular account of private credit casts it as the insurgent that beat the banks, the nimble non-bank lender that seized the territory the regulated incumbents were forced to abandon. That account is not wrong, but it is badly incomplete, and the incompleteness matters, because it obscures the single most important structural fact about the modern market. The banks did not leave. They repositioned. Having been pushed by the post-crisis rules out of holding credit risk on their balance sheets, they moved instead to a different place in the same system, becoming the upstream financiers and originating partners of the very funds that now hold the risk they once held themselves. The competitive story and the cooperative story are both true at once, and a reader who sees only the first will misjudge where the risk actually sits and how it would move under stress.</w:t>
      </w:r>
    </w:p>
    <w:p w14:paraId="11B608F7" w14:textId="77777777" w:rsidR="007519C6" w:rsidRDefault="00000000">
      <w:pPr>
        <w:pStyle w:val="Heading2"/>
      </w:pPr>
      <w:r>
        <w:rPr>
          <w:color w:val="2E2E2E"/>
        </w:rPr>
        <w:t>The Banks Never Left</w:t>
      </w:r>
    </w:p>
    <w:p w14:paraId="0F82A9D9" w14:textId="77777777" w:rsidR="007519C6" w:rsidRDefault="00000000">
      <w:pPr>
        <w:spacing w:after="60"/>
        <w:ind w:firstLine="360"/>
        <w:jc w:val="both"/>
      </w:pPr>
      <w:r>
        <w:rPr>
          <w:color w:val="1A1A1A"/>
        </w:rPr>
        <w:t xml:space="preserve">Trace the funding of the private credit system upstream, past the funds and toward its source, and the banks reappear at nearly every turn. They provide the subscription lines that let private equity and credit funds borrow against investor commitments. They provide the NAV facilities that let those funds borrow against their portfolios. They warehouse loans before they are securitized into CLOs. They extend revolving credit to business development companies. They hold significant quantities of senior CLO debt on their own books. The institutions whose retreat from direct lending created the opening for private credit have become the principal providers of leverage to the firms that filled it. </w:t>
      </w:r>
      <w:r>
        <w:rPr>
          <w:color w:val="1A1A1A"/>
        </w:rPr>
        <w:lastRenderedPageBreak/>
        <w:t>The risk moved off the bank balance sheet. The bank's involvement did not end. It changed form, from holding the loan to financing the entity that holds the loan.</w:t>
      </w:r>
    </w:p>
    <w:p w14:paraId="22BAB390" w14:textId="77777777" w:rsidR="007519C6" w:rsidRDefault="00000000">
      <w:pPr>
        <w:spacing w:after="60"/>
        <w:ind w:firstLine="360"/>
        <w:jc w:val="both"/>
      </w:pPr>
      <w:r>
        <w:rPr>
          <w:color w:val="1A1A1A"/>
        </w:rPr>
        <w:t>This is the same logic, grown to maturity, that produced the balance-sheet CLO three decades ago, and it is worth naming the continuity explicitly because it runs straight back through this book's history. The bank has always preferred the relationship and the fee to the capital charge. The balance-sheet CLO of the 1990s let it keep the customer while moving the loan off its books. The partnership era of the 2020s lets it keep the customer while moving the loan to a private credit fund, and then, frequently, lets it earn a further return by lending to that same fund. The motive has not changed across thirty years and two regulatory regimes. Only the mechanism has. The bank originates, the bank keeps the client, the bank earns the fee, and the credit risk and the capital weight travel to a non-bank better positioned, under the current rules, to carry them.</w:t>
      </w:r>
    </w:p>
    <w:p w14:paraId="6F876AF5" w14:textId="77777777" w:rsidR="007519C6" w:rsidRDefault="00000000">
      <w:pPr>
        <w:pStyle w:val="Heading2"/>
      </w:pPr>
      <w:r>
        <w:rPr>
          <w:color w:val="2E2E2E"/>
        </w:rPr>
        <w:t>The Regional Stress of 2023</w:t>
      </w:r>
    </w:p>
    <w:p w14:paraId="391F3C6E" w14:textId="77777777" w:rsidR="007519C6" w:rsidRDefault="00000000">
      <w:pPr>
        <w:spacing w:after="60"/>
        <w:ind w:firstLine="360"/>
        <w:jc w:val="both"/>
      </w:pPr>
      <w:r>
        <w:rPr>
          <w:color w:val="1A1A1A"/>
        </w:rPr>
        <w:t xml:space="preserve">The proposition that maturity mismatch is the oldest hazard in finance, advanced in this book's opening history and illustrated by the thrifts and the structured vehicles of 2008, received a fresh and pointed demonstration in March of 2023, and the episode belongs in any honest account of the present market. A series of American regional banks failed in rapid succession, undone by a mismatch that would have been entirely familiar to a savings-and-loan executive of 1981. They had taken in deposits, short-term money, and invested heavily in long-dated fixed-rate securities, government bonds and mortgage-backed securities, when rates were low. When rates rose sharply through 2022, the market value of those long-dated assets fell well below their cost, and when </w:t>
      </w:r>
      <w:r>
        <w:rPr>
          <w:color w:val="1A1A1A"/>
        </w:rPr>
        <w:lastRenderedPageBreak/>
        <w:t>depositors, newly able to earn more elsewhere and newly able to move money at the speed of a smartphone, began to withdraw, the banks were forced to sell those assets at a loss to meet the outflows. The loss crystallized, confidence broke, the withdrawals accelerated into a run, and institutions that had been solvent on paper failed within days. It was the thrift crisis compressed from years into a weekend, the same arithmetic of borrowing short and lending long, run at the speed of modern information.</w:t>
      </w:r>
    </w:p>
    <w:p w14:paraId="7E5E1283" w14:textId="77777777" w:rsidR="007519C6" w:rsidRDefault="00000000">
      <w:pPr>
        <w:spacing w:after="60"/>
        <w:ind w:firstLine="360"/>
        <w:jc w:val="both"/>
      </w:pPr>
      <w:r>
        <w:rPr>
          <w:color w:val="1A1A1A"/>
        </w:rPr>
        <w:t>The consequences for private credit were direct and, on balance, accelerating. The regional banks had been meaningful lenders to the middle market and, especially, to commercial real estate, and their retreat and failure widened the opening that private credit had been filling since 2008. Surviving banks, watching their peers fail and bracing for tighter supervision, pulled back further from exactly the lending that consumes capital and attracts examiner scrutiny. The flight of deposits and the fear of contagion tightened credit across the regional banking system precisely when borrowers needed it, and private credit, with its committed, locked-up capital that could not run, stepped further into the gap. The episode was, for the asset class, simultaneously a vindication and a warning. A vindication, because the private credit fund, funded by patient capital with no redemption rights, was structurally immune to the run that destroyed the banks, and could lend steadily through a panic that froze its regulated competitors. A warning, because the same episode demonstrated, in real time and at high speed, exactly how a maturity mismatch turns into a run, and the semi-liquid private credit vehicles now proliferating contain a gentler version of the very mismatch that brought the regional banks down.</w:t>
      </w:r>
    </w:p>
    <w:p w14:paraId="79F92186" w14:textId="77777777" w:rsidR="007519C6" w:rsidRDefault="00000000">
      <w:pPr>
        <w:pStyle w:val="Heading2"/>
      </w:pPr>
      <w:r>
        <w:rPr>
          <w:color w:val="2E2E2E"/>
        </w:rPr>
        <w:lastRenderedPageBreak/>
        <w:t>Forward Flows and Risk Transfer</w:t>
      </w:r>
    </w:p>
    <w:p w14:paraId="65880E49" w14:textId="77777777" w:rsidR="007519C6" w:rsidRDefault="00000000">
      <w:pPr>
        <w:spacing w:after="60"/>
        <w:ind w:firstLine="360"/>
        <w:jc w:val="both"/>
      </w:pPr>
      <w:r>
        <w:rPr>
          <w:color w:val="1A1A1A"/>
        </w:rPr>
        <w:t>The cooperative machinery between banks and private credit has grown sophisticated, and three of its principal forms deserve description, because they are the channels through which the two systems are now fused. The first is the forward flow agreement, under which a private credit fund commits in advance to purchase loans, or assets such as consumer receivables or equipment leases, that a bank or specialty originator will produce over a coming period, meeting agreed criteria. The bank keeps its origination franchise and its customer relationships and earns its fees. The fund gains access to a steady supply of assets without building an origination platform of its own. The arrangement has become one of the principal conduits by which banks move whole categories of lending, particularly in asset-based finance, off their balance sheets and onto private capital.</w:t>
      </w:r>
    </w:p>
    <w:p w14:paraId="2F98E30F" w14:textId="77777777" w:rsidR="007519C6" w:rsidRDefault="00000000">
      <w:pPr>
        <w:spacing w:after="60"/>
        <w:ind w:firstLine="360"/>
        <w:jc w:val="both"/>
      </w:pPr>
      <w:r>
        <w:rPr>
          <w:color w:val="1A1A1A"/>
        </w:rPr>
        <w:t xml:space="preserve">The second form is the significant risk transfer, or synthetic risk transfer, a more technical and faster-growing channel. Here a bank does not sell the loans at all. It retains them on its balance sheet but buys credit protection on a portfolio of them, transferring the credit risk, and therefore much of the regulatory capital requirement, to an outside investor who is paid a premium for assuming it. Private credit funds and insurers have become the natural counterparties, taking on portfolio risk in exchange for yield. The structure lets the bank free up regulatory capital while keeping the loans and the relationships, and it has grown rapidly as banks have sought to optimize their balance sheets under the weight of the post-crisis rules. The careful reader will recognize this immediately for what it is. The balance-sheet CLO's logic, refined once more, risk and capital transferred to a non-bank while the bank keeps origination, now accomplished </w:t>
      </w:r>
      <w:r>
        <w:rPr>
          <w:color w:val="1A1A1A"/>
        </w:rPr>
        <w:lastRenderedPageBreak/>
        <w:t>synthetically through a derivative rather than through an outright securitization. The third form is the jointly owned platform, in which a bank and an asset manager build a lending business together, combining the bank's origination reach with the manager's permanent, non-bank capital. The forms differ in their plumbing. The purpose is identical in each. To marry the bank's franchise to the non-bank's balance sheet, and to place the credit risk where the current rules make it cheapest to hold.</w:t>
      </w:r>
    </w:p>
    <w:p w14:paraId="174B7671" w14:textId="77777777" w:rsidR="007519C6" w:rsidRDefault="00000000">
      <w:pPr>
        <w:pStyle w:val="Heading2"/>
      </w:pPr>
      <w:r>
        <w:rPr>
          <w:color w:val="2E2E2E"/>
        </w:rPr>
        <w:t>The Interconnection, and Its Hazard</w:t>
      </w:r>
    </w:p>
    <w:p w14:paraId="450B852C" w14:textId="77777777" w:rsidR="007519C6" w:rsidRDefault="00000000">
      <w:pPr>
        <w:spacing w:after="60"/>
        <w:ind w:firstLine="360"/>
        <w:jc w:val="both"/>
      </w:pPr>
      <w:r>
        <w:rPr>
          <w:color w:val="1A1A1A"/>
        </w:rPr>
        <w:t>The competitive narrative holds that banks and private credit are substitutes, the one replacing the other. The structure just described shows that they are nothing of the kind. They are complements, fused at multiple points, mutually dependent, and the interconnection is the part of the system that should command the most attention from anyone concerned with its stability. The bank that warehouses a fund's loans, finances its NAV facility, and buys protection on its own portfolio from that same fund is not the fund's competitor. It is its counterparty, several times over, and the failure or distress of either would transmit immediately to the other.</w:t>
      </w:r>
    </w:p>
    <w:p w14:paraId="6600C4B2" w14:textId="77777777" w:rsidR="007519C6" w:rsidRDefault="00000000">
      <w:pPr>
        <w:spacing w:after="60"/>
        <w:ind w:firstLine="360"/>
        <w:jc w:val="both"/>
      </w:pPr>
      <w:r>
        <w:rPr>
          <w:color w:val="1A1A1A"/>
        </w:rPr>
        <w:t>This is where the history this book has traced converges on a single concern. Gary Gorton's analysis of the 2008 crisis identified its essential mechanism as a run on the short-term funding of the shadow banking system, a system that performs the banks' function of maturity transformation without the banks' deposit insurance and central-bank backstop. The private credit ecosystem of the present has rebuilt a version of that architecture, more carefully in many respects, with term-funded closed-end vehicles at its core that are genuinely run-</w:t>
      </w:r>
      <w:r>
        <w:rPr>
          <w:color w:val="1A1A1A"/>
        </w:rPr>
        <w:lastRenderedPageBreak/>
        <w:t>proof. But around that sound core has grown a periphery that is less so. The semi-liquid vehicles promising redemptions against illiquid assets, the model-based marks that can diverge from what an asset would actually fetch, and, above all, the dense web of bank funding lines that connects the supposedly separate private credit system straight back to the regulated banking system it was thought to have bypassed. A stress that impaired private credit asset values would not stay contained within private credit. It would travel up the funding lines to the banks that financed the funds, and a stress that impaired the banks would travel down the same lines to the funds that depend on them. The two systems were supposed to be separate. They are joined at the hip, and the joints are exactly the funding relationships that the cooperative era has multiplied. None of this means a crisis is coming. It means that the comforting story, in which risk was safely moved out of the fragile banking system and into patient non-bank hands, is too simple, and that the real architecture, in which the risk was moved into non-bank hands that are themselves financed by the banks, contains transmission channels that have not yet been tested by a serious downturn. When the test comes, the interconnection is where to watch.</w:t>
      </w:r>
    </w:p>
    <w:p w14:paraId="4686C717" w14:textId="77777777" w:rsidR="007519C6" w:rsidRDefault="00000000">
      <w:r>
        <w:br w:type="page"/>
      </w:r>
    </w:p>
    <w:p w14:paraId="3B90A2CF" w14:textId="77777777" w:rsidR="007519C6" w:rsidRDefault="00000000">
      <w:pPr>
        <w:pStyle w:val="Heading1"/>
      </w:pPr>
      <w:r>
        <w:lastRenderedPageBreak/>
        <w:t>Chapter 28: The BDC Reckoning</w:t>
      </w:r>
    </w:p>
    <w:p w14:paraId="36C2B6CB" w14:textId="77777777" w:rsidR="007519C6" w:rsidRDefault="00000000">
      <w:pPr>
        <w:spacing w:after="60"/>
        <w:jc w:val="both"/>
      </w:pPr>
      <w:r>
        <w:rPr>
          <w:color w:val="1A1A1A"/>
        </w:rPr>
        <w:t>The business development company has been the vehicle through which private credit reached beyond the big institutions and into the hands of individual investors, and it is also, right now, where the asset class is being tested most visibly and most publicly. The non-traded BDC and its close cousins, the interval funds, took private credit from a club for pensions and endowments and sold it to financial advisors and their clients, packaged in a structure that promised something private credit cannot truly deliver. Periodic liquidity from a portfolio of illiquid loans. That promise is now under strain, and watching how it resolves is watching, in real time and in public, a structural fault this book has described in the abstract become concrete. It is uncomfortable to observe. It is also, in the longer run, probably healthy, and understanding why requires looking honestly at both the strain and what might come out of it.</w:t>
      </w:r>
    </w:p>
    <w:p w14:paraId="66EB4A2F" w14:textId="77777777" w:rsidR="007519C6" w:rsidRDefault="00000000">
      <w:pPr>
        <w:pStyle w:val="Heading2"/>
      </w:pPr>
      <w:r>
        <w:rPr>
          <w:color w:val="2E2E2E"/>
        </w:rPr>
        <w:t>The Promise and Its Flaw</w:t>
      </w:r>
    </w:p>
    <w:p w14:paraId="6B89CF01" w14:textId="77777777" w:rsidR="007519C6" w:rsidRDefault="00000000">
      <w:pPr>
        <w:spacing w:after="60"/>
        <w:ind w:firstLine="360"/>
        <w:jc w:val="both"/>
      </w:pPr>
      <w:r>
        <w:rPr>
          <w:color w:val="1A1A1A"/>
        </w:rPr>
        <w:t xml:space="preserve">Recall what a non-traded BDC actually offers. It holds a portfolio of private loans, the same illiquid, long-dated, hard-to-sell assets that fill any direct lending fund. But unlike the closed-end institutional fund, which locks investors in for the life of the vehicle, the non-traded BDC offers its investors a way out, typically a quarterly window in which they can redeem a limited portion of their holdings. This is the feature that made the structure sellable to individuals, who are far less able than an institution to lock up capital for a decade, and it is the feature that contains the flaw. The loans cannot be sold quickly. The investors have been promised they can leave on a schedule. As long as redemption requests stay modest and new money keeps flowing in, the contradiction stays hidden, the </w:t>
      </w:r>
      <w:r>
        <w:rPr>
          <w:color w:val="1A1A1A"/>
        </w:rPr>
        <w:lastRenderedPageBreak/>
        <w:t>fund meets the requests from new subscriptions and from the cash its loans throw off. The contradiction surfaces the moment too many investors want out at once.</w:t>
      </w:r>
    </w:p>
    <w:p w14:paraId="20D742B7" w14:textId="77777777" w:rsidR="007519C6" w:rsidRDefault="00000000">
      <w:pPr>
        <w:spacing w:after="60"/>
        <w:ind w:firstLine="360"/>
        <w:jc w:val="both"/>
      </w:pPr>
      <w:r>
        <w:rPr>
          <w:color w:val="1A1A1A"/>
        </w:rPr>
        <w:t>This is the maturity mismatch again, the oldest hazard in this book, in yet another costume. It is the thrift borrowing short and lending long. It is the structured vehicle funding illiquid assets with paper that can run. The non-traded BDC funds illiquid loans with redeemable equity, and while the mismatch is gentler than the thrift's, the loans do produce cash and the redemption windows are capped, it is the same fundamental shape, and it behaves the same way under stress. When enough investors head for the exit, the fund cannot sell its loans fast enough or at good enough prices to pay them, and it faces a choice between selling assets into a weak market at a loss, which harms the investors who stay, or limiting the withdrawals, which breaks the promise to the investors who want to leave.</w:t>
      </w:r>
    </w:p>
    <w:p w14:paraId="7D2728F0" w14:textId="77777777" w:rsidR="007519C6" w:rsidRDefault="00000000">
      <w:pPr>
        <w:pStyle w:val="Heading2"/>
      </w:pPr>
      <w:r>
        <w:rPr>
          <w:color w:val="2E2E2E"/>
        </w:rPr>
        <w:t>Gating, and What It Reveals</w:t>
      </w:r>
    </w:p>
    <w:p w14:paraId="625A83CF" w14:textId="77777777" w:rsidR="007519C6" w:rsidRDefault="00000000">
      <w:pPr>
        <w:spacing w:after="60"/>
        <w:ind w:firstLine="360"/>
        <w:jc w:val="both"/>
      </w:pPr>
      <w:r>
        <w:rPr>
          <w:color w:val="1A1A1A"/>
        </w:rPr>
        <w:t xml:space="preserve">That second choice has a name, gating, and it has been happening. When redemption requests exceed the cap, the fund prorates them, giving each redeeming investor only a fraction of what they asked for and making them wait, possibly for quarters, possibly longer, to get the rest. The gate is a feature, written into the structure precisely for this situation, and the managers are right to point out that it is working as designed, protecting the investors who remain from a fire sale driven by those who flee. But a feature that protects the fund by trapping its investors is not a comfortable thing to experience, and it reveals the promise of liquidity for what it always was. Conditional, available in calm markets and </w:t>
      </w:r>
      <w:r>
        <w:rPr>
          <w:color w:val="1A1A1A"/>
        </w:rPr>
        <w:lastRenderedPageBreak/>
        <w:t>withdrawn in exactly the stressed markets when investors most want it. The gate does not fail the structure. The gate is the structure admitting what it is.</w:t>
      </w:r>
    </w:p>
    <w:p w14:paraId="457F8985" w14:textId="77777777" w:rsidR="007519C6" w:rsidRDefault="00000000">
      <w:pPr>
        <w:spacing w:after="60"/>
        <w:ind w:firstLine="360"/>
        <w:jc w:val="both"/>
      </w:pPr>
      <w:r>
        <w:rPr>
          <w:color w:val="1A1A1A"/>
        </w:rPr>
        <w:t>There is a reflexive danger here that makes gating particularly fraught, and it is worth naming because it can turn a manageable strain into a spiral. The very act of gating signals distress, and the signal can accelerate the thing it is meant to contain. An investor who sees a fund limit redemptions, or who simply hears that others are trying to get out, has every reason to rush for the exit before the gate tightens further, which increases the redemption pressure, which forces more gating, which intensifies the signal. This is a run, the same self-reinforcing dynamic that has driven every liquidity crisis this book has chronicled, and the semi-liquid structures are vulnerable to it in a way the locked-up institutional funds are not. The institutional fund cannot suffer a run because its investors cannot leave. The non-traded BDC can, because they can try, and the attempt is contagious.</w:t>
      </w:r>
    </w:p>
    <w:p w14:paraId="48CB8DAE" w14:textId="77777777" w:rsidR="007519C6" w:rsidRDefault="00000000">
      <w:pPr>
        <w:pStyle w:val="Heading2"/>
      </w:pPr>
      <w:r>
        <w:rPr>
          <w:color w:val="2E2E2E"/>
        </w:rPr>
        <w:t>Valuation Under Pressure</w:t>
      </w:r>
    </w:p>
    <w:p w14:paraId="4407284C" w14:textId="77777777" w:rsidR="007519C6" w:rsidRDefault="00000000">
      <w:pPr>
        <w:spacing w:after="60"/>
        <w:ind w:firstLine="360"/>
        <w:jc w:val="both"/>
      </w:pPr>
      <w:r>
        <w:rPr>
          <w:color w:val="1A1A1A"/>
        </w:rPr>
        <w:t xml:space="preserve">Gating intersects with the valuation problem in a way that sharpens both, and the intersection is where the real risk concentrates. A non-traded BDC redeems investors at its net asset value, the value of its portfolio as the manager marks it. If those marks are generous, as the valuation chapter warned they can be, then redeeming investors are being paid out at more than the portfolio is truly worth, which transfers value from the investors who stay to those who leave, and depletes the fund. The pressure to redeem and the temptation to mark optimistically pull in opposite directions, and the manager sits in the middle of the conflict. Mark honestly, and the lower NAV may trigger more redemptions </w:t>
      </w:r>
      <w:r>
        <w:rPr>
          <w:color w:val="1A1A1A"/>
        </w:rPr>
        <w:lastRenderedPageBreak/>
        <w:t>from investors watching their stated value fall. Mark generously, and you overpay those who leave at the expense of those who remain, and you defer a reckoning that grows worse the longer it waits. There is no comfortable path through this, only a choice among uncomfortable ones, and the choice exposes exactly how much the whole structure depends on marks that have not been tested by a market.</w:t>
      </w:r>
    </w:p>
    <w:p w14:paraId="61A1CE83" w14:textId="77777777" w:rsidR="007519C6" w:rsidRDefault="00000000">
      <w:pPr>
        <w:pStyle w:val="Heading2"/>
      </w:pPr>
      <w:r>
        <w:rPr>
          <w:color w:val="2E2E2E"/>
        </w:rPr>
        <w:t>Creative Destruction, and the Long View</w:t>
      </w:r>
    </w:p>
    <w:p w14:paraId="177C6ECE" w14:textId="77777777" w:rsidR="007519C6" w:rsidRDefault="00000000">
      <w:pPr>
        <w:spacing w:after="60"/>
        <w:ind w:firstLine="360"/>
        <w:jc w:val="both"/>
      </w:pPr>
      <w:r>
        <w:rPr>
          <w:color w:val="1A1A1A"/>
        </w:rPr>
        <w:t>So far this is a chapter of problems, and they are real. But I want to argue for a more hopeful reading of where this leads, not because the strain is not genuine but because of what tends to come out of episodes like this one. Markets learn through stress, brutally and expensively, but they learn. The non-traded BDC structure grew enormously in a short period, sold hard to investors who did not always understand the illiquidity they were accepting, wrapped in a liquidity promise that was always conditional. A period of strain that teaches investors what they actually own, that culls the weakest structures, that disciplines the managers who overpromised and rewards those who built honestly, is not a catastrophe for the asset class. It is the asset class growing up, the same way every market in this book grew up, through a stress that exposed its flaws and forced their correction.</w:t>
      </w:r>
    </w:p>
    <w:p w14:paraId="1BB387F1" w14:textId="77777777" w:rsidR="007519C6" w:rsidRDefault="00000000">
      <w:pPr>
        <w:spacing w:after="60"/>
        <w:ind w:firstLine="360"/>
        <w:jc w:val="both"/>
      </w:pPr>
      <w:r>
        <w:rPr>
          <w:color w:val="1A1A1A"/>
        </w:rPr>
        <w:t xml:space="preserve">Picture what a healthier version looks like on the other side of this. Investors who now understand that semi-liquid means conditionally liquid, and who price that understanding into what they will pay and how much they will allocate. Structures redesigned with more honest liquidity terms, longer notice periods, clearer gates, better matching between what is promised and what the assets can </w:t>
      </w:r>
      <w:r>
        <w:rPr>
          <w:color w:val="1A1A1A"/>
        </w:rPr>
        <w:lastRenderedPageBreak/>
        <w:t>deliver. Managers who learned, the hard way, that overpromising liquidity is a reputational and financial mistake, and who compete instead on the honesty and the soundness of their structures. A secondary market, the subject of the next chapter, that grows precisely because the strain created demand for it, giving investors a way out that does not depend on the fund selling assets at a loss. The destruction is real, some structures will fail, some investors will be hurt, some managers will not survive, but the creation on the other side of it is a more honest, better understood, more durable market. The task for everyone involved is to harness the lesson rather than merely suffer it. For investors, to demand the honesty the stress is teaching. For managers, to build the structures the stress is proving necessary. For regulators, to require the disclosure that lets individuals understand what they are buying. The reckoning is painful and it is necessary, and the asset class that emerges from it, chastened about the limits of liquidity in an illiquid market, will be sounder than the one that went in. That is the pattern of every maturation this book has traced, and there is no reason to think it will be different here, provided the lesson is actually learned rather than papered over until it has to be learned again.</w:t>
      </w:r>
    </w:p>
    <w:p w14:paraId="5172D761" w14:textId="77777777" w:rsidR="007519C6" w:rsidRDefault="00000000">
      <w:r>
        <w:br w:type="page"/>
      </w:r>
    </w:p>
    <w:p w14:paraId="3DBD923C" w14:textId="77777777" w:rsidR="007519C6" w:rsidRDefault="00000000">
      <w:pPr>
        <w:pStyle w:val="Heading1"/>
      </w:pPr>
      <w:r>
        <w:lastRenderedPageBreak/>
        <w:t>Chapter 29: The Secondary Market</w:t>
      </w:r>
    </w:p>
    <w:p w14:paraId="2C9FD426" w14:textId="77777777" w:rsidR="007519C6" w:rsidRDefault="00000000">
      <w:pPr>
        <w:spacing w:after="60"/>
        <w:jc w:val="both"/>
      </w:pPr>
      <w:r>
        <w:rPr>
          <w:color w:val="1A1A1A"/>
        </w:rPr>
        <w:t>Every credit market in history has passed through a stage in which the absence of a secondary market was the investor's principal risk, and then built the infrastructure to close it. The high-yield market had almost no secondary trading in the early 1980s and a functioning dealer market by the mid-1990s. The leveraged loan market had negligible secondary activity before the standardization of the late 1990s and a genuine market by the mid-2000s. Private credit is at an earlier point on the same arc, and the secondary market now forming is the clearest sign of its maturation.</w:t>
      </w:r>
    </w:p>
    <w:p w14:paraId="0A9A932B" w14:textId="77777777" w:rsidR="007519C6" w:rsidRDefault="00000000">
      <w:pPr>
        <w:pStyle w:val="Heading2"/>
      </w:pPr>
      <w:r>
        <w:rPr>
          <w:color w:val="2E2E2E"/>
        </w:rPr>
        <w:t>The Forms of Liquidity</w:t>
      </w:r>
    </w:p>
    <w:p w14:paraId="670C9888" w14:textId="77777777" w:rsidR="007519C6" w:rsidRDefault="00000000">
      <w:pPr>
        <w:spacing w:after="60"/>
        <w:ind w:firstLine="360"/>
        <w:jc w:val="both"/>
      </w:pPr>
      <w:r>
        <w:rPr>
          <w:color w:val="1A1A1A"/>
        </w:rPr>
        <w:t xml:space="preserve">Limited partners sell fund interests for liquidity or to rebalance, sometimes under the denominator effect when a fall in public markets leaves them overallocated to private assets, sometimes for reasons of their own. These interests trade at tighter discounts than private equity secondaries, often within ten percent of net asset value for performing direct lending, because the underlying valuations are more transparent and the assets produce income. General partners, for their part, structure transactions to provide liquidity while keeping the assets under management. Continuation funds that move assets into a new vehicle with fresh capital and a longer horizon, letting existing investors roll or cash out. Strip sales that sell pieces of many loans at once, and the NAV facilities discussed earlier, which manufacture liquidity without an outright sale. And a market in individual loan positions is developing, though it remains thin against the broadly syndicated market, its price discovery hampered by limited </w:t>
      </w:r>
      <w:r>
        <w:rPr>
          <w:color w:val="1A1A1A"/>
        </w:rPr>
        <w:lastRenderedPageBreak/>
        <w:t>trading and its mechanics slowed by the documentation and consents a transfer requires.</w:t>
      </w:r>
    </w:p>
    <w:p w14:paraId="69449749" w14:textId="77777777" w:rsidR="007519C6" w:rsidRDefault="00000000">
      <w:pPr>
        <w:pStyle w:val="Heading2"/>
      </w:pPr>
      <w:r>
        <w:rPr>
          <w:color w:val="2E2E2E"/>
        </w:rPr>
        <w:t>Why It Is Forming Now</w:t>
      </w:r>
    </w:p>
    <w:p w14:paraId="076CAB5B" w14:textId="77777777" w:rsidR="007519C6" w:rsidRDefault="00000000">
      <w:pPr>
        <w:spacing w:after="60"/>
        <w:ind w:firstLine="360"/>
        <w:jc w:val="both"/>
      </w:pPr>
      <w:r>
        <w:rPr>
          <w:color w:val="1A1A1A"/>
        </w:rPr>
        <w:t>The forces driving the formation are the same ones that built every secondary market before it. The growth of the asset class enlarges the potential pool of transactions in proportion. The growing familiarity of investors with secondaries as a portfolio tool increases their willingness to transact. Dedicated secondary funds have raised capital to pursue the opportunity, supplying the bid that a market requires. And managers increasingly see continuation vehicles and other general-partner-led solutions as instruments of fund management in a slower exit environment. The infrastructure is being built, imperfectly and under the pressure of necessity, because the demand for liquidity has arrived before the supply was ready, which is exactly how it happened in high yield and in leveraged loans before. The reader who has watched those earlier markets develop will recognize the pattern, and will know that the destination, a market distinguished from the public one by origination channel and liquidity rather than by anything fundamental, is closer than today's frictions make it look.</w:t>
      </w:r>
    </w:p>
    <w:p w14:paraId="6EF681BF" w14:textId="77777777" w:rsidR="007519C6" w:rsidRDefault="00000000">
      <w:pPr>
        <w:pStyle w:val="Heading2"/>
      </w:pPr>
      <w:r>
        <w:rPr>
          <w:color w:val="2E2E2E"/>
        </w:rPr>
        <w:t>Pricing, Discounts, and What They Mean</w:t>
      </w:r>
    </w:p>
    <w:p w14:paraId="01DC655E" w14:textId="77777777" w:rsidR="007519C6" w:rsidRDefault="00000000">
      <w:pPr>
        <w:spacing w:after="60"/>
        <w:ind w:firstLine="360"/>
        <w:jc w:val="both"/>
      </w:pPr>
      <w:r>
        <w:rPr>
          <w:color w:val="1A1A1A"/>
        </w:rPr>
        <w:t xml:space="preserve">How secondary positions are priced rewards a closer look, because the prices are doing something more important than facilitating a transaction. They are supplying the market test that private credit otherwise lacks, the honest verdict on what the marks are worth. A limited partner selling a fund interest receives a price expressed as a percentage of the fund's reported net asset value, and that percentage, the discount or, rarely, the premium to NAV, is the secondary </w:t>
      </w:r>
      <w:r>
        <w:rPr>
          <w:color w:val="1A1A1A"/>
        </w:rPr>
        <w:lastRenderedPageBreak/>
        <w:t>market's judgment on the manager's marks and the portfolio's prospects. Performing direct lending interests have traded at relatively tight discounts, often within ten percent of NAV, because the income is real and the underlying valuations are more credible than those of private equity, whose value sits entirely in eventual exits. Stressed or aggressively marked portfolios trade at wider discounts, and the width of the discount is information, the market saying, in the only language it has, that it does not believe the marks. The growth of secondary trading is therefore valuable beyond the liquidity it provides, because each transaction establishes a reference price, and reference prices are exactly what an opaque, model-valued market needs in order to discipline its valuations and reveal its true condition. The secondary market is, in this sense, the mechanism by which private credit slowly acquires the honesty that the public markets have by construction.</w:t>
      </w:r>
    </w:p>
    <w:p w14:paraId="7F2966B1" w14:textId="77777777" w:rsidR="007519C6" w:rsidRDefault="00000000">
      <w:pPr>
        <w:pStyle w:val="Heading2"/>
      </w:pPr>
      <w:r>
        <w:rPr>
          <w:color w:val="2E2E2E"/>
        </w:rPr>
        <w:t>The Continuation Vehicle and Its Conflicts</w:t>
      </w:r>
    </w:p>
    <w:p w14:paraId="72558032" w14:textId="77777777" w:rsidR="007519C6" w:rsidRDefault="00000000">
      <w:pPr>
        <w:spacing w:after="60"/>
        <w:ind w:firstLine="360"/>
        <w:jc w:val="both"/>
      </w:pPr>
      <w:r>
        <w:rPr>
          <w:color w:val="1A1A1A"/>
        </w:rPr>
        <w:t xml:space="preserve">The general-partner-led secondary, and the continuation vehicle in particular, has grown rapidly and deserves scrutiny, because it sits on a genuine conflict of interest that the investor must understand. A continuation vehicle is a transaction in which a manager moves one or more assets out of an existing fund, whose life is ending or whose investors want liquidity, into a new vehicle that the same manager will continue to run, funded by new investors and by existing investors who choose to roll their positions rather than cash out. The structure solves a real problem, allowing a manager to hold a good asset longer than the original fund's life permits, and giving existing investors a choice between liquidity and continued participation. But it places the manager on both sides of </w:t>
      </w:r>
      <w:r>
        <w:rPr>
          <w:color w:val="1A1A1A"/>
        </w:rPr>
        <w:lastRenderedPageBreak/>
        <w:t>a sale. It is selling the asset, on behalf of the existing fund's investors who are cashing out, and buying it, on behalf of the new vehicle's investors, and it sets the price at which the transaction occurs. The manager's interest in setting a low price, to benefit the new vehicle it will run for years, conflicts directly with the existing investors' interest in a high price, and the manager's fees and carry give it a stake in the outcome on both sides.</w:t>
      </w:r>
    </w:p>
    <w:p w14:paraId="552404A9" w14:textId="77777777" w:rsidR="007519C6" w:rsidRDefault="00000000">
      <w:pPr>
        <w:spacing w:after="60"/>
        <w:ind w:firstLine="360"/>
        <w:jc w:val="both"/>
      </w:pPr>
      <w:r>
        <w:rPr>
          <w:color w:val="1A1A1A"/>
        </w:rPr>
        <w:t>This is not a reason to avoid continuation vehicles, which can serve all parties well, but it is a reason to scrutinize them with care, and the discipline the book has urged throughout applies directly. The investor should ask who set the price and how, whether an independent valuation supported it, whether the existing investors were given a genuine and fairly priced choice rather than a pressured one, and whether the manager's incentives were aligned or merely asserted to be. The best continuation transactions are priced by reference to a genuine market test, a third-party buyer setting the price, or an independent process that protects the selling investors, and the worst are priced by the manager alone, in its own interest, on assets it marks itself. The conflict is inherent in the structure, and it cannot be eliminated, only managed through transparency and genuine independence in the pricing, which is to say through exactly the governance that this book has argued separates the sound corners of the asset class from the hazardous ones. As the secondary market matures, the continuation vehicle will become more common, and the investor's ability to tell the fairly priced transaction from the self-dealing one will become a more valuable skill, another instance of the book's recurring lesson that in private credit the structure is only as sound as the governance and the alignment behind it.</w:t>
      </w:r>
    </w:p>
    <w:p w14:paraId="61D3A308" w14:textId="77777777" w:rsidR="007519C6" w:rsidRDefault="00000000">
      <w:pPr>
        <w:pStyle w:val="Heading2"/>
      </w:pPr>
      <w:r>
        <w:rPr>
          <w:color w:val="2E2E2E"/>
        </w:rPr>
        <w:lastRenderedPageBreak/>
        <w:t>Toward a Market in Loans and Tranches</w:t>
      </w:r>
    </w:p>
    <w:p w14:paraId="0F22495E" w14:textId="77777777" w:rsidR="007519C6" w:rsidRDefault="00000000">
      <w:pPr>
        <w:spacing w:after="60"/>
        <w:ind w:firstLine="360"/>
        <w:jc w:val="both"/>
      </w:pPr>
      <w:r>
        <w:rPr>
          <w:color w:val="1A1A1A"/>
        </w:rPr>
        <w:t>Everything described so far, the trading of fund interests, the continuation vehicles, the early trading in individual positions, is the secondary market in its infancy. The mature version, the one toward which the asset class is slowly moving, looks different and more consequential. A genuine market in private credit loans and in tranched interests carved out of pools of them, traded with something approaching the ease and the price transparency of the broadly syndicated loan market. We are not there. But the path is visible, and it runs along a route the structured products market already walked, which is why that history is worth holding up against private credit's future one more time, carefully, attending to both the rhyme and the divergence.</w:t>
      </w:r>
    </w:p>
    <w:p w14:paraId="31655E5C" w14:textId="77777777" w:rsidR="007519C6" w:rsidRDefault="00000000">
      <w:pPr>
        <w:spacing w:after="60"/>
        <w:ind w:firstLine="360"/>
        <w:jc w:val="both"/>
      </w:pPr>
      <w:r>
        <w:rPr>
          <w:color w:val="1A1A1A"/>
        </w:rPr>
        <w:t xml:space="preserve">The structured products precedent suggests the sequence. First comes standardization of the underlying loans, common enough in their terms that a buyer can assess one quickly without reading every page. Then comes the infrastructure of trading, the dealers willing to make markets, the documentation that lets a position transfer cleanly, the settlement mechanics, the reporting that reveals prices. Then comes the tranching, the slicing of pools of private loans into senior and junior interests with different risk and return, which is simply the CLO technology applied to directly originated loans, and which the private credit CLO market is already doing at growing scale. And then comes the secondary market in those tranches, traded the way CLO tranches trade today, with observable prices and a functioning bid. Each step builds on the last, and each makes the asset class more liquid, more transparent, and more accessible, at the cost of the relationship intimacy and the bespoke flexibility that defined private credit in its earlier, more artisanal form. The market is moving along this </w:t>
      </w:r>
      <w:r>
        <w:rPr>
          <w:color w:val="1A1A1A"/>
        </w:rPr>
        <w:lastRenderedPageBreak/>
        <w:t>sequence now, unevenly, with the tranching furthest along through the private credit CLO and the loan-level secondary trading least developed.</w:t>
      </w:r>
    </w:p>
    <w:p w14:paraId="18E1C6A4" w14:textId="77777777" w:rsidR="007519C6" w:rsidRDefault="00000000">
      <w:pPr>
        <w:spacing w:after="60"/>
        <w:ind w:firstLine="360"/>
        <w:jc w:val="both"/>
      </w:pPr>
      <w:r>
        <w:rPr>
          <w:color w:val="1A1A1A"/>
        </w:rPr>
        <w:t>Where the analogy holds, it is encouraging, suggesting that private credit will in time acquire a real secondary market and the liquidity and price discovery that come with it, dissolving one of the asset class's central limitations. Where it diverges, it is cautionary, and the divergences are the same ones the standardization chapter identified. The originate-to-hold model lacks the built-in demand for liquidity that drove the loan market to standardize. The fragmentation across managers makes coordination harder. The underlying assets are more heterogeneous and resist standardization more stubbornly. And the incumbents who benefit from opacity have less reason to build the transparent market that would erode their advantage. So private credit will likely develop its secondary market more slowly and less completely than the structured products market did, reaching a partial liquidity rather than the deep liquidity of the public markets, a market where the larger and more standard loans and the tranched interests trade reasonably while the smaller and more bespoke positions remain stubbornly illiquid. That is a reasonable expectation, neither the frictionless market the optimists imagine nor the permanent opacity the skeptics assume, but a slow, uneven, partial maturation toward more liquidity than today and less than the public markets, arriving over years rather than months. The investor who understands that trajectory, and who neither overestimates how quickly the liquidity will arrive nor underestimates that it is coming, has a more accurate picture of the asset class's future than either the boosters or the doubters, and a more accurate picture is, as this book has argued from the start, the most durable advantage a credit professional can hold.</w:t>
      </w:r>
    </w:p>
    <w:p w14:paraId="288E458A" w14:textId="77777777" w:rsidR="007519C6" w:rsidRDefault="00000000">
      <w:r>
        <w:lastRenderedPageBreak/>
        <w:br w:type="page"/>
      </w:r>
    </w:p>
    <w:p w14:paraId="750E8F4E" w14:textId="77777777" w:rsidR="007519C6" w:rsidRDefault="00000000">
      <w:pPr>
        <w:spacing w:before="2400" w:after="120"/>
        <w:jc w:val="center"/>
      </w:pPr>
      <w:r>
        <w:rPr>
          <w:b/>
          <w:bCs/>
          <w:color w:val="B9933E"/>
          <w:spacing w:val="60"/>
          <w:sz w:val="40"/>
          <w:szCs w:val="40"/>
        </w:rPr>
        <w:lastRenderedPageBreak/>
        <w:t>PART V</w:t>
      </w:r>
    </w:p>
    <w:p w14:paraId="4A9C8AD0" w14:textId="77777777" w:rsidR="007519C6" w:rsidRDefault="00000000">
      <w:pPr>
        <w:spacing w:after="240"/>
        <w:jc w:val="center"/>
      </w:pPr>
      <w:r>
        <w:rPr>
          <w:color w:val="1F3A5F"/>
          <w:sz w:val="38"/>
          <w:szCs w:val="38"/>
        </w:rPr>
        <w:t>The Investor Vantage Point and the Road Ahead</w:t>
      </w:r>
    </w:p>
    <w:p w14:paraId="7286218E" w14:textId="77777777" w:rsidR="007519C6" w:rsidRDefault="00000000">
      <w:pPr>
        <w:spacing w:before="120" w:after="200" w:line="320" w:lineRule="auto"/>
        <w:ind w:left="900" w:right="900"/>
        <w:jc w:val="center"/>
      </w:pPr>
      <w:r>
        <w:rPr>
          <w:i/>
          <w:iCs/>
          <w:color w:val="33414F"/>
          <w:sz w:val="22"/>
          <w:szCs w:val="22"/>
        </w:rPr>
        <w:t>Who should own this, how to own it well, and where it goes from here.</w:t>
      </w:r>
    </w:p>
    <w:p w14:paraId="1EC2362E" w14:textId="77777777" w:rsidR="007519C6" w:rsidRDefault="00000000">
      <w:r>
        <w:br w:type="page"/>
      </w:r>
    </w:p>
    <w:p w14:paraId="1BA54447" w14:textId="77777777" w:rsidR="007519C6" w:rsidRDefault="00000000">
      <w:pPr>
        <w:pStyle w:val="Heading1"/>
      </w:pPr>
      <w:r>
        <w:lastRenderedPageBreak/>
        <w:t>Chapter 30: The Investor Vantage Point</w:t>
      </w:r>
    </w:p>
    <w:p w14:paraId="2E3908CC" w14:textId="77777777" w:rsidR="007519C6" w:rsidRDefault="00000000">
      <w:pPr>
        <w:spacing w:after="60"/>
        <w:jc w:val="both"/>
      </w:pPr>
      <w:r>
        <w:rPr>
          <w:color w:val="1A1A1A"/>
        </w:rPr>
        <w:t>For the institution deciding whether and how to own private credit, the questions are different from the manager's. Not how to originate a loan but how much of the portfolio to commit, on what terms, and to whom. The asset class has matured into something an institution can build a genuine allocation around, with a place in the portfolio, a return it can underwrite, and a risk it can size. But the single most important fact for an allocator is the one the earlier chapters kept circling. The dispersion between a good manager and a poor one can exceed the entire risk premium of the asset class. Selection is not a step in the process. It is most of the outcome.</w:t>
      </w:r>
    </w:p>
    <w:p w14:paraId="5D134C01" w14:textId="77777777" w:rsidR="007519C6" w:rsidRDefault="00000000">
      <w:pPr>
        <w:pStyle w:val="Heading2"/>
      </w:pPr>
      <w:r>
        <w:rPr>
          <w:color w:val="2E2E2E"/>
        </w:rPr>
        <w:t>The Allocation</w:t>
      </w:r>
    </w:p>
    <w:p w14:paraId="4857B0A8" w14:textId="77777777" w:rsidR="007519C6" w:rsidRDefault="00000000">
      <w:pPr>
        <w:spacing w:after="60"/>
        <w:ind w:firstLine="360"/>
        <w:jc w:val="both"/>
      </w:pPr>
      <w:r>
        <w:rPr>
          <w:color w:val="1A1A1A"/>
        </w:rPr>
        <w:t>Institutions typically place five to fifteen percent of total assets in private credit, though the range is wide and still widening, and the allocation competes with and complements fixed income, private equity, and real assets. The return objective should reflect the compensation for illiquidity, two to four hundred basis points over comparable public credit, a threshold current all-in yields comfortably clear. The risk budget has to account for credit exposure alongside the portfolio's equity and other risks, because private credit, levered and exposed to default, is closer to equity-adjacent than its steady marks suggest. And the liquidity planning has to pace commitments against expected distributions and the portfolio's overall need for cash, mindful that the J-curve, gentler here than in private equity, still means early returns lag while capital deploys.</w:t>
      </w:r>
    </w:p>
    <w:p w14:paraId="67210541" w14:textId="77777777" w:rsidR="007519C6" w:rsidRDefault="00000000">
      <w:pPr>
        <w:pStyle w:val="Heading2"/>
      </w:pPr>
      <w:r>
        <w:rPr>
          <w:color w:val="2E2E2E"/>
        </w:rPr>
        <w:t>Choosing the Manager</w:t>
      </w:r>
    </w:p>
    <w:p w14:paraId="78D381DA" w14:textId="77777777" w:rsidR="007519C6" w:rsidRDefault="00000000">
      <w:pPr>
        <w:spacing w:after="60"/>
        <w:ind w:firstLine="360"/>
        <w:jc w:val="both"/>
      </w:pPr>
      <w:r>
        <w:rPr>
          <w:color w:val="1A1A1A"/>
        </w:rPr>
        <w:lastRenderedPageBreak/>
        <w:t>Given the dispersion, manager selection is the central decision, and it rests on a handful of things that can actually be assessed. Track record across more than one cycle, read for consistency and for behavior under stress rather than for a single strong vintage. Team stability, because the departure of a few key people can hollow out a platform, and the retention and succession arrangements that guard against it. Origination reach, which determines access to the loans worth making. Underwriting discipline, the rigor of the credit work and the independence of the credit function from the pressure to deploy. The portfolio-management and workout capability that turns a troubled loan into a recovery rather than a loss. And alignment, the fee structure, the manager's own capital in the fund, the co-investment practices that put the manager on the same side as the investor. A manager strong on these is worth paying for. A manager weak on them is expensive at any fee.</w:t>
      </w:r>
    </w:p>
    <w:p w14:paraId="65296FF8" w14:textId="77777777" w:rsidR="007519C6" w:rsidRDefault="00000000">
      <w:pPr>
        <w:pStyle w:val="Heading2"/>
      </w:pPr>
      <w:r>
        <w:rPr>
          <w:color w:val="2E2E2E"/>
        </w:rPr>
        <w:t>Diligence, Fees, and Oversight</w:t>
      </w:r>
    </w:p>
    <w:p w14:paraId="01B96CF7" w14:textId="77777777" w:rsidR="007519C6" w:rsidRDefault="00000000">
      <w:pPr>
        <w:spacing w:after="60"/>
        <w:ind w:firstLine="360"/>
        <w:jc w:val="both"/>
      </w:pPr>
      <w:r>
        <w:rPr>
          <w:color w:val="1A1A1A"/>
        </w:rPr>
        <w:t xml:space="preserve">The diligence that supports the decision is comprehensive by necessity. A real understanding of the strategy and where it sits in the market, a detailed reading of prior performance and its attribution, interviews and reference checks on the team, an operational review of administration and valuation and compliance, a legal review of the fund documents and side letters, and conversations with the investors, borrowers, and sponsors who have actually dealt with the manager. On fees, the market runs to management fees of one to one and a half percent and carried interest of ten to twenty percent over a preferred return of six to eight, with the catch-up and clawback provisions that govern the timing, and large investors negotiate discounts, co-investment rights, and most-favored-nation </w:t>
      </w:r>
      <w:r>
        <w:rPr>
          <w:color w:val="1A1A1A"/>
        </w:rPr>
        <w:lastRenderedPageBreak/>
        <w:t>terms through side letters. And the oversight does not end at commitment. Quarterly reports read for trends in credit quality and covenant compliance and valuation, annual meetings for direct access to the team, deal-level transparency where it can be obtained, and a steady comparison against the benchmarks and the peer set. Owning private credit well is itself work, and the investor unwilling to do it should reconsider owning it directly at all.</w:t>
      </w:r>
    </w:p>
    <w:p w14:paraId="4195FA79" w14:textId="77777777" w:rsidR="007519C6" w:rsidRDefault="00000000">
      <w:r>
        <w:br w:type="page"/>
      </w:r>
    </w:p>
    <w:p w14:paraId="31B6DD62" w14:textId="77777777" w:rsidR="007519C6" w:rsidRDefault="00000000">
      <w:pPr>
        <w:pStyle w:val="Heading1"/>
      </w:pPr>
      <w:r>
        <w:lastRenderedPageBreak/>
        <w:t>Chapter 31: The Macroeconomic Lens</w:t>
      </w:r>
    </w:p>
    <w:p w14:paraId="4F57D8E2" w14:textId="77777777" w:rsidR="007519C6" w:rsidRDefault="00000000">
      <w:pPr>
        <w:spacing w:after="60"/>
        <w:jc w:val="both"/>
      </w:pPr>
      <w:r>
        <w:rPr>
          <w:color w:val="1A1A1A"/>
        </w:rPr>
        <w:t>Private credit does not sit outside the economy, however steady its marks make it look. Its behavior through the cycle is shaped by forces an investor ought to understand before committing a dollar. The floating rate is one. The credit cycle is another. So is the relative value against competing strategies, and so is the volatility, which looks steadier than it really is. Each of these shapes how the asset class performs and what an allocator should expect from it.</w:t>
      </w:r>
    </w:p>
    <w:p w14:paraId="78283F99" w14:textId="77777777" w:rsidR="007519C6" w:rsidRDefault="00000000">
      <w:pPr>
        <w:pStyle w:val="Heading2"/>
      </w:pPr>
      <w:r>
        <w:rPr>
          <w:color w:val="2E2E2E"/>
        </w:rPr>
        <w:t>The Rate, Both Ways</w:t>
      </w:r>
    </w:p>
    <w:p w14:paraId="3B1CC732" w14:textId="77777777" w:rsidR="007519C6" w:rsidRDefault="00000000">
      <w:pPr>
        <w:spacing w:after="60"/>
        <w:ind w:firstLine="360"/>
        <w:jc w:val="both"/>
      </w:pPr>
      <w:r>
        <w:rPr>
          <w:color w:val="1A1A1A"/>
        </w:rPr>
        <w:t>The floating rate cuts both ways, and an honest account holds both. When rates rise, private credit yields rise with them. The asset class threw off double-digit income through the 2022 to 2024 cycle while fixed-rate portfolios took losses, with all-in yields climbing from around eight percent toward eleven and above. But that same rise lifts the borrower's debt service at the worst possible moment, just as a slowing economy is making it harder to carry, and the coverage that looked comfortable at a low base rate gets tight at a high one. When rates fall, the move reverses. Yields compress, income recedes, and because the rate floats, the investor rides the decline all the way down without the price appreciation a fixed-rate bond would have handed them. The fall itself usually signals the economic weakness that brings credit stress in the first place. The floating rate is an advantage. It is not a free one.</w:t>
      </w:r>
    </w:p>
    <w:p w14:paraId="5A129152" w14:textId="77777777" w:rsidR="007519C6" w:rsidRDefault="00000000">
      <w:pPr>
        <w:pStyle w:val="Heading2"/>
      </w:pPr>
      <w:r>
        <w:rPr>
          <w:color w:val="2E2E2E"/>
        </w:rPr>
        <w:t>The Cycle Beneath the Cycle</w:t>
      </w:r>
    </w:p>
    <w:p w14:paraId="155DCD8F" w14:textId="77777777" w:rsidR="007519C6" w:rsidRDefault="00000000">
      <w:pPr>
        <w:spacing w:after="60"/>
        <w:ind w:firstLine="360"/>
        <w:jc w:val="both"/>
      </w:pPr>
      <w:r>
        <w:rPr>
          <w:color w:val="1A1A1A"/>
        </w:rPr>
        <w:t xml:space="preserve">Returns move with the economy in a pattern worth naming out loud. In expansion, defaults fall, values rise, and lending grows, while standards quietly </w:t>
      </w:r>
      <w:r>
        <w:rPr>
          <w:color w:val="1A1A1A"/>
        </w:rPr>
        <w:lastRenderedPageBreak/>
        <w:t>slip and the seeds of the next problem go in the ground. At the peak, leverage runs high and new vintages get written on terms that will not look wise in hindsight. In contraction, defaults climb and recoveries sink, even as fresh lending into the wreckage earns excellent terms. In recovery, the performing book mends while distressed positions book gains as values come back to normal. The credit cycle also runs on its own clock. It leads the economy in its early indicators, loosening standards and tightening spreads before the peak, and it lags the economy in its defaults, which show up well after the downturn because companies burn through their reserves first. Ray Dalio's long study of debt cycles makes the point that lasts. The thirty year decline in rates that let leverage expand without ever running into the wall of affordability has reversed, and that reversal is the defining backdrop for everything happening in private credit now. The loans of the easy years will be judged in conditions the easy years never contained.</w:t>
      </w:r>
    </w:p>
    <w:p w14:paraId="4AA3A776" w14:textId="77777777" w:rsidR="007519C6" w:rsidRDefault="00000000">
      <w:pPr>
        <w:pStyle w:val="Heading2"/>
      </w:pPr>
      <w:r>
        <w:rPr>
          <w:color w:val="2E2E2E"/>
        </w:rPr>
        <w:t>Relative Value and the Steadiness That Isn't Quite Real</w:t>
      </w:r>
    </w:p>
    <w:p w14:paraId="035C42C5" w14:textId="77777777" w:rsidR="007519C6" w:rsidRDefault="00000000">
      <w:pPr>
        <w:spacing w:after="60"/>
        <w:ind w:firstLine="360"/>
        <w:jc w:val="both"/>
      </w:pPr>
      <w:r>
        <w:rPr>
          <w:color w:val="1A1A1A"/>
        </w:rPr>
        <w:t xml:space="preserve">Set against public credit, private credit offers its premium of two hundred to four hundred basis points, though that premium can shrink in a crisis, when the liquid markets reprice faster than the private marks do. Set against private equity, it offers a lower but steadier return that can win on a risk-adjusted basis when equity disappoints. And measured against public credit, its volatility looks low, which is true in a narrow and slightly misleading way. Part of the smoothing is real, the stability of a contractual return driven by interest rather than sentiment. Part of it is an artifact of marking to model instead of market, which damps the visible swings without touching the economics underneath. In March </w:t>
      </w:r>
      <w:r>
        <w:rPr>
          <w:color w:val="1A1A1A"/>
        </w:rPr>
        <w:lastRenderedPageBreak/>
        <w:t>2020 the public credit markets convulsed while private marks barely twitched, and the credit performance that followed largely vindicated the private valuations. Some read that as proof of more accurate pricing. Others read it as proof of a lag that flatters the real risk. The truth holds a little of each. The steadiness is partly genuine and partly a product of how the asset is valued, and the investor who forgets the second half will be caught off guard when a mark finally catches up to the reality it had been smoothing over.</w:t>
      </w:r>
    </w:p>
    <w:p w14:paraId="057A3E6F" w14:textId="77777777" w:rsidR="007519C6" w:rsidRDefault="00000000">
      <w:r>
        <w:br w:type="page"/>
      </w:r>
    </w:p>
    <w:p w14:paraId="3DB9EB03" w14:textId="77777777" w:rsidR="007519C6" w:rsidRDefault="00000000">
      <w:pPr>
        <w:pStyle w:val="Heading1"/>
      </w:pPr>
      <w:r>
        <w:lastRenderedPageBreak/>
        <w:t>Chapter 32: International Markets</w:t>
      </w:r>
    </w:p>
    <w:p w14:paraId="20799EE5" w14:textId="77777777" w:rsidR="007519C6" w:rsidRDefault="00000000">
      <w:pPr>
        <w:spacing w:after="60"/>
        <w:jc w:val="both"/>
      </w:pPr>
      <w:r>
        <w:rPr>
          <w:color w:val="1A1A1A"/>
        </w:rPr>
        <w:t>Private credit is most often described as an American phenomenon, and with reason, since the United States invented the modern form, hosts the largest managers, and accounts for the majority of the assets. But the asset class has grown into a genuinely global market, and the international story is not merely a smaller copy of the American one. The structural conditions that gave rise to private credit, the retreat of banks, the search for yield, the need of middle-market companies for flexible capital, exist everywhere, but they express themselves differently in different legal systems, banking traditions, and stages of development. Understanding those differences matters, both because the opportunity outside the United States is large and growing, and because the risks take forms that an investor trained only on the American market may not anticipate.</w:t>
      </w:r>
    </w:p>
    <w:p w14:paraId="74D171A2" w14:textId="77777777" w:rsidR="007519C6" w:rsidRDefault="00000000">
      <w:pPr>
        <w:pStyle w:val="Heading2"/>
      </w:pPr>
      <w:r>
        <w:rPr>
          <w:color w:val="2E2E2E"/>
        </w:rPr>
        <w:t>Europe: The Sharper Retreat</w:t>
      </w:r>
    </w:p>
    <w:p w14:paraId="220147C5" w14:textId="77777777" w:rsidR="007519C6" w:rsidRDefault="00000000">
      <w:pPr>
        <w:spacing w:after="60"/>
        <w:ind w:firstLine="360"/>
        <w:jc w:val="both"/>
      </w:pPr>
      <w:r>
        <w:rPr>
          <w:color w:val="1A1A1A"/>
        </w:rPr>
        <w:t xml:space="preserve">Europe is the second great private credit market, and in some respects its logic is even more compelling than America's, because the starting point was different. European corporate finance was historically far more bank-dependent than American finance. Where American companies had long had access to deep public bond and syndicated loan markets, European companies relied on their banks to a degree that made the system more vulnerable when those banks retreated. And retreat they did, more sharply than in the United States, as the European banks emerged from the financial crisis and the subsequent European debt crisis weakened, over-regulated, and in many cases forced to shrink their balance sheets under supervisory pressure. The gap left for non-bank lenders was </w:t>
      </w:r>
      <w:r>
        <w:rPr>
          <w:color w:val="1A1A1A"/>
        </w:rPr>
        <w:lastRenderedPageBreak/>
        <w:t>therefore proportionally larger, and the private credit managers, both the American platforms expanding abroad and a growing set of dedicated European firms, moved to fill it.</w:t>
      </w:r>
    </w:p>
    <w:p w14:paraId="262B040B" w14:textId="77777777" w:rsidR="007519C6" w:rsidRDefault="00000000">
      <w:pPr>
        <w:spacing w:after="60"/>
        <w:ind w:firstLine="360"/>
        <w:jc w:val="both"/>
      </w:pPr>
      <w:r>
        <w:rPr>
          <w:color w:val="1A1A1A"/>
        </w:rPr>
        <w:t>The European market differs from the American in ways that reflect its structure. The unitranche, the single blended facility that simplifies the capital structure, achieved even greater prominence in Europe than in the United States, because it suited a market with fewer established institutional lenders and a greater need for a single provider to deliver the whole financing. The Loan Market Association built the documentation standards that the market runs on, as the Loan Syndications and Trading Association did in the United States, though European documentation evolved its own conventions. And the sponsor relationships that drive the American market drive the European one too, with the private equity firms active across Europe providing the deal flow that the direct lenders depend on. The most important differences, though, are the ones an American investor is most likely to underestimate. Europe is not a single market but a collection of national ones, each with its own legal system, its own insolvency regime, its own language and business culture, so that a loan to a German company and a loan to an Italian or a French one are governed by genuinely different rules about what a lender can do when the borrower fails. The fragmentation is the central fact of European private credit, and it cuts both ways, raising the barrier to entry and the cost of operating across borders, while rewarding the managers who have built the legal and linguistic capability to underwrite and enforce across multiple jurisdictions.</w:t>
      </w:r>
    </w:p>
    <w:p w14:paraId="5B46EBAB" w14:textId="77777777" w:rsidR="007519C6" w:rsidRDefault="00000000">
      <w:pPr>
        <w:spacing w:after="60"/>
        <w:ind w:firstLine="360"/>
        <w:jc w:val="both"/>
      </w:pPr>
      <w:r>
        <w:rPr>
          <w:color w:val="1A1A1A"/>
        </w:rPr>
        <w:t xml:space="preserve">The insolvency point deserves emphasis, because it goes to the heart of what this book has argued about the importance of documentation and recovery. The </w:t>
      </w:r>
      <w:r>
        <w:rPr>
          <w:color w:val="1A1A1A"/>
        </w:rPr>
        <w:lastRenderedPageBreak/>
        <w:t>strength of a lender's position in a default depends on the legal regime that governs the restructuring, and those regimes vary enormously across Europe. Some jurisdictions offer creditor-friendly, predictable, efficient insolvency processes that approximate the protections an American lender expects. Others offer slow, debtor-friendly, or unpredictable processes that can sharply reduce a lender's recovery and its control. The covenant that triggers early and the collateral that secures the loan are worth what the local legal system will let the lender do with them, and a lender who underwrites a European loan on American assumptions about enforcement may discover, in a default, that the protections it believed it held do not function as expected in the relevant jurisdiction. The discipline the book has urged, read the documents, understand what you actually hold, extends in Europe to understanding the insolvency regime that will ultimately determine what those documents are worth.</w:t>
      </w:r>
    </w:p>
    <w:p w14:paraId="4ACBD883" w14:textId="77777777" w:rsidR="007519C6" w:rsidRDefault="00000000">
      <w:pPr>
        <w:pStyle w:val="Heading2"/>
      </w:pPr>
      <w:r>
        <w:rPr>
          <w:color w:val="2E2E2E"/>
        </w:rPr>
        <w:t>Asia: The Frontier</w:t>
      </w:r>
    </w:p>
    <w:p w14:paraId="093DE7D2" w14:textId="77777777" w:rsidR="007519C6" w:rsidRDefault="00000000">
      <w:pPr>
        <w:spacing w:after="60"/>
        <w:ind w:firstLine="360"/>
        <w:jc w:val="both"/>
      </w:pPr>
      <w:r>
        <w:rPr>
          <w:color w:val="1A1A1A"/>
        </w:rPr>
        <w:t xml:space="preserve">Asia is the frontier of private credit, the least developed of the major regions and the one with the most varied and uncertain trajectory. The conditions for growth are present, an enormous population of middle-market companies, banking systems that in many countries do not fully serve them, and a rising base of institutional capital seeking yield, but the conditions are distributed unevenly across a region that contains some of the world's most developed economies and some of its least, under legal and political systems that range from the robustly rule-governed to the deeply uncertain. There is no single Asian private credit market, only a collection of national markets at radically different stages, and the </w:t>
      </w:r>
      <w:r>
        <w:rPr>
          <w:color w:val="1A1A1A"/>
        </w:rPr>
        <w:lastRenderedPageBreak/>
        <w:t>generalizations that hold across the United States or even Europe break down across the diversity of Asia.</w:t>
      </w:r>
    </w:p>
    <w:p w14:paraId="26F308AE" w14:textId="77777777" w:rsidR="007519C6" w:rsidRDefault="00000000">
      <w:pPr>
        <w:spacing w:after="60"/>
        <w:ind w:firstLine="360"/>
        <w:jc w:val="both"/>
      </w:pPr>
      <w:r>
        <w:rPr>
          <w:color w:val="1A1A1A"/>
        </w:rPr>
        <w:t xml:space="preserve">The opportunity and the risk are both larger and less legible than in the developed markets. In the more developed Asian economies, with mature legal systems and established financial markets, private credit is growing along recognizable lines, serving middle-market and sponsor-backed companies much as it does in the West. In the developing markets, the opportunity is potentially vast, given the scale of the financing need and the limited reach of the banks, but the risks are correspondingly greater and of a different kind. Legal systems that may not reliably enforce a creditor's rights, insolvency regimes that are untested or unpredictable, currency risk that can overwhelm credit returns, political risk that can change the rules abruptly, and standards of corporate governance and financial disclosure that may fall well short of what a Western lender assumes. The recovery that an American lender takes for granted, the ability to enforce a claim, seize collateral, and realize value through a predictable legal process, cannot be assumed in much of Asia, and a lender who underwrites Asian credit without deeply understanding the specific legal and political environment of the specific country is taking risks it may not have priced. India has emerged as a particular focus, with a large economy, a growing set of sponsors, and an evolving insolvency framework that has improved creditor rights meaningfully, though from a difficult starting point. China presents an opportunity of enormous scale alongside risks, legal, political, and structural, that many Western lenders have found difficult to underwrite. Southeast Asia offers growth across a range of markets at varying stages of development. The common thread is that Asia rewards the specialist with genuine local knowledge and punishes the generalist </w:t>
      </w:r>
      <w:r>
        <w:rPr>
          <w:color w:val="1A1A1A"/>
        </w:rPr>
        <w:lastRenderedPageBreak/>
        <w:t>who arrives with Western assumptions, more severely than any other region, because the gap between the assumptions and the reality is widest there.</w:t>
      </w:r>
    </w:p>
    <w:p w14:paraId="54A0C730" w14:textId="77777777" w:rsidR="007519C6" w:rsidRDefault="00000000">
      <w:pPr>
        <w:pStyle w:val="Heading2"/>
      </w:pPr>
      <w:r>
        <w:rPr>
          <w:color w:val="2E2E2E"/>
        </w:rPr>
        <w:t>What Travels and What Does Not</w:t>
      </w:r>
    </w:p>
    <w:p w14:paraId="37065D52" w14:textId="77777777" w:rsidR="007519C6" w:rsidRDefault="00000000">
      <w:pPr>
        <w:spacing w:after="60"/>
        <w:ind w:firstLine="360"/>
        <w:jc w:val="both"/>
      </w:pPr>
      <w:r>
        <w:rPr>
          <w:color w:val="1A1A1A"/>
        </w:rPr>
        <w:t>Stepping back, the international story carries a lesson that refines the book's central themes. The economic logic of private credit travels everywhere. The retreat of banks, the search for yield, the need of companies for flexible capital are universal, and the asset class will continue to grow globally because the forces driving it are not particular to any one country. But the structural protections that make private credit work, the enforceability of documentation, the predictability of insolvency, the reliability of recovery, do not travel automatically, because they depend on legal and institutional environments that vary enormously across the world. The American market's relatively creditor-friendly, predictable legal system is a feature of that market that an investor in other markets cannot assume, and the discipline of underwriting the legal environment, of knowing what a claim is actually worth in the jurisdiction that will enforce it, is as important abroad as the discipline of underwriting the borrower. The opportunity outside the United States is real and large. So is the requirement to understand that the protections this book has described are only as strong as the legal system that stands behind them, and that the system varies, from the robust to the unreliable, across the global markets into which the asset class is expanding.</w:t>
      </w:r>
    </w:p>
    <w:p w14:paraId="0A36E750" w14:textId="77777777" w:rsidR="007519C6" w:rsidRDefault="00000000">
      <w:r>
        <w:br w:type="page"/>
      </w:r>
    </w:p>
    <w:p w14:paraId="77549757" w14:textId="77777777" w:rsidR="007519C6" w:rsidRDefault="00000000">
      <w:pPr>
        <w:pStyle w:val="Heading1"/>
      </w:pPr>
      <w:r>
        <w:lastRenderedPageBreak/>
        <w:t>Chapter 33: The Shape of the Market: Subsectors and the Next Decade</w:t>
      </w:r>
    </w:p>
    <w:p w14:paraId="033ED60D" w14:textId="77777777" w:rsidR="007519C6" w:rsidRDefault="00000000">
      <w:pPr>
        <w:spacing w:after="60"/>
        <w:jc w:val="both"/>
      </w:pPr>
      <w:r>
        <w:rPr>
          <w:color w:val="1A1A1A"/>
        </w:rPr>
        <w:t>It is one thing to describe the strategies that make up private credit and another to say how big each one is and where it is heading. This chapter attempts the second, with a warning attached. The numbers here are approximate, assembled from imperfect and inconsistent sources, and they should be read as a map of relative size and direction rather than as a precise accounting. The data problem described earlier applies with full force to any attempt to size the asset class, and anyone who quotes these figures to the decimal is fooling themselves. What follows is an informed sketch of the terrain as it stands and a reasoned argument about how it changes over the coming decade, offered in that spirit.</w:t>
      </w:r>
    </w:p>
    <w:p w14:paraId="1CA66480" w14:textId="77777777" w:rsidR="007519C6" w:rsidRDefault="00000000">
      <w:pPr>
        <w:pStyle w:val="Heading2"/>
      </w:pPr>
      <w:r>
        <w:rPr>
          <w:color w:val="2E2E2E"/>
        </w:rPr>
        <w:t>The Map as It Stands</w:t>
      </w:r>
    </w:p>
    <w:p w14:paraId="366A49AF" w14:textId="77777777" w:rsidR="007519C6" w:rsidRDefault="00000000">
      <w:pPr>
        <w:spacing w:after="60"/>
        <w:ind w:firstLine="360"/>
        <w:jc w:val="both"/>
      </w:pPr>
      <w:r>
        <w:rPr>
          <w:color w:val="1A1A1A"/>
        </w:rPr>
        <w:t>Of the roughly three and a half trillion dollars in global private credit as the middle of the decade approaches, the largest single share belongs to corporate direct lending, the senior secured lending to middle-market companies that this book has treated as the core of the asset class. Around it sit the other strategies in varying sizes, and the table below offers a rough sense of the proportions and, more usefully, of the direction each is heading. The growth arrows matter more than the levels, because the levels are uncertain and the relative movement is what will reshape the asset class.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88"/>
        <w:gridCol w:w="1473"/>
        <w:gridCol w:w="1657"/>
        <w:gridCol w:w="2580"/>
      </w:tblGrid>
      <w:tr w:rsidR="007519C6" w14:paraId="3B3647DE" w14:textId="77777777">
        <w:tblPrEx>
          <w:tblCellMar>
            <w:top w:w="0" w:type="dxa"/>
            <w:bottom w:w="0" w:type="dxa"/>
          </w:tblCellMar>
        </w:tblPrEx>
        <w:trPr>
          <w:tblHeader/>
        </w:trPr>
        <w:tc>
          <w:tcPr>
            <w:tcW w:w="270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26999E7C" w14:textId="77777777" w:rsidR="007519C6" w:rsidRDefault="00000000">
            <w:r>
              <w:rPr>
                <w:b/>
                <w:bCs/>
                <w:color w:val="FFFFFF"/>
                <w:sz w:val="20"/>
                <w:szCs w:val="20"/>
              </w:rPr>
              <w:lastRenderedPageBreak/>
              <w:t>Subsector</w:t>
            </w:r>
          </w:p>
        </w:tc>
        <w:tc>
          <w:tcPr>
            <w:tcW w:w="17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6E61C1B4" w14:textId="77777777" w:rsidR="007519C6" w:rsidRDefault="00000000">
            <w:r>
              <w:rPr>
                <w:b/>
                <w:bCs/>
                <w:color w:val="FFFFFF"/>
                <w:sz w:val="20"/>
                <w:szCs w:val="20"/>
              </w:rPr>
              <w:t>Rough Share</w:t>
            </w:r>
          </w:p>
        </w:tc>
        <w:tc>
          <w:tcPr>
            <w:tcW w:w="17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3750FB3F" w14:textId="77777777" w:rsidR="007519C6" w:rsidRDefault="00000000">
            <w:r>
              <w:rPr>
                <w:b/>
                <w:bCs/>
                <w:color w:val="FFFFFF"/>
                <w:sz w:val="20"/>
                <w:szCs w:val="20"/>
              </w:rPr>
              <w:t>Trajectory</w:t>
            </w:r>
          </w:p>
        </w:tc>
        <w:tc>
          <w:tcPr>
            <w:tcW w:w="318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38C3663F" w14:textId="77777777" w:rsidR="007519C6" w:rsidRDefault="00000000">
            <w:r>
              <w:rPr>
                <w:b/>
                <w:bCs/>
                <w:color w:val="FFFFFF"/>
                <w:sz w:val="20"/>
                <w:szCs w:val="20"/>
              </w:rPr>
              <w:t>What Drives It</w:t>
            </w:r>
          </w:p>
        </w:tc>
      </w:tr>
      <w:tr w:rsidR="007519C6" w14:paraId="7E5FE33F"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C6FE658" w14:textId="77777777" w:rsidR="007519C6" w:rsidRDefault="00000000">
            <w:r>
              <w:rPr>
                <w:b/>
                <w:bCs/>
                <w:color w:val="1A1A1A"/>
                <w:sz w:val="20"/>
                <w:szCs w:val="20"/>
              </w:rPr>
              <w:t>Direct lending (corporate)</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BE47783" w14:textId="77777777" w:rsidR="007519C6" w:rsidRDefault="00000000">
            <w:r>
              <w:rPr>
                <w:color w:val="1A1A1A"/>
                <w:sz w:val="20"/>
                <w:szCs w:val="20"/>
              </w:rPr>
              <w:t>~35-40%</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6C9C99C" w14:textId="77777777" w:rsidR="007519C6" w:rsidRDefault="00000000">
            <w:r>
              <w:rPr>
                <w:color w:val="1A1A1A"/>
                <w:sz w:val="20"/>
                <w:szCs w:val="20"/>
              </w:rPr>
              <w:t>Steady</w:t>
            </w:r>
          </w:p>
        </w:tc>
        <w:tc>
          <w:tcPr>
            <w:tcW w:w="31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6484A86" w14:textId="77777777" w:rsidR="007519C6" w:rsidRDefault="00000000">
            <w:r>
              <w:rPr>
                <w:color w:val="1A1A1A"/>
                <w:sz w:val="20"/>
                <w:szCs w:val="20"/>
              </w:rPr>
              <w:t>The core; grows with the market but loses share to faster movers</w:t>
            </w:r>
          </w:p>
        </w:tc>
      </w:tr>
      <w:tr w:rsidR="007519C6" w14:paraId="6C7502D1"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F9DEFA8" w14:textId="77777777" w:rsidR="007519C6" w:rsidRDefault="00000000">
            <w:r>
              <w:rPr>
                <w:b/>
                <w:bCs/>
                <w:color w:val="1A1A1A"/>
                <w:sz w:val="20"/>
                <w:szCs w:val="20"/>
              </w:rPr>
              <w:t>Asset-based finance</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8FFDEF8" w14:textId="77777777" w:rsidR="007519C6" w:rsidRDefault="00000000">
            <w:r>
              <w:rPr>
                <w:color w:val="1A1A1A"/>
                <w:sz w:val="20"/>
                <w:szCs w:val="20"/>
              </w:rPr>
              <w:t>~15-18%</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B1988E3" w14:textId="77777777" w:rsidR="007519C6" w:rsidRDefault="00000000">
            <w:r>
              <w:rPr>
                <w:color w:val="1A1A1A"/>
                <w:sz w:val="20"/>
                <w:szCs w:val="20"/>
              </w:rPr>
              <w:t>Rapid</w:t>
            </w:r>
          </w:p>
        </w:tc>
        <w:tc>
          <w:tcPr>
            <w:tcW w:w="31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DA56088" w14:textId="77777777" w:rsidR="007519C6" w:rsidRDefault="00000000">
            <w:r>
              <w:rPr>
                <w:color w:val="1A1A1A"/>
                <w:sz w:val="20"/>
                <w:szCs w:val="20"/>
              </w:rPr>
              <w:t>Bank retreat from consumer and specialty assets; insurance demand</w:t>
            </w:r>
          </w:p>
        </w:tc>
      </w:tr>
      <w:tr w:rsidR="007519C6" w14:paraId="17613ED5"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FF9FBB8" w14:textId="77777777" w:rsidR="007519C6" w:rsidRDefault="00000000">
            <w:r>
              <w:rPr>
                <w:b/>
                <w:bCs/>
                <w:color w:val="1A1A1A"/>
                <w:sz w:val="20"/>
                <w:szCs w:val="20"/>
              </w:rPr>
              <w:t>Real estate debt</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43A9BFC" w14:textId="77777777" w:rsidR="007519C6" w:rsidRDefault="00000000">
            <w:r>
              <w:rPr>
                <w:color w:val="1A1A1A"/>
                <w:sz w:val="20"/>
                <w:szCs w:val="20"/>
              </w:rPr>
              <w:t>~12-15%</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77ED9BB" w14:textId="77777777" w:rsidR="007519C6" w:rsidRDefault="00000000">
            <w:r>
              <w:rPr>
                <w:color w:val="1A1A1A"/>
                <w:sz w:val="20"/>
                <w:szCs w:val="20"/>
              </w:rPr>
              <w:t>Rising</w:t>
            </w:r>
          </w:p>
        </w:tc>
        <w:tc>
          <w:tcPr>
            <w:tcW w:w="31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873A3D7" w14:textId="77777777" w:rsidR="007519C6" w:rsidRDefault="00000000">
            <w:r>
              <w:rPr>
                <w:color w:val="1A1A1A"/>
                <w:sz w:val="20"/>
                <w:szCs w:val="20"/>
              </w:rPr>
              <w:t>Bank retreat from CRE; the maturity wall; distress opportunity</w:t>
            </w:r>
          </w:p>
        </w:tc>
      </w:tr>
      <w:tr w:rsidR="007519C6" w14:paraId="4C8CECAC"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8B42F0C" w14:textId="77777777" w:rsidR="007519C6" w:rsidRDefault="00000000">
            <w:r>
              <w:rPr>
                <w:b/>
                <w:bCs/>
                <w:color w:val="1A1A1A"/>
                <w:sz w:val="20"/>
                <w:szCs w:val="20"/>
              </w:rPr>
              <w:t>Infrastructure &amp; digital</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37DA5A5" w14:textId="77777777" w:rsidR="007519C6" w:rsidRDefault="00000000">
            <w:r>
              <w:rPr>
                <w:color w:val="1A1A1A"/>
                <w:sz w:val="20"/>
                <w:szCs w:val="20"/>
              </w:rPr>
              <w:t>~8-12%</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6486CF5" w14:textId="77777777" w:rsidR="007519C6" w:rsidRDefault="00000000">
            <w:r>
              <w:rPr>
                <w:color w:val="1A1A1A"/>
                <w:sz w:val="20"/>
                <w:szCs w:val="20"/>
              </w:rPr>
              <w:t>Rapid</w:t>
            </w:r>
          </w:p>
        </w:tc>
        <w:tc>
          <w:tcPr>
            <w:tcW w:w="31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388A775" w14:textId="77777777" w:rsidR="007519C6" w:rsidRDefault="00000000">
            <w:r>
              <w:rPr>
                <w:color w:val="1A1A1A"/>
                <w:sz w:val="20"/>
                <w:szCs w:val="20"/>
              </w:rPr>
              <w:t>Energy transition and the AI build-out</w:t>
            </w:r>
          </w:p>
        </w:tc>
      </w:tr>
      <w:tr w:rsidR="007519C6" w14:paraId="6D63FC43"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5607307" w14:textId="77777777" w:rsidR="007519C6" w:rsidRDefault="00000000">
            <w:r>
              <w:rPr>
                <w:b/>
                <w:bCs/>
                <w:color w:val="1A1A1A"/>
                <w:sz w:val="20"/>
                <w:szCs w:val="20"/>
              </w:rPr>
              <w:t>Fund finance</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029A6A3" w14:textId="77777777" w:rsidR="007519C6" w:rsidRDefault="00000000">
            <w:r>
              <w:rPr>
                <w:color w:val="1A1A1A"/>
                <w:sz w:val="20"/>
                <w:szCs w:val="20"/>
              </w:rPr>
              <w:t>~8-10%</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8EAA5EB" w14:textId="77777777" w:rsidR="007519C6" w:rsidRDefault="00000000">
            <w:r>
              <w:rPr>
                <w:color w:val="1A1A1A"/>
                <w:sz w:val="20"/>
                <w:szCs w:val="20"/>
              </w:rPr>
              <w:t>Rising</w:t>
            </w:r>
          </w:p>
        </w:tc>
        <w:tc>
          <w:tcPr>
            <w:tcW w:w="31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CEBCEA9" w14:textId="77777777" w:rsidR="007519C6" w:rsidRDefault="00000000">
            <w:r>
              <w:rPr>
                <w:color w:val="1A1A1A"/>
                <w:sz w:val="20"/>
                <w:szCs w:val="20"/>
              </w:rPr>
              <w:t>Growth of the funds themselves; NAV lending expansion</w:t>
            </w:r>
          </w:p>
        </w:tc>
      </w:tr>
      <w:tr w:rsidR="007519C6" w14:paraId="3A410575"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FD1927F" w14:textId="77777777" w:rsidR="007519C6" w:rsidRDefault="00000000">
            <w:r>
              <w:rPr>
                <w:b/>
                <w:bCs/>
                <w:color w:val="1A1A1A"/>
                <w:sz w:val="20"/>
                <w:szCs w:val="20"/>
              </w:rPr>
              <w:t>Distressed / special sits.</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5EDEB3B" w14:textId="77777777" w:rsidR="007519C6" w:rsidRDefault="00000000">
            <w:r>
              <w:rPr>
                <w:color w:val="1A1A1A"/>
                <w:sz w:val="20"/>
                <w:szCs w:val="20"/>
              </w:rPr>
              <w:t>~5-8%</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365E8C9" w14:textId="77777777" w:rsidR="007519C6" w:rsidRDefault="00000000">
            <w:r>
              <w:rPr>
                <w:color w:val="1A1A1A"/>
                <w:sz w:val="20"/>
                <w:szCs w:val="20"/>
              </w:rPr>
              <w:t>Cyclical</w:t>
            </w:r>
          </w:p>
        </w:tc>
        <w:tc>
          <w:tcPr>
            <w:tcW w:w="31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7A04341" w14:textId="77777777" w:rsidR="007519C6" w:rsidRDefault="00000000">
            <w:r>
              <w:rPr>
                <w:color w:val="1A1A1A"/>
                <w:sz w:val="20"/>
                <w:szCs w:val="20"/>
              </w:rPr>
              <w:t>Expands in downturns, contracts in calm</w:t>
            </w:r>
          </w:p>
        </w:tc>
      </w:tr>
      <w:tr w:rsidR="007519C6" w14:paraId="5413028B"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B7B221B" w14:textId="77777777" w:rsidR="007519C6" w:rsidRDefault="00000000">
            <w:r>
              <w:rPr>
                <w:b/>
                <w:bCs/>
                <w:color w:val="1A1A1A"/>
                <w:sz w:val="20"/>
                <w:szCs w:val="20"/>
              </w:rPr>
              <w:t>Mezzanine / junior</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DD86662" w14:textId="77777777" w:rsidR="007519C6" w:rsidRDefault="00000000">
            <w:r>
              <w:rPr>
                <w:color w:val="1A1A1A"/>
                <w:sz w:val="20"/>
                <w:szCs w:val="20"/>
              </w:rPr>
              <w:t>~4-6%</w:t>
            </w:r>
          </w:p>
        </w:tc>
        <w:tc>
          <w:tcPr>
            <w:tcW w:w="17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1DCB21E" w14:textId="77777777" w:rsidR="007519C6" w:rsidRDefault="00000000">
            <w:r>
              <w:rPr>
                <w:color w:val="1A1A1A"/>
                <w:sz w:val="20"/>
                <w:szCs w:val="20"/>
              </w:rPr>
              <w:t>Flat/declining</w:t>
            </w:r>
          </w:p>
        </w:tc>
        <w:tc>
          <w:tcPr>
            <w:tcW w:w="31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AA9EDC2" w14:textId="77777777" w:rsidR="007519C6" w:rsidRDefault="00000000">
            <w:r>
              <w:rPr>
                <w:color w:val="1A1A1A"/>
                <w:sz w:val="20"/>
                <w:szCs w:val="20"/>
              </w:rPr>
              <w:t>Squeezed by unitranche</w:t>
            </w:r>
          </w:p>
        </w:tc>
      </w:tr>
      <w:tr w:rsidR="007519C6" w14:paraId="62289153" w14:textId="77777777">
        <w:tblPrEx>
          <w:tblCellMar>
            <w:top w:w="0" w:type="dxa"/>
            <w:bottom w:w="0" w:type="dxa"/>
          </w:tblCellMar>
        </w:tblPrEx>
        <w:tc>
          <w:tcPr>
            <w:tcW w:w="27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8556AE1" w14:textId="77777777" w:rsidR="007519C6" w:rsidRDefault="00000000">
            <w:r>
              <w:rPr>
                <w:b/>
                <w:bCs/>
                <w:color w:val="1A1A1A"/>
                <w:sz w:val="20"/>
                <w:szCs w:val="20"/>
              </w:rPr>
              <w:t>Venture debt</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FF23883" w14:textId="77777777" w:rsidR="007519C6" w:rsidRDefault="00000000">
            <w:r>
              <w:rPr>
                <w:color w:val="1A1A1A"/>
                <w:sz w:val="20"/>
                <w:szCs w:val="20"/>
              </w:rPr>
              <w:t>~2-4%</w:t>
            </w:r>
          </w:p>
        </w:tc>
        <w:tc>
          <w:tcPr>
            <w:tcW w:w="17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A6F06AF" w14:textId="77777777" w:rsidR="007519C6" w:rsidRDefault="00000000">
            <w:r>
              <w:rPr>
                <w:color w:val="1A1A1A"/>
                <w:sz w:val="20"/>
                <w:szCs w:val="20"/>
              </w:rPr>
              <w:t>Volatile</w:t>
            </w:r>
          </w:p>
        </w:tc>
        <w:tc>
          <w:tcPr>
            <w:tcW w:w="31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0601C3F" w14:textId="77777777" w:rsidR="007519C6" w:rsidRDefault="00000000">
            <w:r>
              <w:rPr>
                <w:color w:val="1A1A1A"/>
                <w:sz w:val="20"/>
                <w:szCs w:val="20"/>
              </w:rPr>
              <w:t>Tracks the venture cycle; reshaped post-SVB</w:t>
            </w:r>
          </w:p>
        </w:tc>
      </w:tr>
    </w:tbl>
    <w:p w14:paraId="495C0155" w14:textId="77777777" w:rsidR="007519C6" w:rsidRDefault="00000000">
      <w:pPr>
        <w:spacing w:before="80" w:after="200"/>
      </w:pPr>
      <w:r>
        <w:rPr>
          <w:i/>
          <w:iCs/>
          <w:color w:val="5A5A5A"/>
          <w:sz w:val="18"/>
          <w:szCs w:val="18"/>
        </w:rPr>
        <w:t>Figure  Approximate subsector shares and directional trajectories. Figures are illustrative, drawn from inconsistent industry sources, and intended to convey relative scale and direction rather than precision. They should be verified against current data before being relied upon.</w:t>
      </w:r>
    </w:p>
    <w:p w14:paraId="69ABEE19" w14:textId="77777777" w:rsidR="007519C6" w:rsidRDefault="00000000">
      <w:pPr>
        <w:pStyle w:val="Heading2"/>
      </w:pPr>
      <w:r>
        <w:rPr>
          <w:color w:val="2E2E2E"/>
        </w:rPr>
        <w:t>The Decade Ahead, and the Reshuffling</w:t>
      </w:r>
    </w:p>
    <w:p w14:paraId="03DA1538" w14:textId="77777777" w:rsidR="007519C6" w:rsidRDefault="00000000">
      <w:pPr>
        <w:spacing w:after="60"/>
        <w:ind w:firstLine="360"/>
        <w:jc w:val="both"/>
      </w:pPr>
      <w:r>
        <w:rPr>
          <w:color w:val="1A1A1A"/>
        </w:rPr>
        <w:lastRenderedPageBreak/>
        <w:t>The interesting claim is not the current ranking but how it changes, and the change is already legible in the trajectories. Corporate direct lending will remain the largest subsector in absolute terms for the foreseeable future, but it will lose share, not because it shrinks but because others grow faster, and a market where the core grows steadily while the periphery grows rapidly is a market whose composition shifts toward the periphery over time. That is the central dynamic of the coming decade. The diversification of private credit away from its corporate-lending core and into the asset-based, real estate, infrastructure, and specialty strategies that are growing faster.</w:t>
      </w:r>
    </w:p>
    <w:p w14:paraId="606CBA8B" w14:textId="77777777" w:rsidR="007519C6" w:rsidRDefault="00000000">
      <w:pPr>
        <w:spacing w:after="60"/>
        <w:ind w:firstLine="360"/>
        <w:jc w:val="both"/>
      </w:pPr>
      <w:r>
        <w:rPr>
          <w:color w:val="1A1A1A"/>
        </w:rPr>
        <w:t xml:space="preserve">Asset-based finance is the clearest riser, and I would expect it to close much of the gap with corporate direct lending over the next ten years, possibly rivaling it. The forces behind it are powerful and durable. The banks continue to retreat from consumer and specialty lending under regulatory pressure, the addressable market is enormous and barely penetrated by private capital, and the insurance money that increasingly dominates the asset class strongly prefers the investment-grade, collateral-backed exposures that asset-based finance provides. If any subsector moves decisively up the rankings, it is this one. Infrastructure and digital is the other strong riser, propelled by two of the largest capital mobilizations of the era, the energy transition and the AI build-out, both of which require debt at a scale that will keep the subsector growing rapidly for as long as the build continues, with the obvious caveat that a sharp disappointment in AI demand could interrupt the digital portion abruptly. Real estate debt rises as the banks vacate commercial real estate and the maturity wall forces refinancing into non-bank hands, though its path is bumpier, tied to the property cycle and the resolution of the office sector's structural decline. Fund </w:t>
      </w:r>
      <w:r>
        <w:rPr>
          <w:color w:val="1A1A1A"/>
        </w:rPr>
        <w:lastRenderedPageBreak/>
        <w:t>finance grows with the funds themselves and with the expansion of NAV lending, a quiet riser that few outside the specialists notice.</w:t>
      </w:r>
    </w:p>
    <w:p w14:paraId="463D3EFD" w14:textId="77777777" w:rsidR="007519C6" w:rsidRDefault="00000000">
      <w:pPr>
        <w:spacing w:after="60"/>
        <w:ind w:firstLine="360"/>
        <w:jc w:val="both"/>
      </w:pPr>
      <w:r>
        <w:rPr>
          <w:color w:val="1A1A1A"/>
        </w:rPr>
        <w:t>Against these risers, some subsectors hold or fade. Mezzanine and junior debt continue their slow decline as the unitranche absorbs the demand for layered structures, a subsector being slowly defined out of existence by a more convenient substitute. Distressed and special situations move with the cycle rather than trending, expanding when downturns create opportunity, as one may well do in the coming years, and contracting when calm returns and the dry powder competes away the discounts. Venture debt remains small and volatile, reshaped by the loss of its dominant provider and tied to the fortunes of the venture ecosystem, a perennial niche rather than a growth engine. And corporate direct lending, the core, remains the anchor of the whole asset class even as its relative share recedes, the strategy that defined private credit gradually becoming one large strategy among several rather than the overwhelming center. By the middle of the next decade, if these trajectories hold, private credit will look meaningfully different from today, less a corporate-lending market with some adjacencies and more a genuinely diversified credit ecosystem in which asset-based finance, real estate, and infrastructure stand alongside corporate lending as pillars of comparable importance. The asset class is not just growing. It is changing shape, and the shape it is moving toward is broader, more collateral-based, more infrastructure-heavy, and more shaped by insurance capital than the one that exists today.</w:t>
      </w:r>
    </w:p>
    <w:p w14:paraId="36A6373E" w14:textId="77777777" w:rsidR="007519C6" w:rsidRDefault="00000000">
      <w:r>
        <w:br w:type="page"/>
      </w:r>
    </w:p>
    <w:p w14:paraId="21A21C5E" w14:textId="77777777" w:rsidR="007519C6" w:rsidRDefault="00000000">
      <w:pPr>
        <w:pStyle w:val="Heading1"/>
      </w:pPr>
      <w:r>
        <w:lastRenderedPageBreak/>
        <w:t>Chapter 34: Regulation and the Perimeter</w:t>
      </w:r>
    </w:p>
    <w:p w14:paraId="632709A1" w14:textId="77777777" w:rsidR="007519C6" w:rsidRDefault="00000000">
      <w:pPr>
        <w:spacing w:after="60"/>
        <w:jc w:val="both"/>
      </w:pPr>
      <w:r>
        <w:rPr>
          <w:color w:val="1A1A1A"/>
        </w:rPr>
        <w:t>Every previous chapter of this history has circled, sooner or later, back to a single structural fact. Private credit grew in the space that regulation opened, and it grew, to a substantial degree, outside the reach of the rules that govern the banks. That fact is the asset class's foundation and its central unresolved question. The post-crisis architecture made the banking system safer by making it more expensive for banks to hold credit risk, and the risk migrated to a part of the financial system the same architecture left largely untouched. Whether that migration made the whole system safer or merely moved the danger somewhere the regulators cannot see is the question that will define the next decade, and it is a question that the regulators themselves have only recently begun to engage in earnest. This chapter takes it up directly, with the caution that the regulatory landscape is moving quickly, and that the specific actions of any given month should be checked against current sources rather than taken from a book.</w:t>
      </w:r>
    </w:p>
    <w:p w14:paraId="6BA94A44" w14:textId="77777777" w:rsidR="007519C6" w:rsidRDefault="00000000">
      <w:pPr>
        <w:pStyle w:val="Heading2"/>
      </w:pPr>
      <w:r>
        <w:rPr>
          <w:color w:val="2E2E2E"/>
        </w:rPr>
        <w:t>The Regime as It Stands</w:t>
      </w:r>
    </w:p>
    <w:p w14:paraId="5892F84E" w14:textId="77777777" w:rsidR="007519C6" w:rsidRDefault="00000000">
      <w:pPr>
        <w:spacing w:after="60"/>
        <w:ind w:firstLine="360"/>
        <w:jc w:val="both"/>
      </w:pPr>
      <w:r>
        <w:rPr>
          <w:color w:val="1A1A1A"/>
        </w:rPr>
        <w:t xml:space="preserve">The current regulatory settlement can be stated simply, and its simplicity is the heart of the matter. The banks sit inside the prudential perimeter. They face capital requirements calibrated to the risk of their assets, leverage limits, liquidity rules, stress tests, and the close supervision of the Federal Reserve and the other banking agencies. The non-bank lenders, the private credit funds, sit largely outside that perimeter. They are subject to the securities laws, to disclosure obligations, to the oversight of the Securities and Exchange Commission over registered advisers and funds, and to the rules governing whatever specific wrapper they use, the Investment Company Act for a business </w:t>
      </w:r>
      <w:r>
        <w:rPr>
          <w:color w:val="1A1A1A"/>
        </w:rPr>
        <w:lastRenderedPageBreak/>
        <w:t>development company, for instance. But they are not subject to prudential regulation in the sense that banks are. No regulator sets the leverage of a private credit fund based on the risk of its assets. No capital charge constrains its concentrations. No supervisor stress-tests its portfolio against a downturn. The asset class operates, by design and by history, in a different regulatory universe from the banks whose business it has partly assumed.</w:t>
      </w:r>
    </w:p>
    <w:p w14:paraId="194CADDE" w14:textId="77777777" w:rsidR="007519C6" w:rsidRDefault="00000000">
      <w:pPr>
        <w:spacing w:after="60"/>
        <w:ind w:firstLine="360"/>
        <w:jc w:val="both"/>
      </w:pPr>
      <w:r>
        <w:rPr>
          <w:color w:val="1A1A1A"/>
        </w:rPr>
        <w:t>This is not an oversight. It reflects a genuine and defensible principle. An investment fund which takes no deposits, offers no government-insured liabilities, and imposes losses only on sophisticated investors who chose the risk does not pose the same threat to the public that a bank does, and should not be regulated as though it did. A private credit fund that loses money harms its investors, who are generally institutions and wealthy individuals equipped to bear it. A bank that fails can freeze the payment system, destroy the savings of ordinary depositors, and require a public rescue. The asymmetry of regulation reflects an asymmetry of public consequence, and for the closed-end, institutionally funded core of private credit, the light-touch approach is sound. The trouble is that the asset class has grown well beyond that core, and the growth has been into precisely the areas where the principle starts to strain.</w:t>
      </w:r>
    </w:p>
    <w:p w14:paraId="2DB6D5D9" w14:textId="77777777" w:rsidR="007519C6" w:rsidRDefault="00000000">
      <w:pPr>
        <w:pStyle w:val="Heading2"/>
      </w:pPr>
      <w:r>
        <w:rPr>
          <w:color w:val="2E2E2E"/>
        </w:rPr>
        <w:t>What Sits Outside the Perimeter</w:t>
      </w:r>
    </w:p>
    <w:p w14:paraId="5A36A226" w14:textId="77777777" w:rsidR="007519C6" w:rsidRDefault="00000000">
      <w:pPr>
        <w:spacing w:after="60"/>
        <w:ind w:firstLine="360"/>
        <w:jc w:val="both"/>
      </w:pPr>
      <w:r>
        <w:rPr>
          <w:color w:val="1A1A1A"/>
        </w:rPr>
        <w:t xml:space="preserve">Several features of the modern market sit outside meaningful prudential oversight, and they are worth naming individually, because the case for and against intervention is different for each. The first is fund-level leverage. The borrowing that funds layer onto their portfolios through subscription lines and NAV facilities is not constrained by any regulator, and because it stacks on top of </w:t>
      </w:r>
      <w:r>
        <w:rPr>
          <w:color w:val="1A1A1A"/>
        </w:rPr>
        <w:lastRenderedPageBreak/>
        <w:t>the leverage already inside the borrowers and inside any securitization, the aggregate leverage on the underlying cash flows can be considerably higher than any single disclosed figure suggests. No supervisor sees the whole stack. The second is the interconnection with the banks, the dense web of warehouse lines, NAV facilities, subscription lines, and risk transfers that ties the non-bank system back to the regulated one. Each bank sees its own exposure. No regulator has a clear, aggregate view of how much of the banking system's capital is ultimately financing private credit, or how that exposure would behave in a correlated stress.</w:t>
      </w:r>
    </w:p>
    <w:p w14:paraId="7CF76E1B" w14:textId="77777777" w:rsidR="007519C6" w:rsidRDefault="00000000">
      <w:pPr>
        <w:spacing w:after="60"/>
        <w:ind w:firstLine="360"/>
        <w:jc w:val="both"/>
      </w:pPr>
      <w:r>
        <w:rPr>
          <w:color w:val="1A1A1A"/>
        </w:rPr>
        <w:t xml:space="preserve">The third area, and the one drawing the most regulatory attention, is the convergence of insurance and private credit. When an insurer holds a large book of private credit, frequently managed by an affiliated firm, and carries those assets at model-based valuations, two distinct concerns arise that this book has already named. The independence of the credit analysis, when the manager and the asset owner are related parties with shared incentives, and the adequacy of the capital held against the assets, when the rating frameworks used to set insurance capital requirements may not fully capture the tail risk of structured credit. State insurance regulators and the National Association of Insurance Commissioners have grown increasingly vocal here, because the consequence is no longer confined to sophisticated investors. The ultimate holders of the risk are policyholders, ordinary people who bought an annuity or a life policy, and the public-consequence principle that justifies light regulation elsewhere points the other way once the risk reaches them. The fourth area is the expansion of private credit into retail through semi-liquid vehicles, the interval funds and non-traded business development companies that promise periodic redemptions against </w:t>
      </w:r>
      <w:r>
        <w:rPr>
          <w:color w:val="1A1A1A"/>
        </w:rPr>
        <w:lastRenderedPageBreak/>
        <w:t>illiquid assets. This is the maturity mismatch in a new wrapper, sold increasingly to individual investors, and it raises both an investor-protection question, whether retail buyers understand the illiquidity they are accepting, and a systemic one, whether a wave of redemption requests in a stress could force selling that transmits to the broader market.</w:t>
      </w:r>
    </w:p>
    <w:p w14:paraId="3B480E00" w14:textId="77777777" w:rsidR="007519C6" w:rsidRDefault="00000000">
      <w:pPr>
        <w:pStyle w:val="Heading2"/>
      </w:pPr>
      <w:r>
        <w:rPr>
          <w:color w:val="2E2E2E"/>
        </w:rPr>
        <w:t>How the Regulators Are Responding</w:t>
      </w:r>
    </w:p>
    <w:p w14:paraId="564DEA25" w14:textId="77777777" w:rsidR="007519C6" w:rsidRDefault="00000000">
      <w:pPr>
        <w:spacing w:after="60"/>
        <w:ind w:firstLine="360"/>
        <w:jc w:val="both"/>
      </w:pPr>
      <w:r>
        <w:rPr>
          <w:color w:val="1A1A1A"/>
        </w:rPr>
        <w:t>The regulatory response has, to this point, taken the form of attention rather than action, and the distinction is important. The bodies responsible for financial stability, the Financial Stability Oversight Council in the United States, the Securities and Exchange Commission, the banking regulators, and their international counterparts at the Financial Stability Board and the International Monetary Fund, have all identified private credit and non-bank financial intermediation as a priority for monitoring. They have published analyses, requested data, and flagged the specific concerns described above. The leverage, the interconnection, the insurance convergence, the retail expansion, the opacity of valuations. What they have largely not yet done is impose binding prudential rules on the non-bank lenders themselves. The posture, as of this writing, is one of intensified scrutiny and data-gathering, with the stress episodes of the mid-2020s sharpening the focus, but without the kind of structural regulatory intervention that would fundamentally alter how the asset class operates.</w:t>
      </w:r>
    </w:p>
    <w:p w14:paraId="061C669C" w14:textId="77777777" w:rsidR="007519C6" w:rsidRDefault="00000000">
      <w:pPr>
        <w:spacing w:after="60"/>
        <w:ind w:firstLine="360"/>
        <w:jc w:val="both"/>
      </w:pPr>
      <w:r>
        <w:rPr>
          <w:color w:val="1A1A1A"/>
        </w:rPr>
        <w:t xml:space="preserve">[Author's note: the specific regulatory actions, proposals, and stress-response measures of 2025 and 2026 are moving quickly and should be confirmed against current primary sources before publication. The framework above describes the structure of the regulatory question and the posture of the relevant bodies as a </w:t>
      </w:r>
      <w:r>
        <w:rPr>
          <w:color w:val="1A1A1A"/>
        </w:rPr>
        <w:lastRenderedPageBreak/>
        <w:t>durable matter. The particular rules, data requests, and interventions of any given quarter belong in a passage that can be updated to the moment of writing.]</w:t>
      </w:r>
    </w:p>
    <w:p w14:paraId="0A9927FF" w14:textId="77777777" w:rsidR="007519C6" w:rsidRDefault="00000000">
      <w:pPr>
        <w:spacing w:after="60"/>
        <w:ind w:firstLine="360"/>
        <w:jc w:val="both"/>
      </w:pPr>
      <w:r>
        <w:rPr>
          <w:color w:val="1A1A1A"/>
        </w:rPr>
        <w:t>The honest reason for the regulators' caution is not negligence but genuine difficulty. They face a data problem first of all. Private credit is opaque, its exposures fragmented across many managers, reported inconsistently and with a lag, so that even measuring the system, let alone supervising it, is hard. They face a perimeter problem second. The moment a regulator draws a boundary and regulates what falls inside it, activity migrates to whatever falls just outside, the same regulatory arbitrage that drove risk out of the banks and into the funds in the first place. And they face a genuine intellectual uncertainty about whether the migration of credit risk from banks to non-banks has made the system more fragile or less. There is a serious argument, which the regulators take seriously, that moving credit risk out of leveraged, deposit-funded, runnable banks and into patient, equity-funded, lock-up funds has actually made the financial system safer, that private credit is a shock absorber rather than a shock amplifier, lending steadily through stresses that freeze the banks, as it did in 2020 and again in 2023. If that argument is correct, heavy-handed regulation would be a mistake, forcing risk back toward the banks or into still darker corners and undermining a structure that improves stability. The regulators do not yet know which argument is right, and neither does anyone else, because the asset class has not been tested by a severe, prolonged downturn at its current scale. Their caution is, in part, an honest acknowledgment of that uncertainty.</w:t>
      </w:r>
    </w:p>
    <w:p w14:paraId="30A01364" w14:textId="77777777" w:rsidR="007519C6" w:rsidRDefault="00000000">
      <w:pPr>
        <w:pStyle w:val="Heading2"/>
      </w:pPr>
      <w:r>
        <w:rPr>
          <w:color w:val="2E2E2E"/>
        </w:rPr>
        <w:t>The Case For and Against</w:t>
      </w:r>
    </w:p>
    <w:p w14:paraId="0814AE2F" w14:textId="77777777" w:rsidR="007519C6" w:rsidRDefault="00000000">
      <w:pPr>
        <w:spacing w:after="60"/>
        <w:ind w:firstLine="360"/>
        <w:jc w:val="both"/>
      </w:pPr>
      <w:r>
        <w:rPr>
          <w:color w:val="1A1A1A"/>
        </w:rPr>
        <w:lastRenderedPageBreak/>
        <w:t>The case for intervention is the case for visibility and for protecting those who did not choose the risk. Even granting that the core of private credit poses little public danger, the regulators have a legitimate interest in seeing the whole picture, in knowing the aggregate leverage, the concentration of bank exposures, the scale of the interconnection, so that they are not blind to a building vulnerability until it surfaces as a crisis. The crisis of 2008 was made worse by exactly such blindness, by the inability of anyone to see how the pieces connected until they failed together. And the expansion of private credit risk to policyholders and retail investors, who did not knowingly accept it, strengthens the case for protection precisely where the sophisticated-investor principle no longer applies. A regime that required better data, that scrutinized insurer-affiliate valuations, that ensured retail buyers of semi-liquid vehicles understood what they were buying, and that gave regulators a clear view of the bank interconnection would address the genuine concerns without dismantling the asset class. That is the measured case for doing something, and it is a strong one.</w:t>
      </w:r>
    </w:p>
    <w:p w14:paraId="1C6B0629" w14:textId="77777777" w:rsidR="007519C6" w:rsidRDefault="00000000">
      <w:pPr>
        <w:spacing w:after="60"/>
        <w:ind w:firstLine="360"/>
        <w:jc w:val="both"/>
      </w:pPr>
      <w:r>
        <w:rPr>
          <w:color w:val="1A1A1A"/>
        </w:rPr>
        <w:t xml:space="preserve">The case against is the case for humility about what regulation can achieve and wariness of what it can break. Prudential regulation imposes real costs, and those costs would fall hardest on exactly the flexible, relationship-based lending that the middle market depends on and that the banks have shown they will not provide. Heavy capital and leverage rules on non-bank lenders would raise the cost of credit to the companies that form the operational core of the economy, the very borrowers the asset class exists to serve. The perimeter problem means that aggressive regulation would likely drive activity into still less visible structures rather than eliminating the risk, the regulatory-arbitrage treadmill that has run for decades. And if the optimistic argument is correct, that private </w:t>
      </w:r>
      <w:r>
        <w:rPr>
          <w:color w:val="1A1A1A"/>
        </w:rPr>
        <w:lastRenderedPageBreak/>
        <w:t>credit's migration of risk out of the banking system has made the whole more stable, then regulating the funds as though they were banks would undo a genuine improvement, pushing risk back toward the runnable, deposit-funded institutions from which it was so beneficially moved. The strongest version of the case against is not that the concerns are imaginary but that the cure may be worse than the disease, and that the right posture is targeted transparency, see the system clearly, protect those who did not choose the risk, rather than wholesale prudential regulation of a structure that may be doing more good than harm.</w:t>
      </w:r>
    </w:p>
    <w:p w14:paraId="50D81881" w14:textId="77777777" w:rsidR="007519C6" w:rsidRDefault="00000000">
      <w:pPr>
        <w:pStyle w:val="Heading2"/>
      </w:pPr>
      <w:r>
        <w:rPr>
          <w:color w:val="2E2E2E"/>
        </w:rPr>
        <w:t>What Would Force the Question</w:t>
      </w:r>
    </w:p>
    <w:p w14:paraId="0D30DCE4" w14:textId="77777777" w:rsidR="007519C6" w:rsidRDefault="00000000">
      <w:pPr>
        <w:spacing w:after="60"/>
        <w:ind w:firstLine="360"/>
        <w:jc w:val="both"/>
      </w:pPr>
      <w:r>
        <w:rPr>
          <w:color w:val="1A1A1A"/>
        </w:rPr>
        <w:t xml:space="preserve">The current posture of watchful restraint is sustainable so long as the asset class performs, and it will not survive a serious failure. This is the honest prediction the history supports. The regime will not change because of an argument, however well made. It will change, if it changes, because of an event. A significant private credit blow-up, a fund that gates its retail investors and cannot pay them, a wave of redemptions that forces selling and transmits to the broader market, an insurer impaired by private credit losses that reach its policyholders, a stress that travels up the funding lines and damages the banks, any of these would convert the regulators' watchful attention into action, and the action that follows a crisis is rarely measured. The pattern is old and reliable. Regulation is written in the aftermath of failure, hastily and under political pressure, and it tends to overcorrect for the specific failure that prompted it while missing the next one. The leveraged-lending guidance, the risk-retention rules, the entire post-crisis architecture, all of it was written this way, in the wreckage, and the same will be true of whatever regime eventually governs private credit. </w:t>
      </w:r>
      <w:r>
        <w:rPr>
          <w:color w:val="1A1A1A"/>
        </w:rPr>
        <w:lastRenderedPageBreak/>
        <w:t>The asset class is, in this sense, living on borrowed time with respect to its light regulation, not because the light touch is wrong, but because the first serious crisis will end it regardless of whether it was wrong, and the regime that replaces it will be shaped by the character of that crisis rather than by the merits of the debate. The practitioner who wishes to influence the eventual rules would do better to help the asset class avoid the crisis that will trigger them than to win the argument about what they should be. On this, as on so much else, the most useful posture is the one this book has urged throughout. Keep the discipline that prevents the failure, because the failure, if it comes, will bring consequences far beyond any single portfolio.</w:t>
      </w:r>
    </w:p>
    <w:p w14:paraId="2696CA02" w14:textId="77777777" w:rsidR="007519C6" w:rsidRDefault="00000000">
      <w:r>
        <w:br w:type="page"/>
      </w:r>
    </w:p>
    <w:p w14:paraId="01D06487" w14:textId="77777777" w:rsidR="007519C6" w:rsidRDefault="00000000">
      <w:pPr>
        <w:pStyle w:val="Heading1"/>
      </w:pPr>
      <w:r>
        <w:lastRenderedPageBreak/>
        <w:t>Chapter 35: What Comes Next, and Why</w:t>
      </w:r>
    </w:p>
    <w:p w14:paraId="32AD528E" w14:textId="77777777" w:rsidR="007519C6" w:rsidRDefault="00000000">
      <w:pPr>
        <w:spacing w:after="60"/>
        <w:jc w:val="both"/>
      </w:pPr>
      <w:r>
        <w:rPr>
          <w:color w:val="1A1A1A"/>
        </w:rPr>
        <w:t>Private credit has established itself as a permanent feature of the institutional landscape rather than a passing enthusiasm, and the forces behind its growth, the constraints on the banks, the demand for yield, the demonstrated resilience through two stress tests, point toward more of it. The honest forecast is not a number but a range, and a set of questions whose answers will shape which way the asset class breaks.</w:t>
      </w:r>
    </w:p>
    <w:p w14:paraId="3E44DE51" w14:textId="77777777" w:rsidR="007519C6" w:rsidRDefault="00000000">
      <w:pPr>
        <w:pStyle w:val="Heading2"/>
      </w:pPr>
      <w:r>
        <w:rPr>
          <w:color w:val="2E2E2E"/>
        </w:rPr>
        <w:t>Maturation and Convergence</w:t>
      </w:r>
    </w:p>
    <w:p w14:paraId="731193E7" w14:textId="77777777" w:rsidR="007519C6" w:rsidRDefault="00000000">
      <w:pPr>
        <w:spacing w:after="60"/>
        <w:ind w:firstLine="360"/>
        <w:jc w:val="both"/>
      </w:pPr>
      <w:r>
        <w:rPr>
          <w:color w:val="1A1A1A"/>
        </w:rPr>
        <w:t>Growth will bring further institutionalization. Rating agencies are building methodologies for private credit instruments. Index providers are constructing benchmarks. Accounting and regulatory frameworks are adapting to the asset class's peculiarities. These developments will widen the investor base and, in the process, trade away some of the flexibility that defined the early market. At the same time the boundary between private credit and the traditional financial system continues to blur. Banks partner with private managers, keeping the client relationship and the origination fee while passing the risk to non-bank capital. Insurance has woven itself into the asset class through ownership and partnership, bringing permanent capital and an investment-grade orientation. Private managers now compete in investment-grade lending alongside the traditional fixed-income market, and the ETF has opened the senior reaches of the asset class to retail in liquid form, with a risk profile different from the direct fund it imitates. The line between private and public credit is becoming a matter of origination channel and liquidity rather than of anything fundamental, which is precisely the destination every credit market before it has reached.</w:t>
      </w:r>
    </w:p>
    <w:p w14:paraId="0463F3E4" w14:textId="77777777" w:rsidR="007519C6" w:rsidRDefault="00000000">
      <w:pPr>
        <w:pStyle w:val="Heading2"/>
      </w:pPr>
      <w:r>
        <w:rPr>
          <w:color w:val="2E2E2E"/>
        </w:rPr>
        <w:lastRenderedPageBreak/>
        <w:t>Shadow Leverage and the Lessons Not Yet Tested</w:t>
      </w:r>
    </w:p>
    <w:p w14:paraId="099025C2" w14:textId="77777777" w:rsidR="007519C6" w:rsidRDefault="00000000">
      <w:pPr>
        <w:spacing w:after="60"/>
        <w:ind w:firstLine="360"/>
        <w:jc w:val="both"/>
      </w:pPr>
      <w:r>
        <w:rPr>
          <w:color w:val="1A1A1A"/>
        </w:rPr>
        <w:t>The risks worth watching are the structural ones. The long stretch of low defaults may have rewarded risk-taking that only a downturn will reveal, which is an argument for vigilance about underwriting standards rather than complacency about a benign record. Leverage has been layered, through subscription lines and NAV facilities and the CLO, until the aggregate borrowing on a given stream of business cash flows is higher than any single number in the chain suggests. Gary Gorton's work on shadow banking is the right lens here. A system that performs maturity transformation outside the deposit-insurance and central-bank backstop of the traditional banking system runs smoothly so long as confidence in the collateral holds, and withdraws all at once when it does not, in a self-reinforcing way that bears no relationship to the underlying credit quality. The private credit ecosystem has more of that architecture than its closed-end fund structure alone would suggest, in the semi-liquid vehicles promising redemptions against illiquid assets, in the model-based marks that can diverge from transaction prices, in the bank funding lines that connect the shadow system back to the regulated one. None of this means a panic is coming. It means the architecture permits one, and that how much of it materializes depends on the quality of the structural design, the gates and the diversification and the documentation and the capital cushions, that sits between the precondition and the outcome.</w:t>
      </w:r>
    </w:p>
    <w:p w14:paraId="7A05323B" w14:textId="77777777" w:rsidR="007519C6" w:rsidRDefault="00000000">
      <w:pPr>
        <w:spacing w:after="60"/>
        <w:ind w:firstLine="360"/>
        <w:jc w:val="both"/>
      </w:pPr>
      <w:r>
        <w:rPr>
          <w:color w:val="1A1A1A"/>
        </w:rPr>
        <w:t xml:space="preserve">The deepest caution is the simplest. The asset class has not experienced a severe, prolonged downturn at its current scale, of the traditional kind, extended high rates, weak growth, tight credit, and no extraordinary government backstop. The pandemic was sudden, short, and met with unprecedented support, a poor </w:t>
      </w:r>
      <w:r>
        <w:rPr>
          <w:color w:val="1A1A1A"/>
        </w:rPr>
        <w:lastRenderedPageBreak/>
        <w:t>proxy for an ordinary credit cycle. Until the real test comes, the resilience of the system rests on models, stress tests, and historical analogy rather than on lived experience. The recent high-profile failures of individual borrowers have been characterized, fairly in most cases, as idiosyncratic and late-cycle rather than systemic, but they are a reminder that credit losses are inherent to lending, and that the question is never whether they come but whether the structures hold when they do. The AI buildout sharpens the point. The capital flowing into data centers and the infrastructure beneath them is enormous, much of it financed with debt, and its creditworthiness rests on demand that is assumed rather than proven, in the same way the fiber buildout of the late 1990s was right about the importance of the infrastructure and wrong about the pace of the demand and the revenue that would support it. The cast changes. The structure of the mistake does not.</w:t>
      </w:r>
    </w:p>
    <w:p w14:paraId="3464E876" w14:textId="77777777" w:rsidR="007519C6" w:rsidRDefault="00000000">
      <w:pPr>
        <w:pStyle w:val="Heading2"/>
      </w:pPr>
      <w:r>
        <w:rPr>
          <w:color w:val="2E2E2E"/>
        </w:rPr>
        <w:t>Where We Stand in the Supercycle</w:t>
      </w:r>
    </w:p>
    <w:p w14:paraId="1E36C76B" w14:textId="77777777" w:rsidR="007519C6" w:rsidRDefault="00000000">
      <w:pPr>
        <w:spacing w:after="60"/>
        <w:ind w:firstLine="360"/>
        <w:jc w:val="both"/>
      </w:pPr>
      <w:r>
        <w:rPr>
          <w:color w:val="1A1A1A"/>
        </w:rPr>
        <w:t xml:space="preserve">This book opened with the claim that markets move in long cycles, and it is worth closing by locating private credit precisely within the one we inhabit, because the location explains both the asset class's extraordinary growth and the nature of its coming test. The modern monetary supercycle began in 1971, when the closing of the gold window ended fixed exchange rates and launched the era of fiat money. Its defining feature, after the inflation of the 1970s was broken at the start of the 1980s, was a forty-year descent in interest rates, from the Volcker peak to the near-zero rates of the 2010s, the longest disinflationary tailwind in modern financial history. Almost the entire life of structured credit, and the whole of private credit's ascent, occurred during that single long decline in the </w:t>
      </w:r>
      <w:r>
        <w:rPr>
          <w:color w:val="1A1A1A"/>
        </w:rPr>
        <w:lastRenderedPageBreak/>
        <w:t>cost of money. Securitization was born at its start. The CLO matured through its middle. Private credit scaled into its final, near-zero phase, when the desperation for yield that drove institutions into the asset class was itself a product of how far rates had fallen.</w:t>
      </w:r>
    </w:p>
    <w:p w14:paraId="368D1177" w14:textId="77777777" w:rsidR="007519C6" w:rsidRDefault="00000000">
      <w:pPr>
        <w:spacing w:after="60"/>
        <w:ind w:firstLine="360"/>
        <w:jc w:val="both"/>
      </w:pPr>
      <w:r>
        <w:rPr>
          <w:color w:val="1A1A1A"/>
        </w:rPr>
        <w:t>That supercycle has turned. The return of meaningful interest rates in the 2020s is not a temporary deviation to be waited out but, quite possibly, the end of the forty-year tailwind and the beginning of a different regime, one of higher rates, higher inflation volatility, and a higher cost of money than the generation now running the markets has ever worked through. This is the deepest reason the coming test matters more than the stress episodes the asset class has already passed. The pandemic and the 2023 regional crisis were shocks within the old regime, met with the old regime's tools. What private credit has not yet faced is a full credit cycle in the new regime. A downturn that arrives with rates elevated and staying elevated, with no forty-year tailwind to lift asset values back, with the cost of refinancing permanently higher than the cost at which the loans were written. Every previous structure in this history was eventually tested by the cycle, and the test always came at the supercycle's turning points, when the conditions that had nurtured a structure's growth reversed into the conditions that exposed its flaws. Private credit grew up entirely on one side of the great reversal. It will be judged on the other. That is where we stand, and it is why the discipline this book has urged is not a matter of taste but of timing. The loans being written now, and the structures carrying them, are being built at the hinge of the supercycle, and the hinge is exactly where the history says the reckoning arrives.</w:t>
      </w:r>
    </w:p>
    <w:p w14:paraId="5CE3C18B" w14:textId="77777777" w:rsidR="007519C6" w:rsidRDefault="00000000">
      <w:pPr>
        <w:pStyle w:val="Heading2"/>
      </w:pPr>
      <w:r>
        <w:rPr>
          <w:color w:val="2E2E2E"/>
        </w:rPr>
        <w:lastRenderedPageBreak/>
        <w:t>The AI Buildout, in Depth</w:t>
      </w:r>
    </w:p>
    <w:p w14:paraId="2884DDFE" w14:textId="77777777" w:rsidR="007519C6" w:rsidRDefault="00000000">
      <w:pPr>
        <w:spacing w:after="60"/>
        <w:ind w:firstLine="360"/>
        <w:jc w:val="both"/>
      </w:pPr>
      <w:r>
        <w:rPr>
          <w:color w:val="1A1A1A"/>
        </w:rPr>
        <w:t>No force will shape the next several years of credit more than the capital being mobilized for artificial intelligence, and it deserves more than the passing treatment it usually receives, because it concentrates, in a single phenomenon, nearly every theme this book has developed. The numbers are staggering and worth stating plainly. Estimates for the capital required to build the data centers, the power generation, the chip supply, and the networking infrastructure of the AI era run from many hundreds of billions to well over a trillion dollars in the United States alone over the next several years, and a substantial portion of it is being financed with debt. That debt is accumulating, rapidly, in exactly the structures this book has examined, equipment finance, real estate and construction credit, infrastructure debt, project finance, and the private credit and structured-product portfolios that hold them. The AI buildout is not a side story to the private credit market. It is becoming one of its principal destinations, and possibly its principal risk concentration.</w:t>
      </w:r>
    </w:p>
    <w:p w14:paraId="0C4533B7" w14:textId="77777777" w:rsidR="007519C6" w:rsidRDefault="00000000">
      <w:pPr>
        <w:spacing w:after="60"/>
        <w:ind w:firstLine="360"/>
        <w:jc w:val="both"/>
      </w:pPr>
      <w:r>
        <w:rPr>
          <w:color w:val="1A1A1A"/>
        </w:rPr>
        <w:t xml:space="preserve">The credit question beneath the buildout is the oldest one in this book, dressed in the newest technology. Is the leverage being placed against cash flows that will actually materialize, or against demand that is merely assumed? The data center financed today is creditworthy if the demand for AI computing capacity grows as projected and the firms paying for that capacity, the hyperscalers and the enterprise AI companies, generate the revenue to keep paying. If the adoption curve is slower than the capital expenditure assumes, or if the revenue models prove less durable than the valuations imply, then an enormous quantity of debt will have been built against an asset base whose long-term value is uncertain, and the losses will concentrate in the lenders who </w:t>
      </w:r>
      <w:r>
        <w:rPr>
          <w:color w:val="1A1A1A"/>
        </w:rPr>
        <w:lastRenderedPageBreak/>
        <w:t>financed the buildout on the assumption that the demand was a given. This is not a hypothetical pattern. It is the precise pattern of the fiber-optic buildout of the late 1990s, and the comparison is exact enough to be instructive. The fiber buildout was not wrong about the importance of the infrastructure it was constructing. The internet did need the capacity, eventually. It was wrong about the pace of the demand and the revenue models that would support the debt in the meantime, and the gap between the infrastructure's eventual value and the leverage placed against its assumed value produced the telecom default wave of 2001 and 2002, one of the largest in the history of the high-yield and leveraged-loan markets. WorldCom and Global Crossing were not failures of vision about the infrastructure. They were failures of timing about the cash flows, and the credit losses fell on those who had financed the assumed future rather than the actual present.</w:t>
      </w:r>
    </w:p>
    <w:p w14:paraId="55DDB02C" w14:textId="77777777" w:rsidR="007519C6" w:rsidRDefault="00000000">
      <w:pPr>
        <w:spacing w:after="60"/>
        <w:ind w:firstLine="360"/>
        <w:jc w:val="both"/>
      </w:pPr>
      <w:r>
        <w:rPr>
          <w:color w:val="1A1A1A"/>
        </w:rPr>
        <w:t xml:space="preserve">The honest position on AI infrastructure credit is therefore neither the bullish one that treats the demand as certain nor the bearish one that calls the whole buildout a bubble, but the disciplined one this book has urged at every turn. The credit analysis requires genuine scenario work rather than the projection of current enthusiasm, and the lender must underwrite the downside case in which adoption is slower and the revenue thinner, not merely the base case in which everything proceeds as the marketing promises. The buildout also concentrates the shadow-leverage concern to its sharpest point, because the AI infrastructure debt is being layered through exactly the stacked structures this book has described. Borrower leverage on the data-center operator, fund leverage on the private credit vehicle that holds the loan, securitization leverage where those loans are pooled, and insurance leverage where the senior tranches are bought </w:t>
      </w:r>
      <w:r>
        <w:rPr>
          <w:color w:val="1A1A1A"/>
        </w:rPr>
        <w:lastRenderedPageBreak/>
        <w:t>by insurers. If the demand disappoints, the disappointment will not stay contained at the level of the individual project. It will be amplified as it travels up the stack, in precisely the way the architecture this book has mapped permits. The AI buildout is the place where the supercycle turn, the shadow leverage, the maturity of the structures, and the discipline of the underwriting all converge, and it is the place a thoughtful observer should watch most closely for the shape of what comes next.</w:t>
      </w:r>
    </w:p>
    <w:p w14:paraId="34BC66C5" w14:textId="77777777" w:rsidR="007519C6" w:rsidRDefault="00000000">
      <w:pPr>
        <w:pStyle w:val="Heading2"/>
      </w:pPr>
      <w:r>
        <w:rPr>
          <w:color w:val="2E2E2E"/>
        </w:rPr>
        <w:t>Three Scenarios, and Their Mechanisms</w:t>
      </w:r>
    </w:p>
    <w:p w14:paraId="3ABF64CA" w14:textId="77777777" w:rsidR="007519C6" w:rsidRDefault="00000000">
      <w:pPr>
        <w:spacing w:after="60"/>
        <w:ind w:firstLine="360"/>
        <w:jc w:val="both"/>
      </w:pPr>
      <w:r>
        <w:rPr>
          <w:color w:val="1A1A1A"/>
        </w:rPr>
        <w:t>The future of the asset class over the coming decade is genuinely uncertain, and the honest way to think about it is not to forecast a single outcome but to specify the range of plausible ones, the conditions under which each becomes likely, and the mechanisms that would carry the market down each path. Three scenarios deserve serious consideration, and they are distinguished not by mood but by mechanism.</w:t>
      </w:r>
    </w:p>
    <w:p w14:paraId="5B8A6F53" w14:textId="77777777" w:rsidR="007519C6" w:rsidRDefault="00000000">
      <w:pPr>
        <w:spacing w:after="60"/>
        <w:ind w:firstLine="360"/>
        <w:jc w:val="both"/>
      </w:pPr>
      <w:r>
        <w:rPr>
          <w:color w:val="1A1A1A"/>
        </w:rPr>
        <w:t xml:space="preserve">In the first, managed maturation, the current stresses prove to be a healthy repricing rather than a systemic event, and the asset class emerges stronger. The mechanism is orderly. Credit losses concentrate where the early indicators point, in the most aggressively underwritten software and technology credits, and are absorbed by well-capitalized managers without spreading. The secondary market deepens under the pressure of the current demand, documentation standardizes, the private credit CLO matures into a transparent funding vehicle, and the retail expansion proceeds without a redemption accident because the vehicles were designed with adequate gates and the marketing was honest about the illiquidity. Regulation arrives in its measured form, better data and targeted protection </w:t>
      </w:r>
      <w:r>
        <w:rPr>
          <w:color w:val="1A1A1A"/>
        </w:rPr>
        <w:lastRenderedPageBreak/>
        <w:t>rather than wholesale prudential rules. The asset class in this scenario completes the maturation arc that high yield and leveraged loans completed before it, emerging as durable, more transparent institutional infrastructure, chastened by the stress but vindicated by its survival. This is the analog of the high-yield market's rebuild after Drexel. The excess cleared, the structure held, the market that emerged was stronger for the test.</w:t>
      </w:r>
    </w:p>
    <w:p w14:paraId="68DDAA1A" w14:textId="77777777" w:rsidR="007519C6" w:rsidRDefault="00000000">
      <w:pPr>
        <w:spacing w:after="60"/>
        <w:ind w:firstLine="360"/>
        <w:jc w:val="both"/>
      </w:pPr>
      <w:r>
        <w:rPr>
          <w:color w:val="1A1A1A"/>
        </w:rPr>
        <w:t>In the second, the shock scenario, the stress escalates into something systemic, and the mechanism is the one this book has traced through every crisis in its history. A severe, prolonged downturn arrives in the new high-rate regime, with no forty-year tailwind to lift asset values back. Default rates rise well beyond the benign experience of the growth era, and recoveries disappoint because the documentation written in the easy years proves as hollow as the skeptics feared and the collateral, much of it enterprise value rather than hard assets, evaporates in the stress. The semi-liquid vehicles face redemption requests that exceed their gates, forcing sales into a falling market that transmits the stress more broadly. The losses reach the insurers and through them the policyholders, and they travel up the bank funding lines to the regulated system that financed the funds. The interconnection that the cooperative era multiplied becomes the channel of contagion, exactly as the interconnection of 2008 did, and the regulatory response, written in the wreckage and overcorrecting for the specific failure, falls hard on the asset class. This is the scenario the optimists dismiss and the structure permits, and whether it materializes depends entirely on the quality of the discipline, the documentation, the diversification, the gates, the cushions, that the growth years either built or neglected.</w:t>
      </w:r>
    </w:p>
    <w:p w14:paraId="1AD39751" w14:textId="77777777" w:rsidR="007519C6" w:rsidRDefault="00000000">
      <w:pPr>
        <w:spacing w:after="60"/>
        <w:ind w:firstLine="360"/>
        <w:jc w:val="both"/>
      </w:pPr>
      <w:r>
        <w:rPr>
          <w:color w:val="1A1A1A"/>
        </w:rPr>
        <w:lastRenderedPageBreak/>
        <w:t>In the third, convergence, the boundary between private credit and the public markets dissolves entirely, and the mechanism is evolutionary rather than catastrophic. The secondary market reaches the depth at which a private credit loan becomes nearly as tradable as a syndicated one. The private credit CLO becomes the dominant funding vehicle, the insurance capital base deepens and globalizes, and the AI infrastructure buildout generates an entirely new category of large-scale project finance that sits at the intersection of private credit and infrastructure debt. Private credit in this scenario ceases to be a distinct asset class and becomes simply a point on the credit spectrum, distinguished from public credit by origination channel and liquidity rather than by anything fundamental, the same destination every credit market in this book's history eventually reached. The maturation that looks revolutionary from the present looks, in retrospect, like the ordinary process by which an opaque, illiquid, relationship-based market becomes a transparent, liquid, institutional one, exactly as the leveraged loan market did before it.</w:t>
      </w:r>
    </w:p>
    <w:p w14:paraId="4260B92B" w14:textId="77777777" w:rsidR="007519C6" w:rsidRDefault="00000000">
      <w:pPr>
        <w:spacing w:after="60"/>
        <w:ind w:firstLine="360"/>
        <w:jc w:val="both"/>
      </w:pPr>
      <w:r>
        <w:rPr>
          <w:color w:val="1A1A1A"/>
        </w:rPr>
        <w:t xml:space="preserve">The three scenarios are not equally likely, and their probabilities are genuinely unknown, but the right response to that uncertainty is not to bet everything on the most comfortable one. It is to build portfolios and structures that perform acceptably across all three, which is to say to maintain the discipline that protects against the shock scenario while participating in the maturation and convergence that the other two promise. The common themes across all three are worth naming, because they hold regardless of which path the market takes. The migration of credit from banks to non-banks is durable and will not reverse. The intersection of private credit, structured products, and insurance defines the system's architecture and its contagion channels. The supercycle has turned, and </w:t>
      </w:r>
      <w:r>
        <w:rPr>
          <w:color w:val="1A1A1A"/>
        </w:rPr>
        <w:lastRenderedPageBreak/>
        <w:t>the coming cycle will test structures built entirely in the previous one. And the difference between the managers who emerge stronger and those who do not will be, as it has been in every cycle this book has chronicled, the discipline they kept when the cycle made discipline expensive.</w:t>
      </w:r>
    </w:p>
    <w:p w14:paraId="13AC900C" w14:textId="77777777" w:rsidR="007519C6" w:rsidRDefault="00000000">
      <w:r>
        <w:br w:type="page"/>
      </w:r>
    </w:p>
    <w:p w14:paraId="5E1EE5A3" w14:textId="77777777" w:rsidR="007519C6" w:rsidRDefault="00000000">
      <w:pPr>
        <w:pStyle w:val="Heading1"/>
      </w:pPr>
      <w:r>
        <w:lastRenderedPageBreak/>
        <w:t>Chapter 36: What It Is All For</w:t>
      </w:r>
    </w:p>
    <w:p w14:paraId="625C90C7" w14:textId="77777777" w:rsidR="007519C6" w:rsidRDefault="00000000">
      <w:pPr>
        <w:spacing w:after="60"/>
        <w:jc w:val="both"/>
      </w:pPr>
      <w:r>
        <w:rPr>
          <w:color w:val="1A1A1A"/>
        </w:rPr>
        <w:t>A book about an asset class can spend so long inside the machinery, the structures and the spreads and the covenants and the stress tests, that it forgets to step back and ask the question a thoughtful person outside the industry would ask first. What is this for? Does it do any good? A trillion dollars of cleverness in the service of nothing but its own returns would be a poor thing to have spent a career on, and I do not think that is what private credit is, though I understand why someone watching from a distance might wonder. So let me close by stepping out of the machinery and trying to answer honestly, neither as a salesman for the industry nor as its critic, the question of what all of this is actually for, what it does well, where it falls short, and what it owes the wider world that has entrusted so much of its savings to it.</w:t>
      </w:r>
    </w:p>
    <w:p w14:paraId="142B1815" w14:textId="77777777" w:rsidR="007519C6" w:rsidRDefault="00000000">
      <w:pPr>
        <w:pStyle w:val="Heading2"/>
      </w:pPr>
      <w:r>
        <w:rPr>
          <w:color w:val="2E2E2E"/>
        </w:rPr>
        <w:t>The Case for the Good It Does</w:t>
      </w:r>
    </w:p>
    <w:p w14:paraId="5447A5C9" w14:textId="77777777" w:rsidR="007519C6" w:rsidRDefault="00000000">
      <w:pPr>
        <w:spacing w:after="60"/>
        <w:ind w:firstLine="360"/>
        <w:jc w:val="both"/>
      </w:pPr>
      <w:r>
        <w:rPr>
          <w:color w:val="1A1A1A"/>
        </w:rPr>
        <w:t xml:space="preserve">Start with the strongest version of the case, because it is genuinely strong. The companies that private credit lends to are real. They are the manufacturers and distributors and service businesses and healthcare providers that form the operational middle of the economy, the firms too large for a small-business loan and too small for the bond market, employing real people and making real things. When the banks pulled back from lending to them after the crisis, those companies did not stop needing capital, and a financial system that could not supply it would have starved a productive part of the economy of the credit it needed to grow, hire, and invest. Private credit stepped into that gap. Whatever else it is, it is a mechanism for moving capital to companies that need it and can </w:t>
      </w:r>
      <w:r>
        <w:rPr>
          <w:color w:val="1A1A1A"/>
        </w:rPr>
        <w:lastRenderedPageBreak/>
        <w:t>use it, and that is not a trivial social function. It is close to the core of what finance is supposed to do.</w:t>
      </w:r>
    </w:p>
    <w:p w14:paraId="5BAFE6C9" w14:textId="77777777" w:rsidR="007519C6" w:rsidRDefault="00000000">
      <w:pPr>
        <w:spacing w:after="60"/>
        <w:ind w:firstLine="360"/>
        <w:jc w:val="both"/>
      </w:pPr>
      <w:r>
        <w:rPr>
          <w:color w:val="1A1A1A"/>
        </w:rPr>
        <w:t>There is a second, subtler benefit, and it is one this book has circled throughout. Private credit takes the long-term savings of society, the pension contributions and the insurance premiums and the endowment capital that must be invested for decades to meet obligations that come due over decades, and it matches that patient money to patient, productive lending. A pension fund's obligation to pay a retiree in thirty years is well served by a long-term loan to a productive company, and private credit is, at its best, the intermediary that connects the two, the saver's distant need met by the borrower's present one. And it does this, increasingly, by moving credit risk out of the leveraged, deposit-funded, runnable banking system and into patient, equity-funded vehicles that cannot easily be forced into a fire sale. There is a real argument, which this book has taken seriously, that this migration has made the financial system more stable, that private credit is a shock absorber, holding illiquid assets in patient hands that can ride out a storm rather than in fragile hands that must sell into it. If that argument is right, and it may be, then private credit is not merely useful to the companies it funds. It is quietly good for the stability of the whole system.</w:t>
      </w:r>
    </w:p>
    <w:p w14:paraId="063593E6" w14:textId="77777777" w:rsidR="007519C6" w:rsidRDefault="00000000">
      <w:pPr>
        <w:pStyle w:val="Heading2"/>
      </w:pPr>
      <w:r>
        <w:rPr>
          <w:color w:val="2E2E2E"/>
        </w:rPr>
        <w:t>The Case for the Harm It Could Do</w:t>
      </w:r>
    </w:p>
    <w:p w14:paraId="5077A117" w14:textId="77777777" w:rsidR="007519C6" w:rsidRDefault="00000000">
      <w:pPr>
        <w:spacing w:after="60"/>
        <w:ind w:firstLine="360"/>
        <w:jc w:val="both"/>
      </w:pPr>
      <w:r>
        <w:rPr>
          <w:color w:val="1A1A1A"/>
        </w:rPr>
        <w:t xml:space="preserve">Now the other side, stated with equal honesty, because a fair accounting requires it. The same features that make private credit useful create real risks, and this book has spent many chapters on them. The opacity that protects the asset class from the daily theater of the public markets also hides the risk building within it, from investors, from regulators, and sometimes from the managers </w:t>
      </w:r>
      <w:r>
        <w:rPr>
          <w:color w:val="1A1A1A"/>
        </w:rPr>
        <w:lastRenderedPageBreak/>
        <w:t>themselves. The leverage that enhances returns, layered through funds and securitizations and insurance balance sheets, amplifies losses and creates channels through which trouble can spread. The expansion into retail, through the semi-liquid vehicles now under strain, sells an illiquid asset to investors who may not understand the illiquidity, wrapped in a liquidity promise that holds only until it is tested. The convergence with insurance extends the risk to policyholders who never chose it. The information asymmetry that rewards the largest players entrenches their advantage and resists the transparency that would serve everyone else. And the whole edifice has been built and scaled in a benign period and has not yet faced a severe, prolonged downturn at its current size, which means that the confidence in its soundness rests on models and analogies rather than on lived experience of the worst.</w:t>
      </w:r>
    </w:p>
    <w:p w14:paraId="186BD496" w14:textId="77777777" w:rsidR="007519C6" w:rsidRDefault="00000000">
      <w:pPr>
        <w:spacing w:after="60"/>
        <w:ind w:firstLine="360"/>
        <w:jc w:val="both"/>
      </w:pPr>
      <w:r>
        <w:rPr>
          <w:color w:val="1A1A1A"/>
        </w:rPr>
        <w:t>None of these risks means private credit is bad, any more than the risks of banking mean banking is bad. They mean it is powerful, and that powerful financial machinery does real harm when it is undisciplined, as the history this book has told demonstrates again and again. The junk bond market did genuine good and genuine damage. Securitization built the modern mortgage system and then nearly destroyed it. The same technology, in the same years, produced the CLO that survived and the CDO that failed. Private credit will be no different. It will do good when it is disciplined and harm when it is not, and the proportion between the two will be determined by exactly the things this book has argued matter. The honesty of the valuations, the soundness of the structures, the discipline of the underwriting, the alignment of the incentives, and the willingness of the industry to accept the transparency and the regulation that its growth and its social importance increasingly demand.</w:t>
      </w:r>
    </w:p>
    <w:p w14:paraId="7BC7412D" w14:textId="77777777" w:rsidR="007519C6" w:rsidRDefault="00000000">
      <w:pPr>
        <w:pStyle w:val="Heading2"/>
      </w:pPr>
      <w:r>
        <w:rPr>
          <w:color w:val="2E2E2E"/>
        </w:rPr>
        <w:lastRenderedPageBreak/>
        <w:t>Where It Must Improve</w:t>
      </w:r>
    </w:p>
    <w:p w14:paraId="261C4E84" w14:textId="77777777" w:rsidR="007519C6" w:rsidRDefault="00000000">
      <w:pPr>
        <w:spacing w:after="60"/>
        <w:ind w:firstLine="360"/>
        <w:jc w:val="both"/>
      </w:pPr>
      <w:r>
        <w:rPr>
          <w:color w:val="1A1A1A"/>
        </w:rPr>
        <w:t>If the asset class is to deserve the trust that society has placed in it, and the savings it now manages, it has work to do, and the work is not mysterious. It must become more transparent, not because regulators force it but because a market this large and this important cannot justify operating in the dark, and because the opacity that serves a few incumbents is paid for by everyone else. It must standardize, so that its risks can be measured and compared and its assets can eventually trade. It must fix its data problem, so that investors and regulators can actually see the asset class whole rather than in lagged fragments. It must be honest about liquidity, ending the practice of selling conditionally liquid products as though they were liquid, particularly to the retail investors least able to bear the surprise when the gates come down. It must align its incentives more honestly, reducing the conflicts that let managers mark their own books, set the prices in their own continuation deals, and benefit from the opacity they could dissolve. And it must accept that its size and its reach into ordinary people's savings have earned it a degree of scrutiny and regulation that a niche market could avoid, and that resisting all oversight is neither wise nor, in the end, possible. The asset class that does these things will be more durable, more trusted, and more genuinely useful than the one that exists today. The asset class that refuses them is building, in its opacity and its leverage and its untested confidence, the conditions for exactly the crisis that would force all of these reforms upon it at once, in the worst possible circumstances, written in the wreckage as such reforms always are.</w:t>
      </w:r>
    </w:p>
    <w:p w14:paraId="26FCD879" w14:textId="77777777" w:rsidR="007519C6" w:rsidRDefault="00000000">
      <w:pPr>
        <w:pStyle w:val="Heading2"/>
      </w:pPr>
      <w:r>
        <w:rPr>
          <w:color w:val="2E2E2E"/>
        </w:rPr>
        <w:t>The Question That Remains</w:t>
      </w:r>
    </w:p>
    <w:p w14:paraId="4D096E7A" w14:textId="77777777" w:rsidR="007519C6" w:rsidRDefault="00000000">
      <w:pPr>
        <w:spacing w:after="60"/>
        <w:ind w:firstLine="360"/>
        <w:jc w:val="both"/>
      </w:pPr>
      <w:r>
        <w:rPr>
          <w:color w:val="1A1A1A"/>
        </w:rPr>
        <w:lastRenderedPageBreak/>
        <w:t>Which brings me, at the end, to a question rather than an answer, because the honest end of a book about a market still being made is a question. This book has described private credit as it stands, a vast, intricate, fast-growing system that has migrated the business of lending out of the banks and into a new architecture of funds and securitizations and insurance balance sheets, and that has not yet been tested by the kind of severe, prolonged downturn that tested every market before it. The supercycle has turned. The conditions that nurtured the asset class are reversing. The first real test is no longer a hypothetical somewhere in the future. It is, quite possibly, already beginning. And so the question that hangs over everything written here is the one I cannot answer from where I sit today, because only the cycle can answer it. When the test comes, will the structures prove as sound as they looked when the capital was flowing freely, or will they reveal, as the structures of every previous cycle eventually revealed, the flaws that the good times concealed?</w:t>
      </w:r>
    </w:p>
    <w:p w14:paraId="7DE013F6" w14:textId="77777777" w:rsidR="007519C6" w:rsidRDefault="00000000">
      <w:pPr>
        <w:spacing w:after="60"/>
        <w:ind w:firstLine="360"/>
        <w:jc w:val="both"/>
      </w:pPr>
      <w:r>
        <w:rPr>
          <w:color w:val="1A1A1A"/>
        </w:rPr>
        <w:t xml:space="preserve">That question is the subject of the next book, because it cannot be written until the test has been run, and the test is being run now, in real time, in the markets I watch every day. What happens to the semi-liquid vehicles when the redemptions come in earnest. What the marks turn out to have been worth when the assets finally trade. Whether the interconnections transmit a contained stress into a systemic one, or whether the patient capital and the term funding hold, as their defenders promise, and prove that the architecture really did make the system safer. Whether the regulators move in time, or too late, or too hard. These are not questions of theory any longer. They are questions of fact, and the facts are arriving. I have spent a career learning to read the record of what came before and to compare it, honestly, against what is in front of me. The record of what </w:t>
      </w:r>
      <w:r>
        <w:rPr>
          <w:color w:val="1A1A1A"/>
        </w:rPr>
        <w:lastRenderedPageBreak/>
        <w:t>comes next is being written now, and I intend to keep reading it the only way I know how, at close range, with the respect for complexity and the skepticism about easy narratives that a career in these markets tends to produce.</w:t>
      </w:r>
    </w:p>
    <w:p w14:paraId="186AB5D0" w14:textId="77777777" w:rsidR="007519C6" w:rsidRDefault="00000000">
      <w:pPr>
        <w:spacing w:before="280" w:after="60"/>
        <w:jc w:val="center"/>
      </w:pPr>
      <w:r>
        <w:rPr>
          <w:color w:val="B9933E"/>
          <w:sz w:val="28"/>
          <w:szCs w:val="28"/>
        </w:rPr>
        <w:t>—</w:t>
      </w:r>
    </w:p>
    <w:p w14:paraId="50CDA056" w14:textId="77777777" w:rsidR="007519C6" w:rsidRDefault="00000000">
      <w:pPr>
        <w:spacing w:after="160"/>
        <w:ind w:left="200" w:right="200"/>
        <w:jc w:val="both"/>
      </w:pPr>
      <w:r>
        <w:rPr>
          <w:i/>
          <w:iCs/>
          <w:color w:val="33414F"/>
        </w:rPr>
        <w:t>The flour mill closed years ago, and the pension was cut, and the lathe operator kept working anyway, because that was the kind of man he was. His son went to night school, read a book about a trading floor on an actual trading floor, and watched the system nearly take itself apart from a desk an ocean away. None of it was planned. All of it was instructive. The markets are, in the end, a system built by people with incentives, some aligned with their clients and some not, some aligned with the long-term health of the thing and some not. Understanding those incentives, mapping them honestly against the structures that contain them, and keeping the discipline to say what you see rather than what you are paid to say. That is the work. It has not changed since a young man on a mortgage desk first decided to pool a thousand loans and sell the pieces. It will not change in whatever comes next.</w:t>
      </w:r>
    </w:p>
    <w:p w14:paraId="7B8CF0C9" w14:textId="77777777" w:rsidR="007519C6" w:rsidRDefault="00000000">
      <w:pPr>
        <w:spacing w:before="200" w:after="60"/>
        <w:jc w:val="center"/>
      </w:pPr>
      <w:r>
        <w:rPr>
          <w:i/>
          <w:iCs/>
          <w:color w:val="33414F"/>
          <w:sz w:val="22"/>
          <w:szCs w:val="22"/>
        </w:rPr>
        <w:t>Bring the record. Read it honestly. Let it inform what you do next.</w:t>
      </w:r>
    </w:p>
    <w:p w14:paraId="68FE3E49" w14:textId="77777777" w:rsidR="007519C6" w:rsidRDefault="00000000">
      <w:r>
        <w:br w:type="page"/>
      </w:r>
    </w:p>
    <w:p w14:paraId="7CA86CAE" w14:textId="77777777" w:rsidR="007519C6" w:rsidRDefault="00000000">
      <w:pPr>
        <w:pStyle w:val="Heading1"/>
      </w:pPr>
      <w:r>
        <w:lastRenderedPageBreak/>
        <w:t>Afterword</w:t>
      </w:r>
    </w:p>
    <w:p w14:paraId="645E3A35" w14:textId="77777777" w:rsidR="007519C6" w:rsidRDefault="00000000">
      <w:pPr>
        <w:spacing w:after="60"/>
        <w:jc w:val="both"/>
      </w:pPr>
      <w:r>
        <w:rPr>
          <w:color w:val="1A1A1A"/>
        </w:rPr>
        <w:t>Every chapter here has circled the same starting point, so let me gather the threads before I close. The whole of private credit, in all its scattered forms, grew out of one rupture and the long adjustment that followed.</w:t>
      </w:r>
    </w:p>
    <w:p w14:paraId="0DEBEBC8" w14:textId="77777777" w:rsidR="007519C6" w:rsidRDefault="00000000">
      <w:pPr>
        <w:spacing w:after="60"/>
        <w:ind w:firstLine="360"/>
        <w:jc w:val="both"/>
      </w:pPr>
      <w:r>
        <w:rPr>
          <w:color w:val="1A1A1A"/>
        </w:rPr>
        <w:t>The crisis of 2008 changed the rules the banks operate under and made some of their old business too costly to keep. Basel III raised the capital they must hold against credit risk. The Volcker Rule and the stress tests narrowed what they could do. Holding a leveraged loan to a middle-market company became an expensive use of a bank's balance sheet, and the rational response was to pull back from exactly that lending. The banks did not stop being banks. They stopped being the lender of first resort to the companies that form the operational middle of the economy, and that retreat opened a space whose size is still being measured. Into it came investors hunting for yield in a world where the central banks had compressed it nearly out of existence, and the asset managers who built the machinery to connect that capital to the borrowers the banks had left behind. What emerged was not a clever trade that would close when conditions normalized. It was a new piece of financial infrastructure, a parallel lending system that has already changed how credit reaches the real economy and will keep changing it for as long as the conditions that created it hold.</w:t>
      </w:r>
    </w:p>
    <w:p w14:paraId="2EC11A0B" w14:textId="77777777" w:rsidR="007519C6" w:rsidRDefault="00000000">
      <w:pPr>
        <w:pStyle w:val="Heading2"/>
      </w:pPr>
      <w:r>
        <w:rPr>
          <w:color w:val="2E2E2E"/>
        </w:rPr>
        <w:t>The Banks Moved Upstream</w:t>
      </w:r>
    </w:p>
    <w:p w14:paraId="4110EF4A" w14:textId="77777777" w:rsidR="007519C6" w:rsidRDefault="00000000">
      <w:pPr>
        <w:spacing w:after="60"/>
        <w:ind w:firstLine="360"/>
        <w:jc w:val="both"/>
      </w:pPr>
      <w:r>
        <w:rPr>
          <w:color w:val="1A1A1A"/>
        </w:rPr>
        <w:t xml:space="preserve">The part of this the insurgent story misses is that the banks found a second business inside the system that replaced the first. Holding the loan had become expensive. Financing the people who hold the loan had not. So the bank that no longer lends to the middle-market company now lends to the fund that does. It </w:t>
      </w:r>
      <w:r>
        <w:rPr>
          <w:color w:val="1A1A1A"/>
        </w:rPr>
        <w:lastRenderedPageBreak/>
        <w:t>provides the subscription line, secured by investors' unfunded commitments, that lets a fund draw capital before it calls its investors. It provides the NAV facility, secured by the value of the portfolio, that lets a fund borrow against what it already owns. It warehouses loans while a CLO is assembled around them. It extends revolving credit to business development companies. It holds the senior, highly rated CLO tranches on its own books. And through significant risk transfer it keeps the loans while selling the credit risk, and much of the capital charge, to a fund or an insurer paid to take it on.</w:t>
      </w:r>
    </w:p>
    <w:p w14:paraId="41B8B4D0" w14:textId="77777777" w:rsidR="007519C6" w:rsidRDefault="00000000">
      <w:pPr>
        <w:spacing w:after="60"/>
        <w:ind w:firstLine="360"/>
        <w:jc w:val="both"/>
      </w:pPr>
      <w:r>
        <w:rPr>
          <w:color w:val="1A1A1A"/>
        </w:rPr>
        <w:t>The players are familiar by now. On one side, the largest banks, back in the credit markets not as principals but as the upstream lenders that finance the apparatus. On the other, the managers that have grown into credit utilities, Apollo and Ares and Blackstone and KKR and Blue Owl among them, with the BDCs they sponsor and the insurers many of them now own. This upstream lending is among the faster-growing things the banks do, and it should keep growing through the short and medium term, because it lets a bank keep the client and the fee while placing the credit risk where the rules make it cheapest to hold. The two did not simply compete. They fused, joined at exactly the funding relationships this growth keeps multiplying, which is why a serious stress in one would not stay contained within it.</w:t>
      </w:r>
    </w:p>
    <w:p w14:paraId="65FD5B9D" w14:textId="77777777" w:rsidR="007519C6" w:rsidRDefault="00000000">
      <w:pPr>
        <w:pStyle w:val="Heading2"/>
      </w:pPr>
      <w:r>
        <w:rPr>
          <w:color w:val="2E2E2E"/>
        </w:rPr>
        <w:t>Where It Stands, and What Is Said About It</w:t>
      </w:r>
    </w:p>
    <w:p w14:paraId="43B07DE3" w14:textId="77777777" w:rsidR="007519C6" w:rsidRDefault="00000000">
      <w:pPr>
        <w:spacing w:after="60"/>
        <w:ind w:firstLine="360"/>
        <w:jc w:val="both"/>
      </w:pPr>
      <w:r>
        <w:rPr>
          <w:color w:val="1A1A1A"/>
        </w:rPr>
        <w:t xml:space="preserve">Trace it back and private credit started narrower than it has become. It began as senior secured lending to middle-market companies, the heir to the junk bond market and the securitization machine that came before it. From that core it spread into asset-based finance, real estate and infrastructure debt, fund finance, </w:t>
      </w:r>
      <w:r>
        <w:rPr>
          <w:color w:val="1A1A1A"/>
        </w:rPr>
        <w:lastRenderedPageBreak/>
        <w:t>distressed and specialty lending, until the single term now covers activities with little in common beyond being credit extended outside a bank. The market measures, depending on whose definition you take, somewhere around three and a half trillion dollars, and it is still growing. The insurance convergence, the movement of long-duration insurance money into the asset class through combinations like Apollo and Athene or KKR and Global Atlantic, has supplied much of the permanent capital behind that growth and reshaped what kind of credit gets funded.</w:t>
      </w:r>
    </w:p>
    <w:p w14:paraId="64DA3DDC" w14:textId="77777777" w:rsidR="007519C6" w:rsidRDefault="00000000">
      <w:pPr>
        <w:spacing w:after="60"/>
        <w:ind w:firstLine="360"/>
        <w:jc w:val="both"/>
      </w:pPr>
      <w:r>
        <w:rPr>
          <w:color w:val="1A1A1A"/>
        </w:rPr>
        <w:t>Size attracts scrutiny, and some of the criticism is fair. There has been aggressive underwriting in places. Leverage has been layered through funds and securitizations and insurance balance sheets until the borrowing stacked on a stream of business cash flows is higher than any single figure reveals. Ownership can be opaque enough that the ultimate holder of a risk is hard to find. When Jamie Dimon, after a couple of isolated failures in 2025, Tricolor and First Brands among them, warned that finding one cockroach usually means there are more, the remark landed because it named a worry the market had been circling. The honest reading sits between the alarm and the reassurance. Those failures look idiosyncratic and late in the cycle rather than systemic, but the asset class has not yet faced a severe, prolonged downturn at its current scale, in a rate regime nothing like the one it grew up in. Until it does, its soundness rests on models and analogies rather than on lived experience.</w:t>
      </w:r>
    </w:p>
    <w:p w14:paraId="23841D4E" w14:textId="77777777" w:rsidR="007519C6" w:rsidRDefault="00000000">
      <w:pPr>
        <w:spacing w:after="60"/>
        <w:ind w:firstLine="360"/>
        <w:jc w:val="both"/>
      </w:pPr>
      <w:r>
        <w:rPr>
          <w:color w:val="1A1A1A"/>
        </w:rPr>
        <w:t xml:space="preserve">Several things still need to develop, and none is mysterious. The asset class needs to standardize its documentation, fix its fragmented and lagging data, price its liquidity honestly instead of selling conditionally liquid products as though they were liquid, and bring real independence to the valuations and the </w:t>
      </w:r>
      <w:r>
        <w:rPr>
          <w:color w:val="1A1A1A"/>
        </w:rPr>
        <w:lastRenderedPageBreak/>
        <w:t>prices managers set in their own deals. A genuine secondary market would do much of that work itself, and one is slowly forming, along the same arc high yield walked in the 1990s and leveraged loans in the 2000s. The tranching is furthest along, through the private credit CLO. Trading in fund interests is forming, at discounts tight enough to suggest the marks are roughly believed. Loan-level trading is still thin. The standardized, collateral-backed corners, asset-based finance most of all, will trade sooner than the bespoke ones, while the loose and idiosyncratic positions stay illiquid longest. The fastest growth over the next several years is likely to come not from the corporate-lending core but from around it, from asset-based finance, from the infrastructure and digital lending behind the AI build, and from real estate debt as the banks vacate it and a wall of maturities forces refinancing into non-bank hands.</w:t>
      </w:r>
    </w:p>
    <w:p w14:paraId="1E6500E5" w14:textId="77777777" w:rsidR="007519C6" w:rsidRDefault="00000000">
      <w:pPr>
        <w:pStyle w:val="Heading2"/>
      </w:pPr>
      <w:r>
        <w:rPr>
          <w:color w:val="2E2E2E"/>
        </w:rPr>
        <w:t>On the Term Itself</w:t>
      </w:r>
    </w:p>
    <w:p w14:paraId="23E01694" w14:textId="77777777" w:rsidR="007519C6" w:rsidRDefault="00000000">
      <w:pPr>
        <w:spacing w:after="60"/>
        <w:ind w:firstLine="360"/>
        <w:jc w:val="both"/>
      </w:pPr>
      <w:r>
        <w:rPr>
          <w:color w:val="1A1A1A"/>
        </w:rPr>
        <w:t>Which brings me back to the word, and to why this book exists. Private credit is used loosely, often to mean whatever the speaker happens to be selling, and the looseness hides more than it reveals. It files a senior secured loan to a profitable manufacturer alongside a NAV facility, a music-royalty deal, a slice of a middle-market CLO, and an annuity reinsured offshore and invested in illiquid credit, as though these were one thing. They are not. This book has tried to frame the term honestly, to describe the sectors within private credit and tell them apart, to untangle private credit from the structured products it is so often confused with and so often built upon, and to introduce the structures, the players, and the history that produced all of it. It is an introduction, not a final word, because the subject does not yet have one.</w:t>
      </w:r>
    </w:p>
    <w:p w14:paraId="66CEE6E2" w14:textId="77777777" w:rsidR="007519C6" w:rsidRDefault="00000000">
      <w:pPr>
        <w:spacing w:after="60"/>
        <w:ind w:firstLine="360"/>
        <w:jc w:val="both"/>
      </w:pPr>
      <w:r>
        <w:rPr>
          <w:color w:val="1A1A1A"/>
        </w:rPr>
        <w:lastRenderedPageBreak/>
        <w:t>A last thing, and I mean it plainly. This is a first attempt at painting a picture of something still being made, and the frame will change as the thing it describes changes. If you read something here that wants more explanation, or more nuance, or that you think I have simply gotten wrong, please reach out. I would rather be corrected than comfortable, and a framework like this one gets better only when the people who work in these markets push back on it. You can reach me at [EMAIL PLACEHOLDER]. I look forward to hearing from you.</w:t>
      </w:r>
    </w:p>
    <w:p w14:paraId="2A7C5201" w14:textId="77777777" w:rsidR="007519C6" w:rsidRDefault="00000000">
      <w:r>
        <w:br w:type="page"/>
      </w:r>
    </w:p>
    <w:p w14:paraId="7E62CB66" w14:textId="77777777" w:rsidR="007519C6" w:rsidRDefault="00000000">
      <w:pPr>
        <w:pStyle w:val="Heading1"/>
      </w:pPr>
      <w:r>
        <w:lastRenderedPageBreak/>
        <w:t>Appendix: Reference Data</w:t>
      </w:r>
    </w:p>
    <w:p w14:paraId="2F21FC7F" w14:textId="77777777" w:rsidR="007519C6" w:rsidRDefault="00000000">
      <w:pPr>
        <w:pStyle w:val="Heading2"/>
      </w:pPr>
      <w:r>
        <w:rPr>
          <w:color w:val="2E2E2E"/>
        </w:rPr>
        <w:t>The Growth of the Market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31"/>
        <w:gridCol w:w="2720"/>
        <w:gridCol w:w="2747"/>
      </w:tblGrid>
      <w:tr w:rsidR="007519C6" w14:paraId="1BA4260E" w14:textId="77777777">
        <w:tblPrEx>
          <w:tblCellMar>
            <w:top w:w="0" w:type="dxa"/>
            <w:bottom w:w="0" w:type="dxa"/>
          </w:tblCellMar>
        </w:tblPrEx>
        <w:trPr>
          <w:tblHeader/>
        </w:trPr>
        <w:tc>
          <w:tcPr>
            <w:tcW w:w="31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45E0521A" w14:textId="77777777" w:rsidR="007519C6" w:rsidRDefault="00000000">
            <w:r>
              <w:rPr>
                <w:b/>
                <w:bCs/>
                <w:color w:val="FFFFFF"/>
                <w:sz w:val="20"/>
                <w:szCs w:val="20"/>
              </w:rPr>
              <w:t>Year</w:t>
            </w:r>
          </w:p>
        </w:tc>
        <w:tc>
          <w:tcPr>
            <w:tcW w:w="31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49BA919A" w14:textId="77777777" w:rsidR="007519C6" w:rsidRDefault="00000000">
            <w:r>
              <w:rPr>
                <w:b/>
                <w:bCs/>
                <w:color w:val="FFFFFF"/>
                <w:sz w:val="20"/>
                <w:szCs w:val="20"/>
              </w:rPr>
              <w:t>AUM (approx.)</w:t>
            </w:r>
          </w:p>
        </w:tc>
        <w:tc>
          <w:tcPr>
            <w:tcW w:w="31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157098D7" w14:textId="77777777" w:rsidR="007519C6" w:rsidRDefault="00000000">
            <w:r>
              <w:rPr>
                <w:b/>
                <w:bCs/>
                <w:color w:val="FFFFFF"/>
                <w:sz w:val="20"/>
                <w:szCs w:val="20"/>
              </w:rPr>
              <w:t>Era</w:t>
            </w:r>
          </w:p>
        </w:tc>
      </w:tr>
      <w:tr w:rsidR="007519C6" w14:paraId="4B822886" w14:textId="77777777">
        <w:tblPrEx>
          <w:tblCellMar>
            <w:top w:w="0" w:type="dxa"/>
            <w:bottom w:w="0" w:type="dxa"/>
          </w:tblCellMar>
        </w:tblPrEx>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354B889" w14:textId="77777777" w:rsidR="007519C6" w:rsidRDefault="00000000">
            <w:r>
              <w:rPr>
                <w:b/>
                <w:bCs/>
                <w:color w:val="1A1A1A"/>
                <w:sz w:val="20"/>
                <w:szCs w:val="20"/>
              </w:rPr>
              <w:t>2008</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4382441" w14:textId="77777777" w:rsidR="007519C6" w:rsidRDefault="00000000">
            <w:r>
              <w:rPr>
                <w:color w:val="1A1A1A"/>
                <w:sz w:val="20"/>
                <w:szCs w:val="20"/>
              </w:rPr>
              <w:t>$0.375 trillion</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8D3AC34" w14:textId="77777777" w:rsidR="007519C6" w:rsidRDefault="00000000">
            <w:r>
              <w:rPr>
                <w:color w:val="1A1A1A"/>
                <w:sz w:val="20"/>
                <w:szCs w:val="20"/>
              </w:rPr>
              <w:t>Post-crisis vacuum</w:t>
            </w:r>
          </w:p>
        </w:tc>
      </w:tr>
      <w:tr w:rsidR="007519C6" w14:paraId="4EF3C2BE" w14:textId="77777777">
        <w:tblPrEx>
          <w:tblCellMar>
            <w:top w:w="0" w:type="dxa"/>
            <w:bottom w:w="0" w:type="dxa"/>
          </w:tblCellMar>
        </w:tblPrEx>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B596A27" w14:textId="77777777" w:rsidR="007519C6" w:rsidRDefault="00000000">
            <w:r>
              <w:rPr>
                <w:b/>
                <w:bCs/>
                <w:color w:val="1A1A1A"/>
                <w:sz w:val="20"/>
                <w:szCs w:val="20"/>
              </w:rPr>
              <w:t>2015</w:t>
            </w:r>
          </w:p>
        </w:tc>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04A5355" w14:textId="77777777" w:rsidR="007519C6" w:rsidRDefault="00000000">
            <w:r>
              <w:rPr>
                <w:color w:val="1A1A1A"/>
                <w:sz w:val="20"/>
                <w:szCs w:val="20"/>
              </w:rPr>
              <w:t>$0.75 trillion</w:t>
            </w:r>
          </w:p>
        </w:tc>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E6B8C58" w14:textId="77777777" w:rsidR="007519C6" w:rsidRDefault="00000000">
            <w:r>
              <w:rPr>
                <w:color w:val="1A1A1A"/>
                <w:sz w:val="20"/>
                <w:szCs w:val="20"/>
              </w:rPr>
              <w:t>Institutional adoption</w:t>
            </w:r>
          </w:p>
        </w:tc>
      </w:tr>
      <w:tr w:rsidR="007519C6" w14:paraId="22425CE0" w14:textId="77777777">
        <w:tblPrEx>
          <w:tblCellMar>
            <w:top w:w="0" w:type="dxa"/>
            <w:bottom w:w="0" w:type="dxa"/>
          </w:tblCellMar>
        </w:tblPrEx>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882C464" w14:textId="77777777" w:rsidR="007519C6" w:rsidRDefault="00000000">
            <w:r>
              <w:rPr>
                <w:b/>
                <w:bCs/>
                <w:color w:val="1A1A1A"/>
                <w:sz w:val="20"/>
                <w:szCs w:val="20"/>
              </w:rPr>
              <w:t>2020</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BB53A92" w14:textId="77777777" w:rsidR="007519C6" w:rsidRDefault="00000000">
            <w:r>
              <w:rPr>
                <w:color w:val="1A1A1A"/>
                <w:sz w:val="20"/>
                <w:szCs w:val="20"/>
              </w:rPr>
              <w:t>$1.2 trillion</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294D1D4" w14:textId="77777777" w:rsidR="007519C6" w:rsidRDefault="00000000">
            <w:r>
              <w:rPr>
                <w:color w:val="1A1A1A"/>
                <w:sz w:val="20"/>
                <w:szCs w:val="20"/>
              </w:rPr>
              <w:t>Pandemic stress test</w:t>
            </w:r>
          </w:p>
        </w:tc>
      </w:tr>
      <w:tr w:rsidR="007519C6" w14:paraId="524F1990" w14:textId="77777777">
        <w:tblPrEx>
          <w:tblCellMar>
            <w:top w:w="0" w:type="dxa"/>
            <w:bottom w:w="0" w:type="dxa"/>
          </w:tblCellMar>
        </w:tblPrEx>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6F1D351" w14:textId="77777777" w:rsidR="007519C6" w:rsidRDefault="00000000">
            <w:r>
              <w:rPr>
                <w:b/>
                <w:bCs/>
                <w:color w:val="1A1A1A"/>
                <w:sz w:val="20"/>
                <w:szCs w:val="20"/>
              </w:rPr>
              <w:t>2023</w:t>
            </w:r>
          </w:p>
        </w:tc>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644C861" w14:textId="77777777" w:rsidR="007519C6" w:rsidRDefault="00000000">
            <w:r>
              <w:rPr>
                <w:color w:val="1A1A1A"/>
                <w:sz w:val="20"/>
                <w:szCs w:val="20"/>
              </w:rPr>
              <w:t>$3.0 trillion</w:t>
            </w:r>
          </w:p>
        </w:tc>
        <w:tc>
          <w:tcPr>
            <w:tcW w:w="31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7C81809" w14:textId="77777777" w:rsidR="007519C6" w:rsidRDefault="00000000">
            <w:r>
              <w:rPr>
                <w:color w:val="1A1A1A"/>
                <w:sz w:val="20"/>
                <w:szCs w:val="20"/>
              </w:rPr>
              <w:t>Rate-cycle tailwind</w:t>
            </w:r>
          </w:p>
        </w:tc>
      </w:tr>
      <w:tr w:rsidR="007519C6" w14:paraId="35B06D8A" w14:textId="77777777">
        <w:tblPrEx>
          <w:tblCellMar>
            <w:top w:w="0" w:type="dxa"/>
            <w:bottom w:w="0" w:type="dxa"/>
          </w:tblCellMar>
        </w:tblPrEx>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F9492BD" w14:textId="77777777" w:rsidR="007519C6" w:rsidRDefault="00000000">
            <w:r>
              <w:rPr>
                <w:b/>
                <w:bCs/>
                <w:color w:val="1A1A1A"/>
                <w:sz w:val="20"/>
                <w:szCs w:val="20"/>
              </w:rPr>
              <w:t>2024</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1CE25F1" w14:textId="77777777" w:rsidR="007519C6" w:rsidRDefault="00000000">
            <w:r>
              <w:rPr>
                <w:color w:val="1A1A1A"/>
                <w:sz w:val="20"/>
                <w:szCs w:val="20"/>
              </w:rPr>
              <w:t>$3.5 trillion</w:t>
            </w:r>
          </w:p>
        </w:tc>
        <w:tc>
          <w:tcPr>
            <w:tcW w:w="31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C925AC1" w14:textId="77777777" w:rsidR="007519C6" w:rsidRDefault="00000000">
            <w:r>
              <w:rPr>
                <w:color w:val="1A1A1A"/>
                <w:sz w:val="20"/>
                <w:szCs w:val="20"/>
              </w:rPr>
              <w:t>Mainstream allocation</w:t>
            </w:r>
          </w:p>
        </w:tc>
      </w:tr>
    </w:tbl>
    <w:p w14:paraId="4C670F4A" w14:textId="77777777" w:rsidR="007519C6" w:rsidRDefault="00000000">
      <w:pPr>
        <w:spacing w:before="80" w:after="200"/>
      </w:pPr>
      <w:r>
        <w:rPr>
          <w:i/>
          <w:iCs/>
          <w:color w:val="5A5A5A"/>
          <w:sz w:val="18"/>
          <w:szCs w:val="18"/>
        </w:rPr>
        <w:t>Figure A.1  Approximate global private credit assets under management. The recent figures use the broad, all-strategies definition reported by the Alternative Credit Council, which counts corporate, asset-based, real estate, and infrastructure credit and put the market near three and a half trillion dollars at the end of 2024. On Preqin's narrower fund-level measure the 2024 figure is closer to two trillion dollars. The earlier years draw on narrower historical series, so the long-run growth rate shown here is only approximate. Figures vary by source and definition.</w:t>
      </w:r>
    </w:p>
    <w:p w14:paraId="28C260A7" w14:textId="77777777" w:rsidR="007519C6" w:rsidRDefault="007519C6">
      <w:pPr>
        <w:spacing w:after="120"/>
      </w:pPr>
    </w:p>
    <w:p w14:paraId="4402A72E" w14:textId="77777777" w:rsidR="007519C6" w:rsidRDefault="00000000">
      <w:pPr>
        <w:pStyle w:val="Heading2"/>
      </w:pPr>
      <w:r>
        <w:rPr>
          <w:color w:val="2E2E2E"/>
        </w:rPr>
        <w:t>The Largest Managers, by Recent Capital Raised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58"/>
        <w:gridCol w:w="2887"/>
        <w:gridCol w:w="1949"/>
        <w:gridCol w:w="2604"/>
      </w:tblGrid>
      <w:tr w:rsidR="007519C6" w14:paraId="1C9F4EFB" w14:textId="77777777">
        <w:tblPrEx>
          <w:tblCellMar>
            <w:top w:w="0" w:type="dxa"/>
            <w:bottom w:w="0" w:type="dxa"/>
          </w:tblCellMar>
        </w:tblPrEx>
        <w:trPr>
          <w:tblHeader/>
        </w:trPr>
        <w:tc>
          <w:tcPr>
            <w:tcW w:w="72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34D4789D" w14:textId="77777777" w:rsidR="007519C6" w:rsidRDefault="00000000">
            <w:r>
              <w:rPr>
                <w:b/>
                <w:bCs/>
                <w:color w:val="FFFFFF"/>
                <w:sz w:val="20"/>
                <w:szCs w:val="20"/>
              </w:rPr>
              <w:t>#</w:t>
            </w:r>
          </w:p>
        </w:tc>
        <w:tc>
          <w:tcPr>
            <w:tcW w:w="336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5623DDE6" w14:textId="77777777" w:rsidR="007519C6" w:rsidRDefault="00000000">
            <w:r>
              <w:rPr>
                <w:b/>
                <w:bCs/>
                <w:color w:val="FFFFFF"/>
                <w:sz w:val="20"/>
                <w:szCs w:val="20"/>
              </w:rPr>
              <w:t>Manager</w:t>
            </w:r>
          </w:p>
        </w:tc>
        <w:tc>
          <w:tcPr>
            <w:tcW w:w="228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3904A99B" w14:textId="77777777" w:rsidR="007519C6" w:rsidRDefault="00000000">
            <w:r>
              <w:rPr>
                <w:b/>
                <w:bCs/>
                <w:color w:val="FFFFFF"/>
                <w:sz w:val="20"/>
                <w:szCs w:val="20"/>
              </w:rPr>
              <w:t>Five-Year Raise</w:t>
            </w:r>
          </w:p>
        </w:tc>
        <w:tc>
          <w:tcPr>
            <w:tcW w:w="300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02EB6C1D" w14:textId="77777777" w:rsidR="007519C6" w:rsidRDefault="00000000">
            <w:r>
              <w:rPr>
                <w:b/>
                <w:bCs/>
                <w:color w:val="FFFFFF"/>
                <w:sz w:val="20"/>
                <w:szCs w:val="20"/>
              </w:rPr>
              <w:t>Base</w:t>
            </w:r>
          </w:p>
        </w:tc>
      </w:tr>
      <w:tr w:rsidR="007519C6" w14:paraId="4C685054"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6A5C0BD" w14:textId="77777777" w:rsidR="007519C6" w:rsidRDefault="00000000">
            <w:r>
              <w:rPr>
                <w:b/>
                <w:bCs/>
                <w:color w:val="1A1A1A"/>
                <w:sz w:val="20"/>
                <w:szCs w:val="20"/>
              </w:rPr>
              <w:t>1</w:t>
            </w:r>
          </w:p>
        </w:tc>
        <w:tc>
          <w:tcPr>
            <w:tcW w:w="3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FDFDD10" w14:textId="77777777" w:rsidR="007519C6" w:rsidRDefault="00000000">
            <w:r>
              <w:rPr>
                <w:color w:val="1A1A1A"/>
                <w:sz w:val="20"/>
                <w:szCs w:val="20"/>
              </w:rPr>
              <w:t>Ares Management</w:t>
            </w:r>
          </w:p>
        </w:tc>
        <w:tc>
          <w:tcPr>
            <w:tcW w:w="22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A3096D1" w14:textId="77777777" w:rsidR="007519C6" w:rsidRDefault="00000000">
            <w:r>
              <w:rPr>
                <w:color w:val="1A1A1A"/>
                <w:sz w:val="20"/>
                <w:szCs w:val="20"/>
              </w:rPr>
              <w:t>~$116B</w:t>
            </w:r>
          </w:p>
        </w:tc>
        <w:tc>
          <w:tcPr>
            <w:tcW w:w="30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51687E7" w14:textId="77777777" w:rsidR="007519C6" w:rsidRDefault="00000000">
            <w:r>
              <w:rPr>
                <w:color w:val="1A1A1A"/>
                <w:sz w:val="20"/>
                <w:szCs w:val="20"/>
              </w:rPr>
              <w:t>Los Angeles</w:t>
            </w:r>
          </w:p>
        </w:tc>
      </w:tr>
      <w:tr w:rsidR="007519C6" w14:paraId="272C7672"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8DE952F" w14:textId="77777777" w:rsidR="007519C6" w:rsidRDefault="00000000">
            <w:r>
              <w:rPr>
                <w:b/>
                <w:bCs/>
                <w:color w:val="1A1A1A"/>
                <w:sz w:val="20"/>
                <w:szCs w:val="20"/>
              </w:rPr>
              <w:t>2</w:t>
            </w:r>
          </w:p>
        </w:tc>
        <w:tc>
          <w:tcPr>
            <w:tcW w:w="3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E0E10C6" w14:textId="77777777" w:rsidR="007519C6" w:rsidRDefault="00000000">
            <w:r>
              <w:rPr>
                <w:color w:val="1A1A1A"/>
                <w:sz w:val="20"/>
                <w:szCs w:val="20"/>
              </w:rPr>
              <w:t>HPS Investment Partners</w:t>
            </w:r>
          </w:p>
        </w:tc>
        <w:tc>
          <w:tcPr>
            <w:tcW w:w="22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CA680EE" w14:textId="77777777" w:rsidR="007519C6" w:rsidRDefault="00000000">
            <w:r>
              <w:rPr>
                <w:color w:val="1A1A1A"/>
                <w:sz w:val="20"/>
                <w:szCs w:val="20"/>
              </w:rPr>
              <w:t>~$101B</w:t>
            </w:r>
          </w:p>
        </w:tc>
        <w:tc>
          <w:tcPr>
            <w:tcW w:w="30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AACEDD3" w14:textId="77777777" w:rsidR="007519C6" w:rsidRDefault="00000000">
            <w:r>
              <w:rPr>
                <w:color w:val="1A1A1A"/>
                <w:sz w:val="20"/>
                <w:szCs w:val="20"/>
              </w:rPr>
              <w:t>New York</w:t>
            </w:r>
          </w:p>
        </w:tc>
      </w:tr>
      <w:tr w:rsidR="007519C6" w14:paraId="25E6E0EE"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FC8AF21" w14:textId="77777777" w:rsidR="007519C6" w:rsidRDefault="00000000">
            <w:r>
              <w:rPr>
                <w:b/>
                <w:bCs/>
                <w:color w:val="1A1A1A"/>
                <w:sz w:val="20"/>
                <w:szCs w:val="20"/>
              </w:rPr>
              <w:t>3</w:t>
            </w:r>
          </w:p>
        </w:tc>
        <w:tc>
          <w:tcPr>
            <w:tcW w:w="3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0F37C47" w14:textId="77777777" w:rsidR="007519C6" w:rsidRDefault="00000000">
            <w:r>
              <w:rPr>
                <w:color w:val="1A1A1A"/>
                <w:sz w:val="20"/>
                <w:szCs w:val="20"/>
              </w:rPr>
              <w:t>Blackstone Credit &amp; Insurance</w:t>
            </w:r>
          </w:p>
        </w:tc>
        <w:tc>
          <w:tcPr>
            <w:tcW w:w="22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7F369DD" w14:textId="77777777" w:rsidR="007519C6" w:rsidRDefault="00000000">
            <w:r>
              <w:rPr>
                <w:color w:val="1A1A1A"/>
                <w:sz w:val="20"/>
                <w:szCs w:val="20"/>
              </w:rPr>
              <w:t>~$98B</w:t>
            </w:r>
          </w:p>
        </w:tc>
        <w:tc>
          <w:tcPr>
            <w:tcW w:w="30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7031145B" w14:textId="77777777" w:rsidR="007519C6" w:rsidRDefault="00000000">
            <w:r>
              <w:rPr>
                <w:color w:val="1A1A1A"/>
                <w:sz w:val="20"/>
                <w:szCs w:val="20"/>
              </w:rPr>
              <w:t>New York</w:t>
            </w:r>
          </w:p>
        </w:tc>
      </w:tr>
      <w:tr w:rsidR="007519C6" w14:paraId="5CAF6F7D"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54FE20E" w14:textId="77777777" w:rsidR="007519C6" w:rsidRDefault="00000000">
            <w:r>
              <w:rPr>
                <w:b/>
                <w:bCs/>
                <w:color w:val="1A1A1A"/>
                <w:sz w:val="20"/>
                <w:szCs w:val="20"/>
              </w:rPr>
              <w:t>4</w:t>
            </w:r>
          </w:p>
        </w:tc>
        <w:tc>
          <w:tcPr>
            <w:tcW w:w="3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49FF387" w14:textId="77777777" w:rsidR="007519C6" w:rsidRDefault="00000000">
            <w:r>
              <w:rPr>
                <w:color w:val="1A1A1A"/>
                <w:sz w:val="20"/>
                <w:szCs w:val="20"/>
              </w:rPr>
              <w:t>Goldman Sachs Asset Mgmt.</w:t>
            </w:r>
          </w:p>
        </w:tc>
        <w:tc>
          <w:tcPr>
            <w:tcW w:w="22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74E3D9D" w14:textId="77777777" w:rsidR="007519C6" w:rsidRDefault="00000000">
            <w:r>
              <w:rPr>
                <w:color w:val="1A1A1A"/>
                <w:sz w:val="20"/>
                <w:szCs w:val="20"/>
              </w:rPr>
              <w:t>~$88B</w:t>
            </w:r>
          </w:p>
        </w:tc>
        <w:tc>
          <w:tcPr>
            <w:tcW w:w="30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F9E7305" w14:textId="77777777" w:rsidR="007519C6" w:rsidRDefault="00000000">
            <w:r>
              <w:rPr>
                <w:color w:val="1A1A1A"/>
                <w:sz w:val="20"/>
                <w:szCs w:val="20"/>
              </w:rPr>
              <w:t>New York</w:t>
            </w:r>
          </w:p>
        </w:tc>
      </w:tr>
      <w:tr w:rsidR="007519C6" w14:paraId="4FFB9003"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1550519" w14:textId="77777777" w:rsidR="007519C6" w:rsidRDefault="00000000">
            <w:r>
              <w:rPr>
                <w:b/>
                <w:bCs/>
                <w:color w:val="1A1A1A"/>
                <w:sz w:val="20"/>
                <w:szCs w:val="20"/>
              </w:rPr>
              <w:t>5</w:t>
            </w:r>
          </w:p>
        </w:tc>
        <w:tc>
          <w:tcPr>
            <w:tcW w:w="3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5B15F22" w14:textId="77777777" w:rsidR="007519C6" w:rsidRDefault="00000000">
            <w:r>
              <w:rPr>
                <w:color w:val="1A1A1A"/>
                <w:sz w:val="20"/>
                <w:szCs w:val="20"/>
              </w:rPr>
              <w:t>AXA IM Alts</w:t>
            </w:r>
          </w:p>
        </w:tc>
        <w:tc>
          <w:tcPr>
            <w:tcW w:w="22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09B6708" w14:textId="77777777" w:rsidR="007519C6" w:rsidRDefault="00000000">
            <w:r>
              <w:rPr>
                <w:color w:val="1A1A1A"/>
                <w:sz w:val="20"/>
                <w:szCs w:val="20"/>
              </w:rPr>
              <w:t>~$57B</w:t>
            </w:r>
          </w:p>
        </w:tc>
        <w:tc>
          <w:tcPr>
            <w:tcW w:w="30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4CC62EB" w14:textId="77777777" w:rsidR="007519C6" w:rsidRDefault="00000000">
            <w:r>
              <w:rPr>
                <w:color w:val="1A1A1A"/>
                <w:sz w:val="20"/>
                <w:szCs w:val="20"/>
              </w:rPr>
              <w:t>Paris</w:t>
            </w:r>
          </w:p>
        </w:tc>
      </w:tr>
      <w:tr w:rsidR="007519C6" w14:paraId="28800B40"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0D0973D" w14:textId="77777777" w:rsidR="007519C6" w:rsidRDefault="00000000">
            <w:r>
              <w:rPr>
                <w:b/>
                <w:bCs/>
                <w:color w:val="1A1A1A"/>
                <w:sz w:val="20"/>
                <w:szCs w:val="20"/>
              </w:rPr>
              <w:lastRenderedPageBreak/>
              <w:t>6</w:t>
            </w:r>
          </w:p>
        </w:tc>
        <w:tc>
          <w:tcPr>
            <w:tcW w:w="3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D46B1F6" w14:textId="77777777" w:rsidR="007519C6" w:rsidRDefault="00000000">
            <w:r>
              <w:rPr>
                <w:color w:val="1A1A1A"/>
                <w:sz w:val="20"/>
                <w:szCs w:val="20"/>
              </w:rPr>
              <w:t>Intermediate Capital Group</w:t>
            </w:r>
          </w:p>
        </w:tc>
        <w:tc>
          <w:tcPr>
            <w:tcW w:w="22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C260A0C" w14:textId="77777777" w:rsidR="007519C6" w:rsidRDefault="00000000">
            <w:r>
              <w:rPr>
                <w:color w:val="1A1A1A"/>
                <w:sz w:val="20"/>
                <w:szCs w:val="20"/>
              </w:rPr>
              <w:t>~$56B</w:t>
            </w:r>
          </w:p>
        </w:tc>
        <w:tc>
          <w:tcPr>
            <w:tcW w:w="30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A5C784D" w14:textId="77777777" w:rsidR="007519C6" w:rsidRDefault="00000000">
            <w:r>
              <w:rPr>
                <w:color w:val="1A1A1A"/>
                <w:sz w:val="20"/>
                <w:szCs w:val="20"/>
              </w:rPr>
              <w:t>London</w:t>
            </w:r>
          </w:p>
        </w:tc>
      </w:tr>
      <w:tr w:rsidR="007519C6" w14:paraId="126EAB4C"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33C5198" w14:textId="77777777" w:rsidR="007519C6" w:rsidRDefault="00000000">
            <w:r>
              <w:rPr>
                <w:b/>
                <w:bCs/>
                <w:color w:val="1A1A1A"/>
                <w:sz w:val="20"/>
                <w:szCs w:val="20"/>
              </w:rPr>
              <w:t>7</w:t>
            </w:r>
          </w:p>
        </w:tc>
        <w:tc>
          <w:tcPr>
            <w:tcW w:w="3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C1308AA" w14:textId="77777777" w:rsidR="007519C6" w:rsidRDefault="00000000">
            <w:r>
              <w:rPr>
                <w:color w:val="1A1A1A"/>
                <w:sz w:val="20"/>
                <w:szCs w:val="20"/>
              </w:rPr>
              <w:t>BlackRock</w:t>
            </w:r>
          </w:p>
        </w:tc>
        <w:tc>
          <w:tcPr>
            <w:tcW w:w="22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1403070" w14:textId="77777777" w:rsidR="007519C6" w:rsidRDefault="00000000">
            <w:r>
              <w:rPr>
                <w:color w:val="1A1A1A"/>
                <w:sz w:val="20"/>
                <w:szCs w:val="20"/>
              </w:rPr>
              <w:t>~$51B</w:t>
            </w:r>
          </w:p>
        </w:tc>
        <w:tc>
          <w:tcPr>
            <w:tcW w:w="30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68EE185" w14:textId="77777777" w:rsidR="007519C6" w:rsidRDefault="00000000">
            <w:r>
              <w:rPr>
                <w:color w:val="1A1A1A"/>
                <w:sz w:val="20"/>
                <w:szCs w:val="20"/>
              </w:rPr>
              <w:t>New York</w:t>
            </w:r>
          </w:p>
        </w:tc>
      </w:tr>
      <w:tr w:rsidR="007519C6" w14:paraId="33F9A26A"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AAE3F60" w14:textId="77777777" w:rsidR="007519C6" w:rsidRDefault="00000000">
            <w:r>
              <w:rPr>
                <w:b/>
                <w:bCs/>
                <w:color w:val="1A1A1A"/>
                <w:sz w:val="20"/>
                <w:szCs w:val="20"/>
              </w:rPr>
              <w:t>8</w:t>
            </w:r>
          </w:p>
        </w:tc>
        <w:tc>
          <w:tcPr>
            <w:tcW w:w="3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9C22BA1" w14:textId="77777777" w:rsidR="007519C6" w:rsidRDefault="00000000">
            <w:r>
              <w:rPr>
                <w:color w:val="1A1A1A"/>
                <w:sz w:val="20"/>
                <w:szCs w:val="20"/>
              </w:rPr>
              <w:t>Apollo Global Management</w:t>
            </w:r>
          </w:p>
        </w:tc>
        <w:tc>
          <w:tcPr>
            <w:tcW w:w="22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9108C97" w14:textId="77777777" w:rsidR="007519C6" w:rsidRDefault="00000000">
            <w:r>
              <w:rPr>
                <w:color w:val="1A1A1A"/>
                <w:sz w:val="20"/>
                <w:szCs w:val="20"/>
              </w:rPr>
              <w:t>~$49B</w:t>
            </w:r>
          </w:p>
        </w:tc>
        <w:tc>
          <w:tcPr>
            <w:tcW w:w="30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AEE532C" w14:textId="77777777" w:rsidR="007519C6" w:rsidRDefault="00000000">
            <w:r>
              <w:rPr>
                <w:color w:val="1A1A1A"/>
                <w:sz w:val="20"/>
                <w:szCs w:val="20"/>
              </w:rPr>
              <w:t>New York</w:t>
            </w:r>
          </w:p>
        </w:tc>
      </w:tr>
      <w:tr w:rsidR="007519C6" w14:paraId="6D34D85E"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AD897C6" w14:textId="77777777" w:rsidR="007519C6" w:rsidRDefault="00000000">
            <w:r>
              <w:rPr>
                <w:b/>
                <w:bCs/>
                <w:color w:val="1A1A1A"/>
                <w:sz w:val="20"/>
                <w:szCs w:val="20"/>
              </w:rPr>
              <w:t>9</w:t>
            </w:r>
          </w:p>
        </w:tc>
        <w:tc>
          <w:tcPr>
            <w:tcW w:w="336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243438C" w14:textId="77777777" w:rsidR="007519C6" w:rsidRDefault="00000000">
            <w:r>
              <w:rPr>
                <w:color w:val="1A1A1A"/>
                <w:sz w:val="20"/>
                <w:szCs w:val="20"/>
              </w:rPr>
              <w:t>The Carlyle Group</w:t>
            </w:r>
          </w:p>
        </w:tc>
        <w:tc>
          <w:tcPr>
            <w:tcW w:w="228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98329AD" w14:textId="77777777" w:rsidR="007519C6" w:rsidRDefault="00000000">
            <w:r>
              <w:rPr>
                <w:color w:val="1A1A1A"/>
                <w:sz w:val="20"/>
                <w:szCs w:val="20"/>
              </w:rPr>
              <w:t>~$44B</w:t>
            </w:r>
          </w:p>
        </w:tc>
        <w:tc>
          <w:tcPr>
            <w:tcW w:w="300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7E2A732" w14:textId="77777777" w:rsidR="007519C6" w:rsidRDefault="00000000">
            <w:r>
              <w:rPr>
                <w:color w:val="1A1A1A"/>
                <w:sz w:val="20"/>
                <w:szCs w:val="20"/>
              </w:rPr>
              <w:t>Washington, D.C.</w:t>
            </w:r>
          </w:p>
        </w:tc>
      </w:tr>
      <w:tr w:rsidR="007519C6" w14:paraId="4954135E" w14:textId="77777777">
        <w:tblPrEx>
          <w:tblCellMar>
            <w:top w:w="0" w:type="dxa"/>
            <w:bottom w:w="0" w:type="dxa"/>
          </w:tblCellMar>
        </w:tblPrEx>
        <w:tc>
          <w:tcPr>
            <w:tcW w:w="72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F5D78A0" w14:textId="77777777" w:rsidR="007519C6" w:rsidRDefault="00000000">
            <w:r>
              <w:rPr>
                <w:b/>
                <w:bCs/>
                <w:color w:val="1A1A1A"/>
                <w:sz w:val="20"/>
                <w:szCs w:val="20"/>
              </w:rPr>
              <w:t>10</w:t>
            </w:r>
          </w:p>
        </w:tc>
        <w:tc>
          <w:tcPr>
            <w:tcW w:w="336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FE949F2" w14:textId="77777777" w:rsidR="007519C6" w:rsidRDefault="00000000">
            <w:r>
              <w:rPr>
                <w:color w:val="1A1A1A"/>
                <w:sz w:val="20"/>
                <w:szCs w:val="20"/>
              </w:rPr>
              <w:t>Blue Owl Capital</w:t>
            </w:r>
          </w:p>
        </w:tc>
        <w:tc>
          <w:tcPr>
            <w:tcW w:w="228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13C6AF1F" w14:textId="77777777" w:rsidR="007519C6" w:rsidRDefault="00000000">
            <w:r>
              <w:rPr>
                <w:color w:val="1A1A1A"/>
                <w:sz w:val="20"/>
                <w:szCs w:val="20"/>
              </w:rPr>
              <w:t>~$42B</w:t>
            </w:r>
          </w:p>
        </w:tc>
        <w:tc>
          <w:tcPr>
            <w:tcW w:w="300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838E272" w14:textId="77777777" w:rsidR="007519C6" w:rsidRDefault="00000000">
            <w:r>
              <w:rPr>
                <w:color w:val="1A1A1A"/>
                <w:sz w:val="20"/>
                <w:szCs w:val="20"/>
              </w:rPr>
              <w:t>New York</w:t>
            </w:r>
          </w:p>
        </w:tc>
      </w:tr>
    </w:tbl>
    <w:p w14:paraId="3977E2D4" w14:textId="77777777" w:rsidR="007519C6" w:rsidRDefault="00000000">
      <w:pPr>
        <w:spacing w:before="80" w:after="200"/>
      </w:pPr>
      <w:r>
        <w:rPr>
          <w:i/>
          <w:iCs/>
          <w:color w:val="5A5A5A"/>
          <w:sz w:val="18"/>
          <w:szCs w:val="18"/>
        </w:rPr>
        <w:t>Figure A.2  The largest private credit managers by capital raised for private debt strategies over the five years from 2020 through 2024, as ranked by the Private Debt Investor PDI 200 published in December 2025. The ranking counts fundraising only and leaves out business development companies and CLOs, so firms with large insurance or balance-sheet platforms, Apollo and KKR among them, can sit lower here than their total credit assets would suggest. Rankings shift with each fundraising cycle.</w:t>
      </w:r>
    </w:p>
    <w:p w14:paraId="4745A526" w14:textId="77777777" w:rsidR="007519C6" w:rsidRDefault="007519C6">
      <w:pPr>
        <w:spacing w:after="120"/>
      </w:pPr>
    </w:p>
    <w:p w14:paraId="55DD7D3E" w14:textId="77777777" w:rsidR="007519C6" w:rsidRDefault="00000000">
      <w:pPr>
        <w:pStyle w:val="Heading2"/>
      </w:pPr>
      <w:r>
        <w:rPr>
          <w:color w:val="2E2E2E"/>
        </w:rPr>
        <w:t>Direct Lending Through the Cycle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1"/>
        <w:gridCol w:w="1982"/>
        <w:gridCol w:w="1994"/>
        <w:gridCol w:w="2021"/>
      </w:tblGrid>
      <w:tr w:rsidR="007519C6" w14:paraId="63499D02" w14:textId="77777777">
        <w:tblPrEx>
          <w:tblCellMar>
            <w:top w:w="0" w:type="dxa"/>
            <w:bottom w:w="0" w:type="dxa"/>
          </w:tblCellMar>
        </w:tblPrEx>
        <w:trPr>
          <w:tblHeader/>
        </w:trPr>
        <w:tc>
          <w:tcPr>
            <w:tcW w:w="23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2D1A9695" w14:textId="77777777" w:rsidR="007519C6" w:rsidRDefault="00000000">
            <w:r>
              <w:rPr>
                <w:b/>
                <w:bCs/>
                <w:color w:val="FFFFFF"/>
                <w:sz w:val="20"/>
                <w:szCs w:val="20"/>
              </w:rPr>
              <w:t>Period</w:t>
            </w:r>
          </w:p>
        </w:tc>
        <w:tc>
          <w:tcPr>
            <w:tcW w:w="23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700F8A8C" w14:textId="77777777" w:rsidR="007519C6" w:rsidRDefault="00000000">
            <w:r>
              <w:rPr>
                <w:b/>
                <w:bCs/>
                <w:color w:val="FFFFFF"/>
                <w:sz w:val="20"/>
                <w:szCs w:val="20"/>
              </w:rPr>
              <w:t>Total Return</w:t>
            </w:r>
          </w:p>
        </w:tc>
        <w:tc>
          <w:tcPr>
            <w:tcW w:w="23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1F431472" w14:textId="77777777" w:rsidR="007519C6" w:rsidRDefault="00000000">
            <w:r>
              <w:rPr>
                <w:b/>
                <w:bCs/>
                <w:color w:val="FFFFFF"/>
                <w:sz w:val="20"/>
                <w:szCs w:val="20"/>
              </w:rPr>
              <w:t>Income</w:t>
            </w:r>
          </w:p>
        </w:tc>
        <w:tc>
          <w:tcPr>
            <w:tcW w:w="2340" w:type="dxa"/>
            <w:tcBorders>
              <w:top w:val="single" w:sz="1" w:space="0" w:color="D8D8D8"/>
              <w:left w:val="single" w:sz="1" w:space="0" w:color="D8D8D8"/>
              <w:bottom w:val="single" w:sz="1" w:space="0" w:color="D8D8D8"/>
              <w:right w:val="single" w:sz="1" w:space="0" w:color="D8D8D8"/>
            </w:tcBorders>
            <w:shd w:val="clear" w:color="auto" w:fill="1F3A5F"/>
            <w:tcMar>
              <w:top w:w="70" w:type="dxa"/>
              <w:left w:w="110" w:type="dxa"/>
              <w:bottom w:w="70" w:type="dxa"/>
              <w:right w:w="110" w:type="dxa"/>
            </w:tcMar>
          </w:tcPr>
          <w:p w14:paraId="6B742F5B" w14:textId="77777777" w:rsidR="007519C6" w:rsidRDefault="00000000">
            <w:r>
              <w:rPr>
                <w:b/>
                <w:bCs/>
                <w:color w:val="FFFFFF"/>
                <w:sz w:val="20"/>
                <w:szCs w:val="20"/>
              </w:rPr>
              <w:t>Realized Loss</w:t>
            </w:r>
          </w:p>
        </w:tc>
      </w:tr>
      <w:tr w:rsidR="007519C6" w14:paraId="0DA0804E" w14:textId="77777777">
        <w:tblPrEx>
          <w:tblCellMar>
            <w:top w:w="0" w:type="dxa"/>
            <w:bottom w:w="0" w:type="dxa"/>
          </w:tblCellMar>
        </w:tblPrEx>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1A1945BF" w14:textId="77777777" w:rsidR="007519C6" w:rsidRDefault="00000000">
            <w:r>
              <w:rPr>
                <w:b/>
                <w:bCs/>
                <w:color w:val="1A1A1A"/>
                <w:sz w:val="20"/>
                <w:szCs w:val="20"/>
              </w:rPr>
              <w:t>2008 (crisis)</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6957911" w14:textId="77777777" w:rsidR="007519C6" w:rsidRDefault="00000000">
            <w:r>
              <w:rPr>
                <w:color w:val="1A1A1A"/>
                <w:sz w:val="20"/>
                <w:szCs w:val="20"/>
              </w:rPr>
              <w:t>-6.5%</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F52625C" w14:textId="77777777" w:rsidR="007519C6" w:rsidRDefault="00000000">
            <w:r>
              <w:rPr>
                <w:color w:val="1A1A1A"/>
                <w:sz w:val="20"/>
                <w:szCs w:val="20"/>
              </w:rPr>
              <w:t>11.7%</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6942D73" w14:textId="77777777" w:rsidR="007519C6" w:rsidRDefault="00000000">
            <w:r>
              <w:rPr>
                <w:color w:val="1A1A1A"/>
                <w:sz w:val="20"/>
                <w:szCs w:val="20"/>
              </w:rPr>
              <w:t>&lt;1%</w:t>
            </w:r>
          </w:p>
        </w:tc>
      </w:tr>
      <w:tr w:rsidR="007519C6" w14:paraId="57C81332" w14:textId="77777777">
        <w:tblPrEx>
          <w:tblCellMar>
            <w:top w:w="0" w:type="dxa"/>
            <w:bottom w:w="0" w:type="dxa"/>
          </w:tblCellMar>
        </w:tblPrEx>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6166D68C" w14:textId="77777777" w:rsidR="007519C6" w:rsidRDefault="00000000">
            <w:r>
              <w:rPr>
                <w:b/>
                <w:bCs/>
                <w:color w:val="1A1A1A"/>
                <w:sz w:val="20"/>
                <w:szCs w:val="20"/>
              </w:rPr>
              <w:t>2009-2019 avg.</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141AB20" w14:textId="77777777" w:rsidR="007519C6" w:rsidRDefault="00000000">
            <w:r>
              <w:rPr>
                <w:color w:val="1A1A1A"/>
                <w:sz w:val="20"/>
                <w:szCs w:val="20"/>
              </w:rPr>
              <w:t>9.5%</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F4EC48B" w14:textId="77777777" w:rsidR="007519C6" w:rsidRDefault="00000000">
            <w:r>
              <w:rPr>
                <w:color w:val="1A1A1A"/>
                <w:sz w:val="20"/>
                <w:szCs w:val="20"/>
              </w:rPr>
              <w:t>10.2%</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BD6BAC6" w14:textId="77777777" w:rsidR="007519C6" w:rsidRDefault="00000000">
            <w:r>
              <w:rPr>
                <w:color w:val="1A1A1A"/>
                <w:sz w:val="20"/>
                <w:szCs w:val="20"/>
              </w:rPr>
              <w:t>0.7%</w:t>
            </w:r>
          </w:p>
        </w:tc>
      </w:tr>
      <w:tr w:rsidR="007519C6" w14:paraId="7F96B116" w14:textId="77777777">
        <w:tblPrEx>
          <w:tblCellMar>
            <w:top w:w="0" w:type="dxa"/>
            <w:bottom w:w="0" w:type="dxa"/>
          </w:tblCellMar>
        </w:tblPrEx>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1955A21" w14:textId="77777777" w:rsidR="007519C6" w:rsidRDefault="00000000">
            <w:r>
              <w:rPr>
                <w:b/>
                <w:bCs/>
                <w:color w:val="1A1A1A"/>
                <w:sz w:val="20"/>
                <w:szCs w:val="20"/>
              </w:rPr>
              <w:t>2020 (pandemic)</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49AF6C38" w14:textId="77777777" w:rsidR="007519C6" w:rsidRDefault="00000000">
            <w:r>
              <w:rPr>
                <w:color w:val="1A1A1A"/>
                <w:sz w:val="20"/>
                <w:szCs w:val="20"/>
              </w:rPr>
              <w:t>5.4%</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9D77E14" w14:textId="77777777" w:rsidR="007519C6" w:rsidRDefault="00000000">
            <w:r>
              <w:rPr>
                <w:color w:val="1A1A1A"/>
                <w:sz w:val="20"/>
                <w:szCs w:val="20"/>
              </w:rPr>
              <w:t>9.1%</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B0CA806" w14:textId="77777777" w:rsidR="007519C6" w:rsidRDefault="00000000">
            <w:r>
              <w:rPr>
                <w:color w:val="1A1A1A"/>
                <w:sz w:val="20"/>
                <w:szCs w:val="20"/>
              </w:rPr>
              <w:t>3.7%</w:t>
            </w:r>
          </w:p>
        </w:tc>
      </w:tr>
      <w:tr w:rsidR="007519C6" w14:paraId="6500D443" w14:textId="77777777">
        <w:tblPrEx>
          <w:tblCellMar>
            <w:top w:w="0" w:type="dxa"/>
            <w:bottom w:w="0" w:type="dxa"/>
          </w:tblCellMar>
        </w:tblPrEx>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314A110" w14:textId="77777777" w:rsidR="007519C6" w:rsidRDefault="00000000">
            <w:r>
              <w:rPr>
                <w:b/>
                <w:bCs/>
                <w:color w:val="1A1A1A"/>
                <w:sz w:val="20"/>
                <w:szCs w:val="20"/>
              </w:rPr>
              <w:t>2021</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973B741" w14:textId="77777777" w:rsidR="007519C6" w:rsidRDefault="00000000">
            <w:r>
              <w:rPr>
                <w:color w:val="1A1A1A"/>
                <w:sz w:val="20"/>
                <w:szCs w:val="20"/>
              </w:rPr>
              <w:t>11.7%</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474A2DA7" w14:textId="77777777" w:rsidR="007519C6" w:rsidRDefault="00000000">
            <w:r>
              <w:rPr>
                <w:color w:val="1A1A1A"/>
                <w:sz w:val="20"/>
                <w:szCs w:val="20"/>
              </w:rPr>
              <w:t>8.3%</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03C62EDF" w14:textId="77777777" w:rsidR="007519C6" w:rsidRDefault="00000000">
            <w:r>
              <w:rPr>
                <w:color w:val="1A1A1A"/>
                <w:sz w:val="20"/>
                <w:szCs w:val="20"/>
              </w:rPr>
              <w:t>0.4%</w:t>
            </w:r>
          </w:p>
        </w:tc>
      </w:tr>
      <w:tr w:rsidR="007519C6" w14:paraId="287F63A9" w14:textId="77777777">
        <w:tblPrEx>
          <w:tblCellMar>
            <w:top w:w="0" w:type="dxa"/>
            <w:bottom w:w="0" w:type="dxa"/>
          </w:tblCellMar>
        </w:tblPrEx>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BDBF178" w14:textId="77777777" w:rsidR="007519C6" w:rsidRDefault="00000000">
            <w:r>
              <w:rPr>
                <w:b/>
                <w:bCs/>
                <w:color w:val="1A1A1A"/>
                <w:sz w:val="20"/>
                <w:szCs w:val="20"/>
              </w:rPr>
              <w:t>2022</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FCB6E58" w14:textId="77777777" w:rsidR="007519C6" w:rsidRDefault="00000000">
            <w:r>
              <w:rPr>
                <w:color w:val="1A1A1A"/>
                <w:sz w:val="20"/>
                <w:szCs w:val="20"/>
              </w:rPr>
              <w:t>7.8%</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6A551995" w14:textId="77777777" w:rsidR="007519C6" w:rsidRDefault="00000000">
            <w:r>
              <w:rPr>
                <w:color w:val="1A1A1A"/>
                <w:sz w:val="20"/>
                <w:szCs w:val="20"/>
              </w:rPr>
              <w:t>9.4%</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DC34D75" w14:textId="77777777" w:rsidR="007519C6" w:rsidRDefault="00000000">
            <w:r>
              <w:rPr>
                <w:color w:val="1A1A1A"/>
                <w:sz w:val="20"/>
                <w:szCs w:val="20"/>
              </w:rPr>
              <w:t>1.6%</w:t>
            </w:r>
          </w:p>
        </w:tc>
      </w:tr>
      <w:tr w:rsidR="007519C6" w14:paraId="347F283D" w14:textId="77777777">
        <w:tblPrEx>
          <w:tblCellMar>
            <w:top w:w="0" w:type="dxa"/>
            <w:bottom w:w="0" w:type="dxa"/>
          </w:tblCellMar>
        </w:tblPrEx>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3A1F2249" w14:textId="77777777" w:rsidR="007519C6" w:rsidRDefault="00000000">
            <w:r>
              <w:rPr>
                <w:b/>
                <w:bCs/>
                <w:color w:val="1A1A1A"/>
                <w:sz w:val="20"/>
                <w:szCs w:val="20"/>
              </w:rPr>
              <w:t>2023</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577326D5" w14:textId="77777777" w:rsidR="007519C6" w:rsidRDefault="00000000">
            <w:r>
              <w:rPr>
                <w:color w:val="1A1A1A"/>
                <w:sz w:val="20"/>
                <w:szCs w:val="20"/>
              </w:rPr>
              <w:t>12.5%</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77A58AD3" w14:textId="77777777" w:rsidR="007519C6" w:rsidRDefault="00000000">
            <w:r>
              <w:rPr>
                <w:color w:val="1A1A1A"/>
                <w:sz w:val="20"/>
                <w:szCs w:val="20"/>
              </w:rPr>
              <w:t>11.8%</w:t>
            </w:r>
          </w:p>
        </w:tc>
        <w:tc>
          <w:tcPr>
            <w:tcW w:w="2340" w:type="dxa"/>
            <w:tcBorders>
              <w:top w:val="single" w:sz="1" w:space="0" w:color="D8D8D8"/>
              <w:left w:val="single" w:sz="1" w:space="0" w:color="D8D8D8"/>
              <w:bottom w:val="single" w:sz="1" w:space="0" w:color="D8D8D8"/>
              <w:right w:val="single" w:sz="1" w:space="0" w:color="D8D8D8"/>
            </w:tcBorders>
            <w:shd w:val="clear" w:color="auto" w:fill="F4F1EA"/>
            <w:tcMar>
              <w:top w:w="70" w:type="dxa"/>
              <w:left w:w="110" w:type="dxa"/>
              <w:bottom w:w="70" w:type="dxa"/>
              <w:right w:w="110" w:type="dxa"/>
            </w:tcMar>
          </w:tcPr>
          <w:p w14:paraId="24CBAB81" w14:textId="77777777" w:rsidR="007519C6" w:rsidRDefault="00000000">
            <w:r>
              <w:rPr>
                <w:color w:val="1A1A1A"/>
                <w:sz w:val="20"/>
                <w:szCs w:val="20"/>
              </w:rPr>
              <w:t>0.9%</w:t>
            </w:r>
          </w:p>
        </w:tc>
      </w:tr>
      <w:tr w:rsidR="007519C6" w14:paraId="10E4676E" w14:textId="77777777">
        <w:tblPrEx>
          <w:tblCellMar>
            <w:top w:w="0" w:type="dxa"/>
            <w:bottom w:w="0" w:type="dxa"/>
          </w:tblCellMar>
        </w:tblPrEx>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0D3784BB" w14:textId="77777777" w:rsidR="007519C6" w:rsidRDefault="00000000">
            <w:r>
              <w:rPr>
                <w:b/>
                <w:bCs/>
                <w:color w:val="1A1A1A"/>
                <w:sz w:val="20"/>
                <w:szCs w:val="20"/>
              </w:rPr>
              <w:t>Long-term avg.</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25EBA1DF" w14:textId="77777777" w:rsidR="007519C6" w:rsidRDefault="00000000">
            <w:r>
              <w:rPr>
                <w:color w:val="1A1A1A"/>
                <w:sz w:val="20"/>
                <w:szCs w:val="20"/>
              </w:rPr>
              <w:t>~9.5%</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5BADBABB" w14:textId="77777777" w:rsidR="007519C6" w:rsidRDefault="00000000">
            <w:r>
              <w:rPr>
                <w:color w:val="1A1A1A"/>
                <w:sz w:val="20"/>
                <w:szCs w:val="20"/>
              </w:rPr>
              <w:t>~10.9%</w:t>
            </w:r>
          </w:p>
        </w:tc>
        <w:tc>
          <w:tcPr>
            <w:tcW w:w="2340" w:type="dxa"/>
            <w:tcBorders>
              <w:top w:val="single" w:sz="1" w:space="0" w:color="D8D8D8"/>
              <w:left w:val="single" w:sz="1" w:space="0" w:color="D8D8D8"/>
              <w:bottom w:val="single" w:sz="1" w:space="0" w:color="D8D8D8"/>
              <w:right w:val="single" w:sz="1" w:space="0" w:color="D8D8D8"/>
            </w:tcBorders>
            <w:shd w:val="clear" w:color="auto" w:fill="FFFFFF"/>
            <w:tcMar>
              <w:top w:w="70" w:type="dxa"/>
              <w:left w:w="110" w:type="dxa"/>
              <w:bottom w:w="70" w:type="dxa"/>
              <w:right w:w="110" w:type="dxa"/>
            </w:tcMar>
          </w:tcPr>
          <w:p w14:paraId="32E18627" w14:textId="77777777" w:rsidR="007519C6" w:rsidRDefault="00000000">
            <w:r>
              <w:rPr>
                <w:color w:val="1A1A1A"/>
                <w:sz w:val="20"/>
                <w:szCs w:val="20"/>
              </w:rPr>
              <w:t>~1.0%</w:t>
            </w:r>
          </w:p>
        </w:tc>
      </w:tr>
    </w:tbl>
    <w:p w14:paraId="25609199" w14:textId="77777777" w:rsidR="007519C6" w:rsidRDefault="00000000">
      <w:pPr>
        <w:spacing w:before="80" w:after="200"/>
      </w:pPr>
      <w:r>
        <w:rPr>
          <w:i/>
          <w:iCs/>
          <w:color w:val="5A5A5A"/>
          <w:sz w:val="18"/>
          <w:szCs w:val="18"/>
        </w:rPr>
        <w:lastRenderedPageBreak/>
        <w:t>Figure A.3  Direct lending performance from the Cliffwater Direct Lending Index, which began in 2004 and has returned about nine and a half percent a year since inception. The negative total return in 2008 came from temporary unrealized markdowns, not from realized credit losses, which stayed under one percent that year. Note the consistent fact beneath the figures. Income exceeds realized loss in every period. Past performance does not indicate future results.</w:t>
      </w:r>
    </w:p>
    <w:p w14:paraId="04BE5BA0" w14:textId="77777777" w:rsidR="007519C6" w:rsidRDefault="007519C6">
      <w:pPr>
        <w:spacing w:after="200"/>
      </w:pPr>
    </w:p>
    <w:p w14:paraId="15CDAFB7" w14:textId="77777777" w:rsidR="007519C6" w:rsidRDefault="00000000">
      <w:pPr>
        <w:spacing w:before="200"/>
        <w:jc w:val="center"/>
      </w:pPr>
      <w:r>
        <w:rPr>
          <w:color w:val="B9933E"/>
          <w:sz w:val="24"/>
          <w:szCs w:val="24"/>
        </w:rPr>
        <w:t>* * *</w:t>
      </w:r>
    </w:p>
    <w:p w14:paraId="0EDAC7DD" w14:textId="77777777" w:rsidR="007519C6" w:rsidRDefault="00000000">
      <w:pPr>
        <w:spacing w:before="160"/>
        <w:jc w:val="center"/>
      </w:pPr>
      <w:r>
        <w:rPr>
          <w:i/>
          <w:iCs/>
          <w:color w:val="5A5A5A"/>
          <w:sz w:val="18"/>
          <w:szCs w:val="18"/>
        </w:rPr>
        <w:t>Figures throughout are drawn from publicly available industry sources and are approximate, intended to convey magnitude and structure rather than precision.</w:t>
      </w:r>
    </w:p>
    <w:sectPr w:rsidR="007519C6">
      <w:headerReference w:type="default" r:id="rId7"/>
      <w:footerReference w:type="default" r:id="rId8"/>
      <w:pgSz w:w="12240" w:h="15840"/>
      <w:pgMar w:top="1440" w:right="2340" w:bottom="1440" w:left="1800" w:header="708" w:footer="708" w:gutter="0"/>
      <w:lnNumType w:countBy="1" w:distance="420"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EFF28" w14:textId="77777777" w:rsidR="003F7CEA" w:rsidRDefault="003F7CEA">
      <w:pPr>
        <w:spacing w:line="240" w:lineRule="auto"/>
      </w:pPr>
      <w:r>
        <w:separator/>
      </w:r>
    </w:p>
  </w:endnote>
  <w:endnote w:type="continuationSeparator" w:id="0">
    <w:p w14:paraId="12CAB51E" w14:textId="77777777" w:rsidR="003F7CEA" w:rsidRDefault="003F7C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586C0" w14:textId="77777777" w:rsidR="007519C6" w:rsidRDefault="00000000">
    <w:pPr>
      <w:suppressLineNumbers/>
      <w:jc w:val="center"/>
    </w:pPr>
    <w:r>
      <w:rPr>
        <w:color w:val="8A8A8A"/>
        <w:sz w:val="18"/>
        <w:szCs w:val="18"/>
      </w:rPr>
      <w:fldChar w:fldCharType="begin"/>
    </w:r>
    <w:r>
      <w:rPr>
        <w:color w:val="8A8A8A"/>
        <w:sz w:val="18"/>
        <w:szCs w:val="18"/>
      </w:rPr>
      <w:instrText>PAGE</w:instrText>
    </w:r>
    <w:r>
      <w:rPr>
        <w:color w:val="8A8A8A"/>
        <w:sz w:val="18"/>
        <w:szCs w:val="18"/>
      </w:rPr>
      <w:fldChar w:fldCharType="separate"/>
    </w:r>
    <w:r w:rsidR="00882310">
      <w:rPr>
        <w:noProof/>
        <w:color w:val="8A8A8A"/>
        <w:sz w:val="18"/>
        <w:szCs w:val="18"/>
      </w:rPr>
      <w:t>2</w:t>
    </w:r>
    <w:r>
      <w:rPr>
        <w:color w:val="8A8A8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1111D" w14:textId="77777777" w:rsidR="003F7CEA" w:rsidRDefault="003F7CEA">
      <w:pPr>
        <w:spacing w:line="240" w:lineRule="auto"/>
      </w:pPr>
      <w:r>
        <w:separator/>
      </w:r>
    </w:p>
  </w:footnote>
  <w:footnote w:type="continuationSeparator" w:id="0">
    <w:p w14:paraId="1EC1E543" w14:textId="77777777" w:rsidR="003F7CEA" w:rsidRDefault="003F7C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45166" w14:textId="77777777" w:rsidR="007519C6" w:rsidRDefault="00000000">
    <w:pPr>
      <w:suppressLineNumbers/>
      <w:pBdr>
        <w:bottom w:val="single" w:sz="4" w:space="6" w:color="B9933E"/>
      </w:pBdr>
      <w:jc w:val="right"/>
    </w:pPr>
    <w:r>
      <w:rPr>
        <w:i/>
        <w:iCs/>
        <w:color w:val="8A8A8A"/>
        <w:sz w:val="17"/>
        <w:szCs w:val="17"/>
      </w:rPr>
      <w:t>Private Credit  ·  An Introduction  ·  EDITING 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30F56"/>
    <w:multiLevelType w:val="hybridMultilevel"/>
    <w:tmpl w:val="3154EF40"/>
    <w:lvl w:ilvl="0" w:tplc="1D5E251A">
      <w:start w:val="1"/>
      <w:numFmt w:val="bullet"/>
      <w:lvlText w:val="●"/>
      <w:lvlJc w:val="left"/>
      <w:pPr>
        <w:ind w:left="720" w:hanging="360"/>
      </w:pPr>
    </w:lvl>
    <w:lvl w:ilvl="1" w:tplc="AE487F94">
      <w:start w:val="1"/>
      <w:numFmt w:val="bullet"/>
      <w:lvlText w:val="○"/>
      <w:lvlJc w:val="left"/>
      <w:pPr>
        <w:ind w:left="1440" w:hanging="360"/>
      </w:pPr>
    </w:lvl>
    <w:lvl w:ilvl="2" w:tplc="E60AA412">
      <w:start w:val="1"/>
      <w:numFmt w:val="bullet"/>
      <w:lvlText w:val="■"/>
      <w:lvlJc w:val="left"/>
      <w:pPr>
        <w:ind w:left="2160" w:hanging="360"/>
      </w:pPr>
    </w:lvl>
    <w:lvl w:ilvl="3" w:tplc="DC344A36">
      <w:start w:val="1"/>
      <w:numFmt w:val="bullet"/>
      <w:lvlText w:val="●"/>
      <w:lvlJc w:val="left"/>
      <w:pPr>
        <w:ind w:left="2880" w:hanging="360"/>
      </w:pPr>
    </w:lvl>
    <w:lvl w:ilvl="4" w:tplc="60E6DEA8">
      <w:start w:val="1"/>
      <w:numFmt w:val="bullet"/>
      <w:lvlText w:val="○"/>
      <w:lvlJc w:val="left"/>
      <w:pPr>
        <w:ind w:left="3600" w:hanging="360"/>
      </w:pPr>
    </w:lvl>
    <w:lvl w:ilvl="5" w:tplc="87B8356E">
      <w:start w:val="1"/>
      <w:numFmt w:val="bullet"/>
      <w:lvlText w:val="■"/>
      <w:lvlJc w:val="left"/>
      <w:pPr>
        <w:ind w:left="4320" w:hanging="360"/>
      </w:pPr>
    </w:lvl>
    <w:lvl w:ilvl="6" w:tplc="35A8C272">
      <w:start w:val="1"/>
      <w:numFmt w:val="bullet"/>
      <w:lvlText w:val="●"/>
      <w:lvlJc w:val="left"/>
      <w:pPr>
        <w:ind w:left="5040" w:hanging="360"/>
      </w:pPr>
    </w:lvl>
    <w:lvl w:ilvl="7" w:tplc="32983E20">
      <w:start w:val="1"/>
      <w:numFmt w:val="bullet"/>
      <w:lvlText w:val="●"/>
      <w:lvlJc w:val="left"/>
      <w:pPr>
        <w:ind w:left="5760" w:hanging="360"/>
      </w:pPr>
    </w:lvl>
    <w:lvl w:ilvl="8" w:tplc="A4BC6BC4">
      <w:start w:val="1"/>
      <w:numFmt w:val="bullet"/>
      <w:lvlText w:val="●"/>
      <w:lvlJc w:val="left"/>
      <w:pPr>
        <w:ind w:left="6480" w:hanging="360"/>
      </w:pPr>
    </w:lvl>
  </w:abstractNum>
  <w:num w:numId="1" w16cid:durableId="61598400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9C6"/>
    <w:rsid w:val="003F7CEA"/>
    <w:rsid w:val="007519C6"/>
    <w:rsid w:val="00882310"/>
    <w:rsid w:val="00980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14D1F"/>
  <w15:docId w15:val="{A594C14C-4EF5-42A5-9C2F-B3EB6B590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3"/>
        <w:szCs w:val="23"/>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20" w:line="276" w:lineRule="auto"/>
      <w:outlineLvl w:val="0"/>
    </w:pPr>
    <w:rPr>
      <w:b/>
      <w:bCs/>
      <w:color w:val="1F3A5F"/>
      <w:sz w:val="34"/>
      <w:szCs w:val="34"/>
    </w:rPr>
  </w:style>
  <w:style w:type="paragraph" w:styleId="Heading2">
    <w:name w:val="heading 2"/>
    <w:uiPriority w:val="9"/>
    <w:unhideWhenUsed/>
    <w:qFormat/>
    <w:pPr>
      <w:spacing w:before="320" w:after="140" w:line="276" w:lineRule="auto"/>
      <w:outlineLvl w:val="1"/>
    </w:pPr>
    <w:rPr>
      <w:b/>
      <w:bCs/>
      <w:sz w:val="26"/>
      <w:szCs w:val="26"/>
    </w:rPr>
  </w:style>
  <w:style w:type="paragraph" w:styleId="Heading3">
    <w:name w:val="heading 3"/>
    <w:uiPriority w:val="9"/>
    <w:unhideWhenUsed/>
    <w:qFormat/>
    <w:pPr>
      <w:spacing w:before="220" w:after="100" w:line="276" w:lineRule="auto"/>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character" w:styleId="LineNumber">
    <w:name w:val="line number"/>
    <w:basedOn w:val="DefaultParagraphFont"/>
    <w:uiPriority w:val="99"/>
    <w:semiHidden/>
    <w:unhideWhenUsed/>
    <w:rsid w:val="00882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266</Pages>
  <Words>64780</Words>
  <Characters>351756</Characters>
  <Application>Microsoft Office Word</Application>
  <DocSecurity>0</DocSecurity>
  <Lines>12562</Lines>
  <Paragraphs>10680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Sean Gibson</cp:lastModifiedBy>
  <cp:revision>2</cp:revision>
  <dcterms:created xsi:type="dcterms:W3CDTF">2026-06-26T03:31:00Z</dcterms:created>
  <dcterms:modified xsi:type="dcterms:W3CDTF">2026-06-26T03:52:00Z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40e5bef7-0d62-4841-b040-e8d744a79cb1</vt:lpwstr>
  </property>
</Properties>
</file>