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11C56" w:rsidRPr="00B248A6" w:rsidRDefault="00000000" w:rsidP="002353F7">
      <w:pPr>
        <w:spacing w:before="280"/>
        <w:jc w:val="center"/>
        <w:rPr>
          <w:rFonts w:asciiTheme="majorBidi" w:hAnsiTheme="majorBidi" w:cstheme="majorBidi"/>
          <w:b/>
          <w:bCs/>
        </w:rPr>
      </w:pPr>
      <w:r w:rsidRPr="00B248A6">
        <w:rPr>
          <w:rFonts w:asciiTheme="majorBidi" w:hAnsiTheme="majorBidi" w:cstheme="majorBidi"/>
          <w:b/>
          <w:bCs/>
        </w:rPr>
        <w:t xml:space="preserve"> A Hypothesis-Driven Mechanistic and Translational Review on Caffeine-mediated intracellular signaling in Prostate Cancer</w:t>
      </w:r>
    </w:p>
    <w:p w14:paraId="00000002" w14:textId="77777777" w:rsidR="00B11C56" w:rsidRPr="00B248A6" w:rsidRDefault="00B11C56" w:rsidP="002353F7">
      <w:pPr>
        <w:spacing w:before="280"/>
        <w:rPr>
          <w:rFonts w:asciiTheme="majorBidi" w:hAnsiTheme="majorBidi" w:cstheme="majorBidi"/>
        </w:rPr>
      </w:pPr>
    </w:p>
    <w:p w14:paraId="00000003" w14:textId="77777777" w:rsidR="00B11C56" w:rsidRPr="00B248A6" w:rsidRDefault="00000000" w:rsidP="002353F7">
      <w:pPr>
        <w:spacing w:before="280"/>
        <w:rPr>
          <w:rFonts w:asciiTheme="majorBidi" w:hAnsiTheme="majorBidi" w:cstheme="majorBidi"/>
          <w:b/>
          <w:bCs/>
          <w:vertAlign w:val="superscript"/>
        </w:rPr>
      </w:pPr>
      <w:r w:rsidRPr="00B248A6">
        <w:rPr>
          <w:rFonts w:asciiTheme="majorBidi" w:hAnsiTheme="majorBidi" w:cstheme="majorBidi"/>
          <w:b/>
          <w:bCs/>
        </w:rPr>
        <w:t>Karim Khaled</w:t>
      </w:r>
      <w:r w:rsidRPr="00B248A6">
        <w:rPr>
          <w:rFonts w:asciiTheme="majorBidi" w:hAnsiTheme="majorBidi" w:cstheme="majorBidi"/>
          <w:b/>
          <w:bCs/>
          <w:vertAlign w:val="superscript"/>
        </w:rPr>
        <w:t>1</w:t>
      </w:r>
      <w:r w:rsidRPr="00B248A6">
        <w:rPr>
          <w:rFonts w:asciiTheme="majorBidi" w:hAnsiTheme="majorBidi" w:cstheme="majorBidi"/>
          <w:b/>
          <w:bCs/>
        </w:rPr>
        <w:t>*, Firas K. Ghanem</w:t>
      </w:r>
      <w:r w:rsidRPr="00B248A6">
        <w:rPr>
          <w:rFonts w:asciiTheme="majorBidi" w:hAnsiTheme="majorBidi" w:cstheme="majorBidi"/>
          <w:b/>
          <w:bCs/>
          <w:vertAlign w:val="superscript"/>
        </w:rPr>
        <w:t>2,3</w:t>
      </w:r>
      <w:r w:rsidRPr="00B248A6">
        <w:rPr>
          <w:rFonts w:asciiTheme="majorBidi" w:hAnsiTheme="majorBidi" w:cstheme="majorBidi"/>
          <w:b/>
          <w:bCs/>
        </w:rPr>
        <w:t>*, Elizabeth Saliba</w:t>
      </w:r>
      <w:r w:rsidRPr="00B248A6">
        <w:rPr>
          <w:rFonts w:asciiTheme="majorBidi" w:hAnsiTheme="majorBidi" w:cstheme="majorBidi"/>
          <w:b/>
          <w:bCs/>
          <w:vertAlign w:val="superscript"/>
        </w:rPr>
        <w:t>3</w:t>
      </w:r>
      <w:r w:rsidRPr="00B248A6">
        <w:rPr>
          <w:rFonts w:asciiTheme="majorBidi" w:hAnsiTheme="majorBidi" w:cstheme="majorBidi"/>
          <w:b/>
          <w:bCs/>
        </w:rPr>
        <w:t>, Esther Ghanem</w:t>
      </w:r>
      <w:r w:rsidRPr="00B248A6">
        <w:rPr>
          <w:rFonts w:asciiTheme="majorBidi" w:hAnsiTheme="majorBidi" w:cstheme="majorBidi"/>
          <w:b/>
          <w:bCs/>
          <w:vertAlign w:val="superscript"/>
        </w:rPr>
        <w:t>3</w:t>
      </w:r>
    </w:p>
    <w:p w14:paraId="00000004" w14:textId="77777777" w:rsidR="00B11C56" w:rsidRPr="00B248A6" w:rsidRDefault="00000000" w:rsidP="002353F7">
      <w:pPr>
        <w:spacing w:before="280"/>
        <w:jc w:val="both"/>
        <w:rPr>
          <w:rFonts w:asciiTheme="majorBidi" w:hAnsiTheme="majorBidi" w:cstheme="majorBidi"/>
          <w:i/>
          <w:iCs/>
        </w:rPr>
      </w:pPr>
      <w:r w:rsidRPr="00B248A6">
        <w:rPr>
          <w:rFonts w:asciiTheme="majorBidi" w:hAnsiTheme="majorBidi" w:cstheme="majorBidi"/>
          <w:i/>
          <w:iCs/>
          <w:vertAlign w:val="superscript"/>
        </w:rPr>
        <w:t xml:space="preserve">1 </w:t>
      </w:r>
      <w:r w:rsidRPr="00B248A6">
        <w:rPr>
          <w:rFonts w:asciiTheme="majorBidi" w:hAnsiTheme="majorBidi" w:cstheme="majorBidi"/>
          <w:i/>
          <w:iCs/>
        </w:rPr>
        <w:t>Department of Ophthalmology, Gilbert and Rose-Marie Chagoury School of Medicine, Lebanese American University, Beirut, Lebanon.</w:t>
      </w:r>
    </w:p>
    <w:p w14:paraId="00000006" w14:textId="481D94BC" w:rsidR="00B11C56" w:rsidRPr="00B248A6" w:rsidRDefault="00000000" w:rsidP="002353F7">
      <w:pPr>
        <w:spacing w:before="280"/>
        <w:rPr>
          <w:rFonts w:asciiTheme="majorBidi" w:hAnsiTheme="majorBidi" w:cstheme="majorBidi"/>
          <w:i/>
          <w:iCs/>
        </w:rPr>
      </w:pPr>
      <w:r w:rsidRPr="00B248A6">
        <w:rPr>
          <w:rFonts w:asciiTheme="majorBidi" w:hAnsiTheme="majorBidi" w:cstheme="majorBidi"/>
          <w:i/>
          <w:iCs/>
          <w:vertAlign w:val="superscript"/>
        </w:rPr>
        <w:t>2</w:t>
      </w:r>
      <w:r w:rsidRPr="00B248A6">
        <w:rPr>
          <w:rFonts w:asciiTheme="majorBidi" w:hAnsiTheme="majorBidi" w:cstheme="majorBidi"/>
          <w:i/>
          <w:iCs/>
        </w:rPr>
        <w:t xml:space="preserve"> Gilbert and Rose-Marie Chagoury School of Medicine, Lebanese American University (LAU), Byblos, </w:t>
      </w:r>
      <w:proofErr w:type="spellStart"/>
      <w:r w:rsidRPr="00B248A6">
        <w:rPr>
          <w:rFonts w:asciiTheme="majorBidi" w:hAnsiTheme="majorBidi" w:cstheme="majorBidi"/>
          <w:i/>
          <w:iCs/>
        </w:rPr>
        <w:t>Lebanon.Dame</w:t>
      </w:r>
      <w:proofErr w:type="spellEnd"/>
      <w:r w:rsidRPr="00B248A6">
        <w:rPr>
          <w:rFonts w:asciiTheme="majorBidi" w:hAnsiTheme="majorBidi" w:cstheme="majorBidi"/>
          <w:i/>
          <w:iCs/>
        </w:rPr>
        <w:t xml:space="preserve"> University-</w:t>
      </w:r>
      <w:proofErr w:type="spellStart"/>
      <w:r w:rsidRPr="00B248A6">
        <w:rPr>
          <w:rFonts w:asciiTheme="majorBidi" w:hAnsiTheme="majorBidi" w:cstheme="majorBidi"/>
          <w:i/>
          <w:iCs/>
        </w:rPr>
        <w:t>Louaize</w:t>
      </w:r>
      <w:proofErr w:type="spellEnd"/>
      <w:r w:rsidRPr="00B248A6">
        <w:rPr>
          <w:rFonts w:asciiTheme="majorBidi" w:hAnsiTheme="majorBidi" w:cstheme="majorBidi"/>
          <w:i/>
          <w:iCs/>
        </w:rPr>
        <w:t xml:space="preserve">, P.O. Box 72, Zouk Mikael, Zouk Mosbeh, Lebanon.  </w:t>
      </w:r>
    </w:p>
    <w:p w14:paraId="00000008" w14:textId="31DFD9B9" w:rsidR="00B11C56" w:rsidRPr="00B248A6" w:rsidRDefault="00000000" w:rsidP="002353F7">
      <w:pPr>
        <w:spacing w:before="280"/>
        <w:rPr>
          <w:rFonts w:asciiTheme="majorBidi" w:eastAsia="Times New Roman" w:hAnsiTheme="majorBidi" w:cstheme="majorBidi"/>
          <w:color w:val="000000"/>
        </w:rPr>
      </w:pPr>
      <w:r w:rsidRPr="00B248A6">
        <w:rPr>
          <w:rFonts w:asciiTheme="majorBidi" w:hAnsiTheme="majorBidi" w:cstheme="majorBidi"/>
          <w:i/>
          <w:iCs/>
          <w:vertAlign w:val="superscript"/>
        </w:rPr>
        <w:t xml:space="preserve">3 </w:t>
      </w:r>
      <w:r w:rsidRPr="00B248A6">
        <w:rPr>
          <w:rFonts w:asciiTheme="majorBidi" w:hAnsiTheme="majorBidi" w:cstheme="majorBidi"/>
          <w:i/>
          <w:iCs/>
        </w:rPr>
        <w:t xml:space="preserve">Department of Sciences, Faculty of Natural and Applied Sciences, Notre </w:t>
      </w:r>
      <w:r w:rsidRPr="00B248A6">
        <w:rPr>
          <w:rFonts w:asciiTheme="majorBidi" w:hAnsiTheme="majorBidi" w:cstheme="majorBidi"/>
          <w:b/>
          <w:bCs/>
        </w:rPr>
        <w:t>*</w:t>
      </w:r>
      <w:r w:rsidRPr="00B248A6">
        <w:rPr>
          <w:rFonts w:asciiTheme="majorBidi" w:eastAsia="Times New Roman" w:hAnsiTheme="majorBidi" w:cstheme="majorBidi"/>
          <w:color w:val="000000"/>
        </w:rPr>
        <w:t>Authors contributed equally and share first authorship.</w:t>
      </w:r>
    </w:p>
    <w:p w14:paraId="00000009" w14:textId="77777777" w:rsidR="00B11C56" w:rsidRPr="00B248A6" w:rsidRDefault="00000000" w:rsidP="002353F7">
      <w:pPr>
        <w:spacing w:before="280"/>
        <w:rPr>
          <w:rFonts w:asciiTheme="majorBidi" w:hAnsiTheme="majorBidi" w:cstheme="majorBidi"/>
          <w:b/>
          <w:bCs/>
        </w:rPr>
      </w:pPr>
      <w:r w:rsidRPr="00B248A6">
        <w:rPr>
          <w:rFonts w:asciiTheme="majorBidi" w:hAnsiTheme="majorBidi" w:cstheme="majorBidi"/>
          <w:b/>
          <w:bCs/>
        </w:rPr>
        <w:t>Corresponding author</w:t>
      </w:r>
    </w:p>
    <w:p w14:paraId="0000000A" w14:textId="77777777" w:rsidR="00B11C56" w:rsidRPr="00B248A6" w:rsidRDefault="00000000" w:rsidP="002353F7">
      <w:pPr>
        <w:spacing w:before="280"/>
        <w:rPr>
          <w:rFonts w:asciiTheme="majorBidi" w:hAnsiTheme="majorBidi" w:cstheme="majorBidi"/>
          <w:b/>
          <w:bCs/>
        </w:rPr>
      </w:pPr>
      <w:r w:rsidRPr="00B248A6">
        <w:rPr>
          <w:rFonts w:asciiTheme="majorBidi" w:hAnsiTheme="majorBidi" w:cstheme="majorBidi"/>
        </w:rPr>
        <w:t>Esther Ghanem</w:t>
      </w:r>
      <w:r w:rsidRPr="00B248A6">
        <w:rPr>
          <w:rFonts w:asciiTheme="majorBidi" w:hAnsiTheme="majorBidi" w:cstheme="majorBidi"/>
          <w:b/>
          <w:bCs/>
          <w:vertAlign w:val="superscript"/>
        </w:rPr>
        <w:t xml:space="preserve"> </w:t>
      </w:r>
      <w:r w:rsidRPr="00B248A6">
        <w:rPr>
          <w:rFonts w:asciiTheme="majorBidi" w:hAnsiTheme="majorBidi" w:cstheme="majorBidi"/>
        </w:rPr>
        <w:t>(</w:t>
      </w:r>
      <w:hyperlink r:id="rId8">
        <w:r w:rsidRPr="00B248A6">
          <w:rPr>
            <w:rFonts w:asciiTheme="majorBidi" w:hAnsiTheme="majorBidi" w:cstheme="majorBidi"/>
            <w:color w:val="0563C1"/>
            <w:u w:val="single"/>
          </w:rPr>
          <w:t>eghanem@ndu.edu.lb</w:t>
        </w:r>
      </w:hyperlink>
      <w:r w:rsidRPr="00B248A6">
        <w:rPr>
          <w:rFonts w:asciiTheme="majorBidi" w:hAnsiTheme="majorBidi" w:cstheme="majorBidi"/>
        </w:rPr>
        <w:t>); Department of Sciences, Faculty of Natural and Applied Sciences, Notre Dame University-</w:t>
      </w:r>
      <w:proofErr w:type="spellStart"/>
      <w:r w:rsidRPr="00B248A6">
        <w:rPr>
          <w:rFonts w:asciiTheme="majorBidi" w:hAnsiTheme="majorBidi" w:cstheme="majorBidi"/>
        </w:rPr>
        <w:t>Louaize</w:t>
      </w:r>
      <w:proofErr w:type="spellEnd"/>
      <w:r w:rsidRPr="00B248A6">
        <w:rPr>
          <w:rFonts w:asciiTheme="majorBidi" w:hAnsiTheme="majorBidi" w:cstheme="majorBidi"/>
        </w:rPr>
        <w:t xml:space="preserve">, P.O. Box 72, Zouk Mikael, Zouk Mosbeh, </w:t>
      </w:r>
    </w:p>
    <w:p w14:paraId="0000000B" w14:textId="77777777" w:rsidR="00B11C56" w:rsidRPr="00B248A6" w:rsidRDefault="00B11C56" w:rsidP="002353F7">
      <w:pPr>
        <w:spacing w:before="280"/>
        <w:rPr>
          <w:rFonts w:asciiTheme="majorBidi" w:hAnsiTheme="majorBidi" w:cstheme="majorBidi"/>
        </w:rPr>
      </w:pPr>
    </w:p>
    <w:p w14:paraId="0000000C" w14:textId="77777777" w:rsidR="00B11C56" w:rsidRPr="00B248A6" w:rsidRDefault="00000000" w:rsidP="002353F7">
      <w:pPr>
        <w:spacing w:before="280"/>
        <w:rPr>
          <w:rFonts w:asciiTheme="majorBidi" w:hAnsiTheme="majorBidi" w:cstheme="majorBidi"/>
        </w:rPr>
      </w:pPr>
      <w:r w:rsidRPr="00B248A6">
        <w:rPr>
          <w:rFonts w:asciiTheme="majorBidi" w:hAnsiTheme="majorBidi" w:cstheme="majorBidi"/>
          <w:b/>
          <w:bCs/>
        </w:rPr>
        <w:t>Running title:</w:t>
      </w:r>
      <w:r w:rsidRPr="00B248A6">
        <w:rPr>
          <w:rFonts w:asciiTheme="majorBidi" w:hAnsiTheme="majorBidi" w:cstheme="majorBidi"/>
        </w:rPr>
        <w:t xml:space="preserve"> Caffeine and the IL-6-AR Axis in Prostate Cancer</w:t>
      </w:r>
    </w:p>
    <w:p w14:paraId="0000000D" w14:textId="77777777" w:rsidR="00B11C56" w:rsidRPr="00B248A6" w:rsidRDefault="00000000" w:rsidP="002353F7">
      <w:pPr>
        <w:spacing w:before="280"/>
        <w:rPr>
          <w:rFonts w:asciiTheme="majorBidi" w:hAnsiTheme="majorBidi" w:cstheme="majorBidi"/>
        </w:rPr>
      </w:pPr>
      <w:r w:rsidRPr="00B248A6">
        <w:rPr>
          <w:rFonts w:asciiTheme="majorBidi" w:hAnsiTheme="majorBidi" w:cstheme="majorBidi"/>
        </w:rPr>
        <w:t xml:space="preserve">Word count including References, Abstract, and Figure Legends: </w:t>
      </w:r>
      <w:r w:rsidRPr="00B248A6">
        <w:rPr>
          <w:rFonts w:asciiTheme="majorBidi" w:hAnsiTheme="majorBidi" w:cstheme="majorBidi"/>
          <w:highlight w:val="yellow"/>
        </w:rPr>
        <w:t>5078</w:t>
      </w:r>
    </w:p>
    <w:p w14:paraId="0000000E" w14:textId="77777777" w:rsidR="00B11C56" w:rsidRPr="00B248A6" w:rsidRDefault="00000000" w:rsidP="002353F7">
      <w:pPr>
        <w:spacing w:before="280"/>
        <w:rPr>
          <w:rFonts w:asciiTheme="majorBidi" w:hAnsiTheme="majorBidi" w:cstheme="majorBidi"/>
        </w:rPr>
      </w:pPr>
      <w:r w:rsidRPr="00B248A6">
        <w:rPr>
          <w:rFonts w:asciiTheme="majorBidi" w:hAnsiTheme="majorBidi" w:cstheme="majorBidi"/>
        </w:rPr>
        <w:t>Number of Figures: 2</w:t>
      </w:r>
    </w:p>
    <w:p w14:paraId="0000000F" w14:textId="77777777" w:rsidR="00B11C56" w:rsidRPr="00B248A6" w:rsidRDefault="00000000" w:rsidP="002353F7">
      <w:pPr>
        <w:spacing w:before="280"/>
        <w:rPr>
          <w:rFonts w:asciiTheme="majorBidi" w:hAnsiTheme="majorBidi" w:cstheme="majorBidi"/>
        </w:rPr>
      </w:pPr>
      <w:r w:rsidRPr="00B248A6">
        <w:rPr>
          <w:rFonts w:asciiTheme="majorBidi" w:hAnsiTheme="majorBidi" w:cstheme="majorBidi"/>
        </w:rPr>
        <w:t>Number of Tables: 2</w:t>
      </w:r>
    </w:p>
    <w:p w14:paraId="00000010" w14:textId="77777777" w:rsidR="00B11C56" w:rsidRPr="00B248A6" w:rsidRDefault="00B11C56" w:rsidP="002353F7">
      <w:pPr>
        <w:spacing w:before="280"/>
        <w:rPr>
          <w:rFonts w:asciiTheme="majorBidi" w:hAnsiTheme="majorBidi" w:cstheme="majorBidi"/>
        </w:rPr>
      </w:pPr>
    </w:p>
    <w:p w14:paraId="00000011" w14:textId="77777777" w:rsidR="00B11C56" w:rsidRPr="00B248A6" w:rsidRDefault="00B11C56" w:rsidP="002353F7">
      <w:pPr>
        <w:spacing w:before="280"/>
        <w:rPr>
          <w:rFonts w:asciiTheme="majorBidi" w:hAnsiTheme="majorBidi" w:cstheme="majorBidi"/>
        </w:rPr>
      </w:pPr>
    </w:p>
    <w:p w14:paraId="00000030" w14:textId="77777777" w:rsidR="00B11C56" w:rsidRPr="00B248A6" w:rsidRDefault="00B11C56" w:rsidP="002353F7">
      <w:pPr>
        <w:spacing w:before="280"/>
        <w:rPr>
          <w:rFonts w:asciiTheme="majorBidi" w:hAnsiTheme="majorBidi" w:cstheme="majorBidi"/>
        </w:rPr>
      </w:pPr>
    </w:p>
    <w:p w14:paraId="00000031" w14:textId="77777777" w:rsidR="00B11C56" w:rsidRPr="00B248A6" w:rsidRDefault="00B11C56" w:rsidP="002353F7">
      <w:pPr>
        <w:spacing w:before="280"/>
        <w:rPr>
          <w:rFonts w:asciiTheme="majorBidi" w:hAnsiTheme="majorBidi" w:cstheme="majorBidi"/>
        </w:rPr>
      </w:pPr>
    </w:p>
    <w:p w14:paraId="00000032" w14:textId="77777777" w:rsidR="00B11C56" w:rsidRPr="00B248A6" w:rsidRDefault="00B11C56" w:rsidP="002353F7">
      <w:pPr>
        <w:spacing w:before="280"/>
        <w:rPr>
          <w:rFonts w:asciiTheme="majorBidi" w:hAnsiTheme="majorBidi" w:cstheme="majorBidi"/>
        </w:rPr>
      </w:pPr>
    </w:p>
    <w:p w14:paraId="00000033" w14:textId="77777777" w:rsidR="00B11C56" w:rsidRPr="00B248A6" w:rsidRDefault="00B11C56" w:rsidP="002353F7">
      <w:pPr>
        <w:spacing w:before="280"/>
        <w:rPr>
          <w:rFonts w:asciiTheme="majorBidi" w:hAnsiTheme="majorBidi" w:cstheme="majorBidi"/>
        </w:rPr>
      </w:pPr>
    </w:p>
    <w:p w14:paraId="00000034" w14:textId="77777777" w:rsidR="00B11C56" w:rsidRPr="00B248A6" w:rsidRDefault="00B11C56" w:rsidP="002353F7">
      <w:pPr>
        <w:spacing w:before="280"/>
        <w:rPr>
          <w:rFonts w:asciiTheme="majorBidi" w:hAnsiTheme="majorBidi" w:cstheme="majorBidi"/>
        </w:rPr>
      </w:pPr>
    </w:p>
    <w:p w14:paraId="00000035"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b/>
          <w:bCs/>
          <w:color w:val="000000"/>
        </w:rPr>
      </w:pPr>
      <w:r w:rsidRPr="00B248A6">
        <w:rPr>
          <w:rFonts w:asciiTheme="majorBidi" w:eastAsia="Times New Roman" w:hAnsiTheme="majorBidi" w:cstheme="majorBidi"/>
          <w:b/>
          <w:bCs/>
          <w:color w:val="000000"/>
        </w:rPr>
        <w:lastRenderedPageBreak/>
        <w:t>1. Introduction</w:t>
      </w:r>
    </w:p>
    <w:p w14:paraId="07664007" w14:textId="77777777" w:rsidR="002353F7" w:rsidRPr="00B248A6" w:rsidRDefault="002353F7" w:rsidP="002353F7">
      <w:pPr>
        <w:pBdr>
          <w:top w:val="nil"/>
          <w:left w:val="nil"/>
          <w:bottom w:val="nil"/>
          <w:right w:val="nil"/>
          <w:between w:val="nil"/>
        </w:pBdr>
        <w:spacing w:before="280"/>
        <w:rPr>
          <w:rFonts w:asciiTheme="majorBidi" w:eastAsia="Times New Roman" w:hAnsiTheme="majorBidi" w:cstheme="majorBidi"/>
          <w:color w:val="000000"/>
          <w:lang w:val="en-US"/>
        </w:rPr>
      </w:pPr>
      <w:r w:rsidRPr="00B248A6">
        <w:rPr>
          <w:rFonts w:asciiTheme="majorBidi" w:eastAsia="Times New Roman" w:hAnsiTheme="majorBidi" w:cstheme="majorBidi"/>
          <w:color w:val="000000"/>
          <w:lang w:val="en-US"/>
        </w:rPr>
        <w:t>Prostate cancer (</w:t>
      </w:r>
      <w:proofErr w:type="spellStart"/>
      <w:r w:rsidRPr="00B248A6">
        <w:rPr>
          <w:rFonts w:asciiTheme="majorBidi" w:eastAsia="Times New Roman" w:hAnsiTheme="majorBidi" w:cstheme="majorBidi"/>
          <w:color w:val="000000"/>
          <w:lang w:val="en-US"/>
        </w:rPr>
        <w:t>PCa</w:t>
      </w:r>
      <w:proofErr w:type="spellEnd"/>
      <w:r w:rsidRPr="00B248A6">
        <w:rPr>
          <w:rFonts w:asciiTheme="majorBidi" w:eastAsia="Times New Roman" w:hAnsiTheme="majorBidi" w:cstheme="majorBidi"/>
          <w:color w:val="000000"/>
          <w:lang w:val="en-US"/>
        </w:rPr>
        <w:t xml:space="preserve">) remains one of the most frequently diagnosed malignancies and a leading cause of cancer-related mortality among men worldwide [1,2]. Although androgen deprivation therapy (ADT) and androgen receptor (AR)-targeted agents remain the cornerstone of treatment for advanced disease, many patients ultimately develop castration-resistant prostate cancer (CRPC), a biologically heterogeneous state characterized by persistent AR signaling, therapeutic resistance, and disease progression [3]. Increasing evidence suggests that inflammatory signaling, tumor-associated immune suppression, and metabolic adaptation contribute to CRPC development [4–6]. Among the mediators implicated in these processes, interleukin-6 (IL-6) has emerged as an important regulator of STAT3 activation, AR reactivation, epithelial–mesenchymal transition, and immune modulation within the tumor microenvironment (TME) [6–8]. In parallel, extracellular adenosine signaling has gained attention as a major immunoregulatory pathway in solid tumors, including </w:t>
      </w:r>
      <w:proofErr w:type="spellStart"/>
      <w:r w:rsidRPr="00B248A6">
        <w:rPr>
          <w:rFonts w:asciiTheme="majorBidi" w:eastAsia="Times New Roman" w:hAnsiTheme="majorBidi" w:cstheme="majorBidi"/>
          <w:color w:val="000000"/>
          <w:lang w:val="en-US"/>
        </w:rPr>
        <w:t>PCa</w:t>
      </w:r>
      <w:proofErr w:type="spellEnd"/>
      <w:r w:rsidRPr="00B248A6">
        <w:rPr>
          <w:rFonts w:asciiTheme="majorBidi" w:eastAsia="Times New Roman" w:hAnsiTheme="majorBidi" w:cstheme="majorBidi"/>
          <w:color w:val="000000"/>
          <w:lang w:val="en-US"/>
        </w:rPr>
        <w:t xml:space="preserve">. Under hypoxic and metabolically stressed conditions, ATP is sequentially hydrolyzed by CD39 and CD73, leading to extracellular adenosine accumulation and activation of A2A and A2B adenosine receptors, which promote cyclic AMP signaling, suppress anti-tumor immunity, stabilize regulatory T cells, influence macrophage polarization, and facilitate immune evasion [9–11]. Collectively, these observations support the hypothesis that adenosine signaling, IL-6/STAT3 activation, and AR-dependent pathways may interact to influence </w:t>
      </w:r>
      <w:proofErr w:type="spellStart"/>
      <w:r w:rsidRPr="00B248A6">
        <w:rPr>
          <w:rFonts w:asciiTheme="majorBidi" w:eastAsia="Times New Roman" w:hAnsiTheme="majorBidi" w:cstheme="majorBidi"/>
          <w:color w:val="000000"/>
          <w:lang w:val="en-US"/>
        </w:rPr>
        <w:t>PCa</w:t>
      </w:r>
      <w:proofErr w:type="spellEnd"/>
      <w:r w:rsidRPr="00B248A6">
        <w:rPr>
          <w:rFonts w:asciiTheme="majorBidi" w:eastAsia="Times New Roman" w:hAnsiTheme="majorBidi" w:cstheme="majorBidi"/>
          <w:color w:val="000000"/>
          <w:lang w:val="en-US"/>
        </w:rPr>
        <w:t xml:space="preserve"> progression and therapeutic resistance, although the mechanistic relationships between these pathways remain incompletely defined.</w:t>
      </w:r>
    </w:p>
    <w:p w14:paraId="78B30C15" w14:textId="77777777" w:rsidR="002353F7" w:rsidRPr="00B248A6" w:rsidRDefault="002353F7" w:rsidP="002353F7">
      <w:pPr>
        <w:pBdr>
          <w:top w:val="nil"/>
          <w:left w:val="nil"/>
          <w:bottom w:val="nil"/>
          <w:right w:val="nil"/>
          <w:between w:val="nil"/>
        </w:pBdr>
        <w:spacing w:before="280"/>
        <w:rPr>
          <w:rFonts w:asciiTheme="majorBidi" w:eastAsia="Times New Roman" w:hAnsiTheme="majorBidi" w:cstheme="majorBidi"/>
          <w:color w:val="000000"/>
          <w:lang w:val="en-US"/>
        </w:rPr>
      </w:pPr>
      <w:r w:rsidRPr="00B248A6">
        <w:rPr>
          <w:rFonts w:asciiTheme="majorBidi" w:eastAsia="Times New Roman" w:hAnsiTheme="majorBidi" w:cstheme="majorBidi"/>
          <w:color w:val="000000"/>
          <w:lang w:val="en-US"/>
        </w:rPr>
        <w:t>Caffeine, one of the most widely consumed bioactive compounds worldwide, is a naturally occurring methylxanthine that primarily acts as a competitive, nonselective antagonist of adenosine receptors at physiologically achievable concentrations [10–12]. Following oral administration, caffeine is rapidly absorbed, widely distributed, and extensively metabolized by cytochrome P450 1A2 (CYP1A2) into biologically active metabolites, including paraxanthine, theobromine, and theophylline, all of which may contribute to downstream biological effects [16–25]. Moderate dietary intake generally produces plasma caffeine concentrations within the low micromolar range (~2–5 µM), whereas many experimentally reported anti-proliferative, pro-apoptotic, and immunomodulatory effects require concentrations between 50 and 500 µM or even millimolar levels in immune-cell models [10,12,17,28–33]. This marked disparity between physiologic human exposure and experimental dosing represents a major translational limitation and complicates interpretation of the existing literature, particularly because intraprostatic caffeine concentrations, tissue-specific receptor occupancy, and pharmacodynamic responses remain largely unknown.</w:t>
      </w:r>
    </w:p>
    <w:p w14:paraId="07E3682C" w14:textId="77777777" w:rsidR="002353F7" w:rsidRPr="00B248A6" w:rsidRDefault="002353F7" w:rsidP="002353F7">
      <w:pPr>
        <w:pBdr>
          <w:top w:val="nil"/>
          <w:left w:val="nil"/>
          <w:bottom w:val="nil"/>
          <w:right w:val="nil"/>
          <w:between w:val="nil"/>
        </w:pBdr>
        <w:spacing w:before="280"/>
        <w:rPr>
          <w:rFonts w:asciiTheme="majorBidi" w:eastAsia="Times New Roman" w:hAnsiTheme="majorBidi" w:cstheme="majorBidi"/>
          <w:color w:val="000000"/>
          <w:lang w:val="en-US"/>
        </w:rPr>
      </w:pPr>
      <w:r w:rsidRPr="00B248A6">
        <w:rPr>
          <w:rFonts w:asciiTheme="majorBidi" w:eastAsia="Times New Roman" w:hAnsiTheme="majorBidi" w:cstheme="majorBidi"/>
          <w:color w:val="000000"/>
          <w:lang w:val="en-US"/>
        </w:rPr>
        <w:t xml:space="preserve">Experimental studies across cancer and inflammatory disease models suggest that caffeine may modulate immune regulation, oxidative stress, inflammatory signaling, and cellular proliferation [10,13]. However, direct evidence linking caffeine to coordinated regulation of IL-6, STAT3, and AR signaling specifically in </w:t>
      </w:r>
      <w:proofErr w:type="spellStart"/>
      <w:r w:rsidRPr="00B248A6">
        <w:rPr>
          <w:rFonts w:asciiTheme="majorBidi" w:eastAsia="Times New Roman" w:hAnsiTheme="majorBidi" w:cstheme="majorBidi"/>
          <w:color w:val="000000"/>
          <w:lang w:val="en-US"/>
        </w:rPr>
        <w:t>PCa</w:t>
      </w:r>
      <w:proofErr w:type="spellEnd"/>
      <w:r w:rsidRPr="00B248A6">
        <w:rPr>
          <w:rFonts w:asciiTheme="majorBidi" w:eastAsia="Times New Roman" w:hAnsiTheme="majorBidi" w:cstheme="majorBidi"/>
          <w:color w:val="000000"/>
          <w:lang w:val="en-US"/>
        </w:rPr>
        <w:t xml:space="preserve"> remains limited. Interpretation is further complicated by the frequent use of coffee consumption or coffee-derived extracts rather than pure caffeine exposure in epidemiologic and experimental studies, making attribution of observed effects to caffeine alone uncertain. Observational studies evaluating coffee intake have reported mixed associations with </w:t>
      </w:r>
      <w:proofErr w:type="spellStart"/>
      <w:r w:rsidRPr="00B248A6">
        <w:rPr>
          <w:rFonts w:asciiTheme="majorBidi" w:eastAsia="Times New Roman" w:hAnsiTheme="majorBidi" w:cstheme="majorBidi"/>
          <w:color w:val="000000"/>
          <w:lang w:val="en-US"/>
        </w:rPr>
        <w:t>PCa</w:t>
      </w:r>
      <w:proofErr w:type="spellEnd"/>
      <w:r w:rsidRPr="00B248A6">
        <w:rPr>
          <w:rFonts w:asciiTheme="majorBidi" w:eastAsia="Times New Roman" w:hAnsiTheme="majorBidi" w:cstheme="majorBidi"/>
          <w:color w:val="000000"/>
          <w:lang w:val="en-US"/>
        </w:rPr>
        <w:t xml:space="preserve"> incidence and progression, highlighting the need to distinguish evidence derived from pure caffeine, coffee consumption, and other coffee bioactive constituents [14,15].</w:t>
      </w:r>
    </w:p>
    <w:p w14:paraId="3A201675" w14:textId="77777777" w:rsidR="002353F7" w:rsidRPr="00B248A6" w:rsidRDefault="002353F7" w:rsidP="002353F7">
      <w:pPr>
        <w:pBdr>
          <w:top w:val="nil"/>
          <w:left w:val="nil"/>
          <w:bottom w:val="nil"/>
          <w:right w:val="nil"/>
          <w:between w:val="nil"/>
        </w:pBdr>
        <w:spacing w:before="280"/>
        <w:rPr>
          <w:rFonts w:asciiTheme="majorBidi" w:eastAsia="Times New Roman" w:hAnsiTheme="majorBidi" w:cstheme="majorBidi"/>
          <w:color w:val="000000"/>
          <w:lang w:val="en-US"/>
        </w:rPr>
      </w:pPr>
      <w:r w:rsidRPr="00B248A6">
        <w:rPr>
          <w:rFonts w:asciiTheme="majorBidi" w:eastAsia="Times New Roman" w:hAnsiTheme="majorBidi" w:cstheme="majorBidi"/>
          <w:color w:val="000000"/>
          <w:lang w:val="en-US"/>
        </w:rPr>
        <w:lastRenderedPageBreak/>
        <w:t xml:space="preserve">Accordingly, this hypothesis-driven review synthesizes current evidence regarding caffeine-mediated intracellular signaling in </w:t>
      </w:r>
      <w:proofErr w:type="spellStart"/>
      <w:r w:rsidRPr="00B248A6">
        <w:rPr>
          <w:rFonts w:asciiTheme="majorBidi" w:eastAsia="Times New Roman" w:hAnsiTheme="majorBidi" w:cstheme="majorBidi"/>
          <w:color w:val="000000"/>
          <w:lang w:val="en-US"/>
        </w:rPr>
        <w:t>PCa</w:t>
      </w:r>
      <w:proofErr w:type="spellEnd"/>
      <w:r w:rsidRPr="00B248A6">
        <w:rPr>
          <w:rFonts w:asciiTheme="majorBidi" w:eastAsia="Times New Roman" w:hAnsiTheme="majorBidi" w:cstheme="majorBidi"/>
          <w:color w:val="000000"/>
          <w:lang w:val="en-US"/>
        </w:rPr>
        <w:t xml:space="preserve">, with particular emphasis on adenosine receptor signaling, IL-6/STAT3 activity, and AR-related pathways. We explicitly distinguish direct evidence from </w:t>
      </w:r>
      <w:proofErr w:type="spellStart"/>
      <w:r w:rsidRPr="00B248A6">
        <w:rPr>
          <w:rFonts w:asciiTheme="majorBidi" w:eastAsia="Times New Roman" w:hAnsiTheme="majorBidi" w:cstheme="majorBidi"/>
          <w:color w:val="000000"/>
          <w:lang w:val="en-US"/>
        </w:rPr>
        <w:t>PCa</w:t>
      </w:r>
      <w:proofErr w:type="spellEnd"/>
      <w:r w:rsidRPr="00B248A6">
        <w:rPr>
          <w:rFonts w:asciiTheme="majorBidi" w:eastAsia="Times New Roman" w:hAnsiTheme="majorBidi" w:cstheme="majorBidi"/>
          <w:color w:val="000000"/>
          <w:lang w:val="en-US"/>
        </w:rPr>
        <w:t xml:space="preserve"> models from supporting evidence derived from other tumor types, evaluate the physiologic relevance and translational limitations of existing experimental findings, and identify key pharmacokinetic and mechanistic gaps that must be addressed before caffeine-mediated signaling can be considered a plausible translational strategy in </w:t>
      </w:r>
      <w:proofErr w:type="spellStart"/>
      <w:r w:rsidRPr="00B248A6">
        <w:rPr>
          <w:rFonts w:asciiTheme="majorBidi" w:eastAsia="Times New Roman" w:hAnsiTheme="majorBidi" w:cstheme="majorBidi"/>
          <w:color w:val="000000"/>
          <w:lang w:val="en-US"/>
        </w:rPr>
        <w:t>PCa</w:t>
      </w:r>
      <w:proofErr w:type="spellEnd"/>
      <w:r w:rsidRPr="00B248A6">
        <w:rPr>
          <w:rFonts w:asciiTheme="majorBidi" w:eastAsia="Times New Roman" w:hAnsiTheme="majorBidi" w:cstheme="majorBidi"/>
          <w:color w:val="000000"/>
          <w:lang w:val="en-US"/>
        </w:rPr>
        <w:t>.</w:t>
      </w:r>
    </w:p>
    <w:p w14:paraId="00000041" w14:textId="3231BBD1" w:rsidR="00B11C56" w:rsidRPr="00B248A6" w:rsidRDefault="002353F7" w:rsidP="002353F7">
      <w:pPr>
        <w:pBdr>
          <w:top w:val="nil"/>
          <w:left w:val="nil"/>
          <w:bottom w:val="nil"/>
          <w:right w:val="nil"/>
          <w:between w:val="nil"/>
        </w:pBdr>
        <w:spacing w:before="280"/>
        <w:rPr>
          <w:rFonts w:asciiTheme="majorBidi" w:eastAsia="Times New Roman" w:hAnsiTheme="majorBidi" w:cstheme="majorBidi"/>
          <w:b/>
          <w:bCs/>
          <w:color w:val="000000"/>
        </w:rPr>
      </w:pPr>
      <w:r w:rsidRPr="00B248A6">
        <w:rPr>
          <w:rFonts w:asciiTheme="majorBidi" w:eastAsia="Times New Roman" w:hAnsiTheme="majorBidi" w:cstheme="majorBidi"/>
          <w:b/>
          <w:bCs/>
          <w:color w:val="000000"/>
        </w:rPr>
        <w:t>2</w:t>
      </w:r>
      <w:r w:rsidR="00000000" w:rsidRPr="00B248A6">
        <w:rPr>
          <w:rFonts w:asciiTheme="majorBidi" w:eastAsia="Times New Roman" w:hAnsiTheme="majorBidi" w:cstheme="majorBidi"/>
          <w:b/>
          <w:bCs/>
          <w:color w:val="000000"/>
        </w:rPr>
        <w:t xml:space="preserve">. </w:t>
      </w:r>
      <w:r w:rsidRPr="00B248A6">
        <w:rPr>
          <w:rFonts w:asciiTheme="majorBidi" w:eastAsia="Times New Roman" w:hAnsiTheme="majorBidi" w:cstheme="majorBidi"/>
          <w:b/>
          <w:bCs/>
          <w:color w:val="000000"/>
        </w:rPr>
        <w:t xml:space="preserve">Caffeine and </w:t>
      </w:r>
      <w:r w:rsidR="00000000" w:rsidRPr="00B248A6">
        <w:rPr>
          <w:rFonts w:asciiTheme="majorBidi" w:eastAsia="Times New Roman" w:hAnsiTheme="majorBidi" w:cstheme="majorBidi"/>
          <w:b/>
          <w:bCs/>
          <w:color w:val="000000"/>
        </w:rPr>
        <w:t xml:space="preserve">Adenosine Receptors </w:t>
      </w:r>
    </w:p>
    <w:p w14:paraId="00000042"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 xml:space="preserve">Within the prostate TME, hypoxia, inflammation, and metabolic stress promote extracellular adenosine accumulation through ATP hydrolysis mediated primarily by the </w:t>
      </w:r>
      <w:proofErr w:type="spellStart"/>
      <w:r w:rsidRPr="00B248A6">
        <w:rPr>
          <w:rFonts w:asciiTheme="majorBidi" w:eastAsia="Times New Roman" w:hAnsiTheme="majorBidi" w:cstheme="majorBidi"/>
          <w:color w:val="000000"/>
        </w:rPr>
        <w:t>ectonucleotidases</w:t>
      </w:r>
      <w:proofErr w:type="spellEnd"/>
      <w:r w:rsidRPr="00B248A6">
        <w:rPr>
          <w:rFonts w:asciiTheme="majorBidi" w:eastAsia="Times New Roman" w:hAnsiTheme="majorBidi" w:cstheme="majorBidi"/>
          <w:color w:val="000000"/>
        </w:rPr>
        <w:t xml:space="preserve"> CD39 and CD73 expressed on tumor cells, stromal cells, Tregs, and other immune populations [34–36]. Elevated extracellular adenosine contributes to an immunosuppressive microenvironment through activation of adenosine receptors, particularly the Gs-coupled A2A and A2B receptor subtypes [35,37]. Activation of these receptors increases intracellular cAMP and protein kinase A (PKA) signaling, leading to suppression of cytotoxic T-lymphocyte and natural killer-cell activity while promoting Treg stability and immune tolerance [37,38]. In experimental systems, A2A receptor signaling has been associated with reduced production of pro-inflammatory cytokines such as IFN-γ and TNF-α and increased expression of inhibitory immune checkpoint molecules including PD-1 and CTLA-4 on effector T cells [39]. Genetic deletion or pharmacologic inhibition of A2A signaling restores anti-tumor immune responses in several murine tumor models [40]. However, much of the mechanistic evidence supporting these immunologic effects derives from broader oncology and immunology literature rather than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-specific studies.</w:t>
      </w:r>
    </w:p>
    <w:p w14:paraId="00000043" w14:textId="47B934C9" w:rsidR="00B11C56" w:rsidRPr="00B248A6" w:rsidRDefault="00000000" w:rsidP="00B248A6">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Caffeine functions as a nonselective antagonist of adenosine receptors and can inhibit A2A receptor signaling at low micromolar concentrations achievable through typical dietary exposure [11,12]. Preclinical studies in non-</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and selected murine tumor models have suggested that caffeine exposure or adenosine-pathway blockade may enhance anti-tumor immunity through increased CD8+ T-cell infiltration and reduced Treg-associated immunosuppression [41,42]. In addition, pharmacologic A2A blockade has demonstrated synergistic effects with immune checkpoint inhibition targeting PD-1 or CTLA-4 in several experimental cancer models [42,47]. </w:t>
      </w:r>
    </w:p>
    <w:p w14:paraId="00000044"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 xml:space="preserve">The A2B receptor subtype has also emerged as a potential contributor to tumor-associated immune suppression, particularly under hypoxic conditions where A2B expression may be upregulated [35,43]. Experimental studies suggest that A2B signaling can promote recruitment and activation of myeloid-derived suppressor cells (MDSCs), polarization of M2-like macrophages, angiogenesis, and production of immunomodulatory mediators including IL-10, MCP-1, VEGF, and IL-6 [43,44]. In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models, pharmacologic A2B antagonism has been associated with reduced tumor-cell proliferation and attenuation of pro-tumorigenic signaling pathways [45]. Additional preclinical studies have suggested that combined targeting of A2A and A2B receptors may enhance anti-tumor immune responses more effectively than inhibition of either receptor alone [46,47]. Furthermore, enrichment of adenosine-related transcriptional signatures has been associated with lower CD8+/Treg ratios and poorer oncologic outcomes across multiple tumor types, including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[49].</w:t>
      </w:r>
    </w:p>
    <w:p w14:paraId="00000046" w14:textId="4886251A" w:rsidR="00B11C56" w:rsidRPr="00B248A6" w:rsidRDefault="00B248A6" w:rsidP="002353F7">
      <w:pPr>
        <w:pBdr>
          <w:top w:val="nil"/>
          <w:left w:val="nil"/>
          <w:bottom w:val="nil"/>
          <w:right w:val="nil"/>
          <w:between w:val="nil"/>
        </w:pBdr>
        <w:spacing w:before="280"/>
        <w:rPr>
          <w:rFonts w:asciiTheme="majorBidi" w:eastAsia="Times New Roman" w:hAnsiTheme="majorBidi" w:cstheme="majorBidi"/>
          <w:b/>
          <w:bCs/>
          <w:color w:val="000000"/>
        </w:rPr>
      </w:pPr>
      <w:r w:rsidRPr="00B248A6">
        <w:rPr>
          <w:rFonts w:asciiTheme="majorBidi" w:eastAsia="Times New Roman" w:hAnsiTheme="majorBidi" w:cstheme="majorBidi"/>
          <w:b/>
          <w:bCs/>
          <w:color w:val="000000"/>
        </w:rPr>
        <w:lastRenderedPageBreak/>
        <w:t>3</w:t>
      </w:r>
      <w:r w:rsidR="00000000" w:rsidRPr="00B248A6">
        <w:rPr>
          <w:rFonts w:asciiTheme="majorBidi" w:eastAsia="Times New Roman" w:hAnsiTheme="majorBidi" w:cstheme="majorBidi"/>
          <w:b/>
          <w:bCs/>
          <w:color w:val="000000"/>
        </w:rPr>
        <w:t xml:space="preserve">. </w:t>
      </w:r>
      <w:r w:rsidR="003D3240">
        <w:rPr>
          <w:rFonts w:asciiTheme="majorBidi" w:eastAsia="Times New Roman" w:hAnsiTheme="majorBidi" w:cstheme="majorBidi"/>
          <w:b/>
          <w:bCs/>
          <w:color w:val="000000"/>
        </w:rPr>
        <w:t xml:space="preserve">Caffeine and </w:t>
      </w:r>
      <w:r w:rsidR="00000000" w:rsidRPr="00B248A6">
        <w:rPr>
          <w:rFonts w:asciiTheme="majorBidi" w:eastAsia="Times New Roman" w:hAnsiTheme="majorBidi" w:cstheme="majorBidi"/>
          <w:b/>
          <w:bCs/>
          <w:color w:val="000000"/>
        </w:rPr>
        <w:t xml:space="preserve">Androgen Receptor Signaling </w:t>
      </w:r>
    </w:p>
    <w:p w14:paraId="00000047"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 xml:space="preserve"> AR signaling is a central driver of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initiation, progression, and therapeutic resistance [3,51,52]. Although ADT initially suppresses tumor growth in advanced disease, many tumors eventually progress to CRPC through mechanisms that restore or bypass AR activity [3,72]. These mechanisms include AR amplification, activating mutations, intratumoral androgen synthesis, constitutively active AR splice variants, and ligand-independent AR activation mediated by inflammatory signaling pathways [51–53,72]. Among these pathways, IL-6-dependent activation of the JAK/STAT3 axis has emerged as a potentially important mediator of AR reactivation in CRPC biology.</w:t>
      </w:r>
    </w:p>
    <w:p w14:paraId="00000048"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 xml:space="preserve">Experimental studies have demonstrated that IL-6 can activate STAT3 phosphorylation and enhance AR-mediated transcriptional activity in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cells, including increased prostate-specific antigen (PSA) expression and AR nuclear localization [51–53]. Inhibition of STAT3 signaling attenuates several of these downstream effects, supporting functional interaction between IL-6/STAT3 signaling and AR activity [52]. Elevated circulating IL-6 levels have additionally been associated with advanced disease burden, therapeutic resistance, and poorer outcomes in patients with CRPC [6,55]. However, IL-6 signaling in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appears biologically complex and context dependent. Recent studies have also suggested that IL6ST/gp130-mediated signaling may induce senescence-associated anti-tumor responses under specific conditions, highlighting the multifaceted nature of IL-6 pathway biology in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[75].</w:t>
      </w:r>
    </w:p>
    <w:p w14:paraId="00000049"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[Figure 1]</w:t>
      </w:r>
    </w:p>
    <w:p w14:paraId="0000004A"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 xml:space="preserve">Current evidence linking caffeine to AR modulation in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remains limited and heterogeneous. Importantly, the available literature includes two distinct evidence categories: (1) studies evaluating pure caffeine exposure, and (2) studies investigating coffee intake or coffee-derived extracts containing multiple bioactive compounds, including chlorogenic acids, diterpenes, and polyphenols [13,25,54,55]. Distinguishing between these exposure types is essential because attribution of observed biologic effects specifically to caffeine is frequently uncertain.</w:t>
      </w:r>
    </w:p>
    <w:p w14:paraId="0000004B"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 xml:space="preserve">Epidemiological studies evaluating coffee consumption have reported modest inverse associations with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incidence or progression in some cohorts and meta-analyses [14,15,76]. However, findings remain inconsistent across studies, and large prospective cohorts and Mendelian randomization (MR) analyses have reported null or minimal associations [77–80]. Moreover, epidemiologic associations may reflect combined effects of multiple coffee constituents, genetic variability in caffeine metabolism, lifestyle confounding, or differences in coffee preparation methods rather than caffeine exposure alone.</w:t>
      </w:r>
    </w:p>
    <w:p w14:paraId="0000004C"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sdt>
        <w:sdtPr>
          <w:rPr>
            <w:rFonts w:asciiTheme="majorBidi" w:hAnsiTheme="majorBidi" w:cstheme="majorBidi"/>
          </w:rPr>
          <w:tag w:val="goog_rdk_1"/>
          <w:id w:val="629031271"/>
        </w:sdtPr>
        <w:sdtContent>
          <w:r w:rsidRPr="00B248A6">
            <w:rPr>
              <w:rFonts w:asciiTheme="majorBidi" w:eastAsia="Cardo" w:hAnsiTheme="majorBidi" w:cstheme="majorBidi"/>
              <w:color w:val="000000"/>
            </w:rPr>
            <w:t>Experimental studies using coffee extracts or isolated coffee-derived compounds have demonstrated anti-proliferative, pro-apoptotic, antioxidant, and NF-</w:t>
          </w:r>
          <w:proofErr w:type="spellStart"/>
          <w:r w:rsidRPr="00B248A6">
            <w:rPr>
              <w:rFonts w:asciiTheme="majorBidi" w:eastAsia="Cardo" w:hAnsiTheme="majorBidi" w:cstheme="majorBidi"/>
              <w:color w:val="000000"/>
            </w:rPr>
            <w:t>κB</w:t>
          </w:r>
          <w:proofErr w:type="spellEnd"/>
          <w:r w:rsidRPr="00B248A6">
            <w:rPr>
              <w:rFonts w:asciiTheme="majorBidi" w:eastAsia="Cardo" w:hAnsiTheme="majorBidi" w:cstheme="majorBidi"/>
              <w:color w:val="000000"/>
            </w:rPr>
            <w:t xml:space="preserve">-modulatory effects in </w:t>
          </w:r>
          <w:proofErr w:type="spellStart"/>
          <w:r w:rsidRPr="00B248A6">
            <w:rPr>
              <w:rFonts w:asciiTheme="majorBidi" w:eastAsia="Cardo" w:hAnsiTheme="majorBidi" w:cstheme="majorBidi"/>
              <w:color w:val="000000"/>
            </w:rPr>
            <w:t>PCa</w:t>
          </w:r>
          <w:proofErr w:type="spellEnd"/>
          <w:r w:rsidRPr="00B248A6">
            <w:rPr>
              <w:rFonts w:asciiTheme="majorBidi" w:eastAsia="Cardo" w:hAnsiTheme="majorBidi" w:cstheme="majorBidi"/>
              <w:color w:val="000000"/>
            </w:rPr>
            <w:t xml:space="preserve"> cell models [13,54]. Nevertheless, these studies often utilize complex mixtures or extract concentrations that limit mechanistic attribution specifically to caffeine. By contrast, studies evaluating pure caffeine in </w:t>
          </w:r>
          <w:proofErr w:type="spellStart"/>
          <w:r w:rsidRPr="00B248A6">
            <w:rPr>
              <w:rFonts w:asciiTheme="majorBidi" w:eastAsia="Cardo" w:hAnsiTheme="majorBidi" w:cstheme="majorBidi"/>
              <w:color w:val="000000"/>
            </w:rPr>
            <w:t>PCa</w:t>
          </w:r>
          <w:proofErr w:type="spellEnd"/>
          <w:r w:rsidRPr="00B248A6">
            <w:rPr>
              <w:rFonts w:asciiTheme="majorBidi" w:eastAsia="Cardo" w:hAnsiTheme="majorBidi" w:cstheme="majorBidi"/>
              <w:color w:val="000000"/>
            </w:rPr>
            <w:t xml:space="preserve"> models remain comparatively limited. Available preclinical evidence suggests that caffeine can induce apoptosis, oxidative stress, and cell-cycle perturbation in </w:t>
          </w:r>
          <w:proofErr w:type="spellStart"/>
          <w:r w:rsidRPr="00B248A6">
            <w:rPr>
              <w:rFonts w:asciiTheme="majorBidi" w:eastAsia="Cardo" w:hAnsiTheme="majorBidi" w:cstheme="majorBidi"/>
              <w:color w:val="000000"/>
            </w:rPr>
            <w:t>PCa</w:t>
          </w:r>
          <w:proofErr w:type="spellEnd"/>
          <w:r w:rsidRPr="00B248A6">
            <w:rPr>
              <w:rFonts w:asciiTheme="majorBidi" w:eastAsia="Cardo" w:hAnsiTheme="majorBidi" w:cstheme="majorBidi"/>
              <w:color w:val="000000"/>
            </w:rPr>
            <w:t xml:space="preserve"> cell lines, particularly at concentrations ≥100 µM [57,58]. However, these concentrations </w:t>
          </w:r>
          <w:r w:rsidRPr="00B248A6">
            <w:rPr>
              <w:rFonts w:asciiTheme="majorBidi" w:eastAsia="Cardo" w:hAnsiTheme="majorBidi" w:cstheme="majorBidi"/>
              <w:color w:val="000000"/>
            </w:rPr>
            <w:lastRenderedPageBreak/>
            <w:t>substantially exceed plasma levels typically achieved through standard dietary intake, raising important questions regarding physiologic relevance and translational applicability.</w:t>
          </w:r>
        </w:sdtContent>
      </w:sdt>
    </w:p>
    <w:p w14:paraId="0000004D"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sdt>
        <w:sdtPr>
          <w:rPr>
            <w:rFonts w:asciiTheme="majorBidi" w:hAnsiTheme="majorBidi" w:cstheme="majorBidi"/>
          </w:rPr>
          <w:tag w:val="goog_rdk_2"/>
          <w:id w:val="510642456"/>
        </w:sdtPr>
        <w:sdtContent>
          <w:r w:rsidRPr="00B248A6">
            <w:rPr>
              <w:rFonts w:asciiTheme="majorBidi" w:eastAsia="Cardo" w:hAnsiTheme="majorBidi" w:cstheme="majorBidi"/>
              <w:color w:val="000000"/>
            </w:rPr>
            <w:t xml:space="preserve">One proposed hypothesis is that caffeine may indirectly influence AR signaling through modulation of inflammatory and </w:t>
          </w:r>
          <w:proofErr w:type="spellStart"/>
          <w:r w:rsidRPr="00B248A6">
            <w:rPr>
              <w:rFonts w:asciiTheme="majorBidi" w:eastAsia="Cardo" w:hAnsiTheme="majorBidi" w:cstheme="majorBidi"/>
              <w:color w:val="000000"/>
            </w:rPr>
            <w:t>adenosinergic</w:t>
          </w:r>
          <w:proofErr w:type="spellEnd"/>
          <w:r w:rsidRPr="00B248A6">
            <w:rPr>
              <w:rFonts w:asciiTheme="majorBidi" w:eastAsia="Cardo" w:hAnsiTheme="majorBidi" w:cstheme="majorBidi"/>
              <w:color w:val="000000"/>
            </w:rPr>
            <w:t xml:space="preserve"> pathways upstream of STAT3 activation. Experimental data from broader oncology and inflammatory models suggest that caffeine can modulate IL-6 production, NF-</w:t>
          </w:r>
          <w:proofErr w:type="spellStart"/>
          <w:r w:rsidRPr="00B248A6">
            <w:rPr>
              <w:rFonts w:asciiTheme="majorBidi" w:eastAsia="Cardo" w:hAnsiTheme="majorBidi" w:cstheme="majorBidi"/>
              <w:color w:val="000000"/>
            </w:rPr>
            <w:t>κB</w:t>
          </w:r>
          <w:proofErr w:type="spellEnd"/>
          <w:r w:rsidRPr="00B248A6">
            <w:rPr>
              <w:rFonts w:asciiTheme="majorBidi" w:eastAsia="Cardo" w:hAnsiTheme="majorBidi" w:cstheme="majorBidi"/>
              <w:color w:val="000000"/>
            </w:rPr>
            <w:t xml:space="preserve"> signaling, and immune-cell activity under certain conditions [10,13,69,74]. Such effects raise the possibility that caffeine-mediated suppression of IL-6/STAT3 signaling could attenuate ligand-independent AR activation in </w:t>
          </w:r>
          <w:proofErr w:type="spellStart"/>
          <w:r w:rsidRPr="00B248A6">
            <w:rPr>
              <w:rFonts w:asciiTheme="majorBidi" w:eastAsia="Cardo" w:hAnsiTheme="majorBidi" w:cstheme="majorBidi"/>
              <w:color w:val="000000"/>
            </w:rPr>
            <w:t>PCa</w:t>
          </w:r>
          <w:proofErr w:type="spellEnd"/>
          <w:r w:rsidRPr="00B248A6">
            <w:rPr>
              <w:rFonts w:asciiTheme="majorBidi" w:eastAsia="Cardo" w:hAnsiTheme="majorBidi" w:cstheme="majorBidi"/>
              <w:color w:val="000000"/>
            </w:rPr>
            <w:t xml:space="preserve">. However, direct mechanistic evidence supporting an integrated caffeine → IL-6 → pSTAT3 → AR signaling cascade in </w:t>
          </w:r>
          <w:proofErr w:type="spellStart"/>
          <w:r w:rsidRPr="00B248A6">
            <w:rPr>
              <w:rFonts w:asciiTheme="majorBidi" w:eastAsia="Cardo" w:hAnsiTheme="majorBidi" w:cstheme="majorBidi"/>
              <w:color w:val="000000"/>
            </w:rPr>
            <w:t>PCa</w:t>
          </w:r>
          <w:proofErr w:type="spellEnd"/>
          <w:r w:rsidRPr="00B248A6">
            <w:rPr>
              <w:rFonts w:asciiTheme="majorBidi" w:eastAsia="Cardo" w:hAnsiTheme="majorBidi" w:cstheme="majorBidi"/>
              <w:color w:val="000000"/>
            </w:rPr>
            <w:t xml:space="preserve"> models remains lacking. At present, this framework should therefore be regarded as a biologically plausible but incompletely validated mechanistic hypothesis rather than an established pathway in </w:t>
          </w:r>
          <w:proofErr w:type="spellStart"/>
          <w:r w:rsidRPr="00B248A6">
            <w:rPr>
              <w:rFonts w:asciiTheme="majorBidi" w:eastAsia="Cardo" w:hAnsiTheme="majorBidi" w:cstheme="majorBidi"/>
              <w:color w:val="000000"/>
            </w:rPr>
            <w:t>PCa</w:t>
          </w:r>
          <w:proofErr w:type="spellEnd"/>
          <w:r w:rsidRPr="00B248A6">
            <w:rPr>
              <w:rFonts w:asciiTheme="majorBidi" w:eastAsia="Cardo" w:hAnsiTheme="majorBidi" w:cstheme="majorBidi"/>
              <w:color w:val="000000"/>
            </w:rPr>
            <w:t>.</w:t>
          </w:r>
        </w:sdtContent>
      </w:sdt>
    </w:p>
    <w:p w14:paraId="0000004E" w14:textId="77777777" w:rsidR="00B11C56" w:rsidRPr="00C25F5D"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 xml:space="preserve">Further investigation will be necessary to clarify whether caffeine-mediated modulation of inflammatory and AR-related signaling has physiologic or translational relevance in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Future studies should prioritize physiologically achievable caffeine concentrations (e.g., 0.5–20 µM) alongside higher pharmacologic exposures in both AR-positive and AR-negative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models. Integrated experimental approaches incorporating IL-6 quantification, STAT3 phosphorylation, AR nuclear localization, PSA transcription, and TME interactions may help determine whether meaningful mechanistic coupling exists between adenosine signaling, IL-6 activity, and AR </w:t>
      </w:r>
      <w:r w:rsidRPr="00C25F5D">
        <w:rPr>
          <w:rFonts w:asciiTheme="majorBidi" w:eastAsia="Times New Roman" w:hAnsiTheme="majorBidi" w:cstheme="majorBidi"/>
          <w:color w:val="000000"/>
        </w:rPr>
        <w:t>regulation. In parallel, pharmacokinetic and presurgical window-of-opportunity studies evaluating intraprostatic caffeine concentrations and associated biomarker changes could provide important translational insight into the clinical plausibility of this proposed signaling framework.</w:t>
      </w:r>
    </w:p>
    <w:p w14:paraId="0000004F" w14:textId="05E86442" w:rsidR="00B11C56" w:rsidRPr="00C25F5D" w:rsidRDefault="00B248A6" w:rsidP="00B248A6">
      <w:pPr>
        <w:pBdr>
          <w:top w:val="nil"/>
          <w:left w:val="nil"/>
          <w:bottom w:val="nil"/>
          <w:right w:val="nil"/>
          <w:between w:val="nil"/>
        </w:pBdr>
        <w:spacing w:before="280"/>
        <w:rPr>
          <w:rFonts w:asciiTheme="majorBidi" w:eastAsia="Times New Roman" w:hAnsiTheme="majorBidi" w:cstheme="majorBidi"/>
          <w:b/>
          <w:bCs/>
          <w:color w:val="FF0000"/>
        </w:rPr>
      </w:pPr>
      <w:r w:rsidRPr="00C25F5D">
        <w:rPr>
          <w:rFonts w:asciiTheme="majorBidi" w:eastAsia="Times New Roman" w:hAnsiTheme="majorBidi" w:cstheme="majorBidi"/>
          <w:b/>
          <w:bCs/>
          <w:color w:val="000000"/>
        </w:rPr>
        <w:t>4</w:t>
      </w:r>
      <w:r w:rsidR="00000000" w:rsidRPr="00C25F5D">
        <w:rPr>
          <w:rFonts w:asciiTheme="majorBidi" w:eastAsia="Times New Roman" w:hAnsiTheme="majorBidi" w:cstheme="majorBidi"/>
          <w:b/>
          <w:bCs/>
          <w:color w:val="000000"/>
        </w:rPr>
        <w:t xml:space="preserve">. </w:t>
      </w:r>
      <w:r w:rsidRPr="00C25F5D">
        <w:rPr>
          <w:rFonts w:asciiTheme="majorBidi" w:eastAsia="Times New Roman" w:hAnsiTheme="majorBidi" w:cstheme="majorBidi"/>
          <w:b/>
          <w:bCs/>
          <w:color w:val="000000"/>
        </w:rPr>
        <w:t xml:space="preserve">Caffeine </w:t>
      </w:r>
      <w:r w:rsidR="00000000" w:rsidRPr="00C25F5D">
        <w:rPr>
          <w:rFonts w:asciiTheme="majorBidi" w:eastAsia="Times New Roman" w:hAnsiTheme="majorBidi" w:cstheme="majorBidi"/>
          <w:b/>
          <w:bCs/>
          <w:color w:val="000000"/>
        </w:rPr>
        <w:t xml:space="preserve">Immunomodulation </w:t>
      </w:r>
      <w:r w:rsidRPr="00C25F5D">
        <w:rPr>
          <w:rFonts w:asciiTheme="majorBidi" w:eastAsia="Times New Roman" w:hAnsiTheme="majorBidi" w:cstheme="majorBidi"/>
          <w:b/>
          <w:bCs/>
          <w:color w:val="000000"/>
        </w:rPr>
        <w:t>in</w:t>
      </w:r>
      <w:r w:rsidR="00000000" w:rsidRPr="00C25F5D">
        <w:rPr>
          <w:rFonts w:asciiTheme="majorBidi" w:eastAsia="Times New Roman" w:hAnsiTheme="majorBidi" w:cstheme="majorBidi"/>
          <w:b/>
          <w:bCs/>
          <w:color w:val="000000"/>
        </w:rPr>
        <w:t xml:space="preserve"> Tumor Microenvironment </w:t>
      </w:r>
    </w:p>
    <w:p w14:paraId="00000050"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C25F5D">
        <w:rPr>
          <w:rFonts w:asciiTheme="majorBidi" w:eastAsia="Times New Roman" w:hAnsiTheme="majorBidi" w:cstheme="majorBidi"/>
          <w:color w:val="000000"/>
        </w:rPr>
        <w:t xml:space="preserve">The </w:t>
      </w:r>
      <w:proofErr w:type="spellStart"/>
      <w:r w:rsidRPr="00C25F5D">
        <w:rPr>
          <w:rFonts w:asciiTheme="majorBidi" w:eastAsia="Times New Roman" w:hAnsiTheme="majorBidi" w:cstheme="majorBidi"/>
          <w:color w:val="000000"/>
        </w:rPr>
        <w:t>PCa</w:t>
      </w:r>
      <w:proofErr w:type="spellEnd"/>
      <w:r w:rsidRPr="00C25F5D">
        <w:rPr>
          <w:rFonts w:asciiTheme="majorBidi" w:eastAsia="Times New Roman" w:hAnsiTheme="majorBidi" w:cstheme="majorBidi"/>
          <w:color w:val="000000"/>
        </w:rPr>
        <w:t xml:space="preserve"> TME is characterized by complex interactions among tumor-associated macrophages, Tregs, MDSCs, cancer-associated fibroblasts, stromal elements, and inflammatory mediators that collectively contribute to immune evasion and therapeutic resistance</w:t>
      </w:r>
      <w:r w:rsidRPr="00B248A6">
        <w:rPr>
          <w:rFonts w:asciiTheme="majorBidi" w:eastAsia="Times New Roman" w:hAnsiTheme="majorBidi" w:cstheme="majorBidi"/>
          <w:color w:val="000000"/>
        </w:rPr>
        <w:t xml:space="preserve"> [59–61]. Increasing evidence suggests that chronic inflammatory signaling within the TME promotes both tumor progression and resistance to androgen-targeted therapies. Among the cytokines implicated in these processes, IL-6 has emerged as an important mediator linking inflammation, immune suppression, and AR signaling in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[6,53,60,61]. Elevated circulating IL-6 levels have been associated with advanced disease stage, metastatic progression, and poorer clinical outcomes in several patient cohorts [55,62]. Mechanistically, IL-6 can activate STAT3 signaling, promote expansion of immunosuppressive immune populations, and enhance AR-mediated transcriptional activity in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cells [53,61]. However, the biologic effects of IL-6 signaling appear context dependent and may vary according to disease stage, metastatic site, and TME conditions [64,75].</w:t>
      </w:r>
    </w:p>
    <w:p w14:paraId="00000051"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[Figure 2]</w:t>
      </w:r>
    </w:p>
    <w:p w14:paraId="00000052" w14:textId="6567F9A8" w:rsidR="00B11C56" w:rsidRPr="00B248A6" w:rsidRDefault="003D3240" w:rsidP="002353F7">
      <w:pPr>
        <w:pBdr>
          <w:top w:val="nil"/>
          <w:left w:val="nil"/>
          <w:bottom w:val="nil"/>
          <w:right w:val="nil"/>
          <w:between w:val="nil"/>
        </w:pBdr>
        <w:spacing w:before="280"/>
        <w:rPr>
          <w:rFonts w:asciiTheme="majorBidi" w:eastAsia="Times New Roman" w:hAnsiTheme="majorBidi" w:cstheme="majorBidi"/>
          <w:color w:val="000000"/>
        </w:rPr>
      </w:pPr>
      <w:r>
        <w:rPr>
          <w:rFonts w:asciiTheme="majorBidi" w:eastAsia="Times New Roman" w:hAnsiTheme="majorBidi" w:cstheme="majorBidi"/>
          <w:color w:val="000000"/>
        </w:rPr>
        <w:t>Adenosine</w:t>
      </w:r>
      <w:r w:rsidR="00000000" w:rsidRPr="00B248A6">
        <w:rPr>
          <w:rFonts w:asciiTheme="majorBidi" w:eastAsia="Times New Roman" w:hAnsiTheme="majorBidi" w:cstheme="majorBidi"/>
          <w:color w:val="000000"/>
        </w:rPr>
        <w:t xml:space="preserve"> signaling represents an additional mechanism contributing to immune suppression within the TME. Activation of A2A and A2B adenosine receptors on immune cells increases intracellular cAMP signaling and suppresses cytotoxic T-cell activity while promoting expression of inhibitory checkpoint pathways [37,65,66]. In several preclinical cancer models, </w:t>
      </w:r>
      <w:r w:rsidR="00000000" w:rsidRPr="00B248A6">
        <w:rPr>
          <w:rFonts w:asciiTheme="majorBidi" w:eastAsia="Times New Roman" w:hAnsiTheme="majorBidi" w:cstheme="majorBidi"/>
          <w:color w:val="000000"/>
        </w:rPr>
        <w:lastRenderedPageBreak/>
        <w:t xml:space="preserve">pharmacologic A2A receptor blockade has enhanced antitumor immunity, increased CD8+ T-cell infiltration, reduced Treg abundance, and improved responses to immune checkpoint inhibition [42,67,68]. Combined inhibition of adenosine signaling and PD-1/PD-L1 pathways </w:t>
      </w:r>
      <w:proofErr w:type="gramStart"/>
      <w:r w:rsidR="00000000" w:rsidRPr="00B248A6">
        <w:rPr>
          <w:rFonts w:asciiTheme="majorBidi" w:eastAsia="Times New Roman" w:hAnsiTheme="majorBidi" w:cstheme="majorBidi"/>
          <w:color w:val="000000"/>
        </w:rPr>
        <w:t>has</w:t>
      </w:r>
      <w:proofErr w:type="gramEnd"/>
      <w:r w:rsidR="00000000" w:rsidRPr="00B248A6">
        <w:rPr>
          <w:rFonts w:asciiTheme="majorBidi" w:eastAsia="Times New Roman" w:hAnsiTheme="majorBidi" w:cstheme="majorBidi"/>
          <w:color w:val="000000"/>
        </w:rPr>
        <w:t xml:space="preserve"> demonstrated additive or synergistic anti-tumor effects in experimental systems, including genetically engineered </w:t>
      </w:r>
      <w:proofErr w:type="spellStart"/>
      <w:r w:rsidR="00000000" w:rsidRPr="00B248A6">
        <w:rPr>
          <w:rFonts w:asciiTheme="majorBidi" w:eastAsia="Times New Roman" w:hAnsiTheme="majorBidi" w:cstheme="majorBidi"/>
          <w:color w:val="000000"/>
        </w:rPr>
        <w:t>PCa</w:t>
      </w:r>
      <w:proofErr w:type="spellEnd"/>
      <w:r w:rsidR="00000000" w:rsidRPr="00B248A6">
        <w:rPr>
          <w:rFonts w:asciiTheme="majorBidi" w:eastAsia="Times New Roman" w:hAnsiTheme="majorBidi" w:cstheme="majorBidi"/>
          <w:color w:val="000000"/>
        </w:rPr>
        <w:t xml:space="preserve"> models [68]. Nevertheless, much of this evidence derives from selective receptor antagonists or immunotherapy-focused studies rather than direct investigation of dietary caffeine exposure in </w:t>
      </w:r>
      <w:proofErr w:type="spellStart"/>
      <w:r w:rsidR="00000000" w:rsidRPr="00B248A6">
        <w:rPr>
          <w:rFonts w:asciiTheme="majorBidi" w:eastAsia="Times New Roman" w:hAnsiTheme="majorBidi" w:cstheme="majorBidi"/>
          <w:color w:val="000000"/>
        </w:rPr>
        <w:t>PCa</w:t>
      </w:r>
      <w:proofErr w:type="spellEnd"/>
      <w:r w:rsidR="00000000" w:rsidRPr="00B248A6">
        <w:rPr>
          <w:rFonts w:asciiTheme="majorBidi" w:eastAsia="Times New Roman" w:hAnsiTheme="majorBidi" w:cstheme="majorBidi"/>
          <w:color w:val="000000"/>
        </w:rPr>
        <w:t>.</w:t>
      </w:r>
    </w:p>
    <w:p w14:paraId="00000053"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 xml:space="preserve">Because caffeine functions as a nonselective antagonist of adenosine receptors, several investigators have proposed that it may partially modulate similar immunologic pathways [10,11]. Experimental studies in murine and immune-cell models have reported reductions in PD-1 expression, enhanced IFN-γ release, and altered cytokine production following caffeine exposure [69–71]. In macrophage-based inflammatory models, caffeine has additionally been shown to reduce lipopolysaccharide-induced IL-6 and TNF-α production under certain experimental conditions [71]. However, interpretation of these findings requires caution because many reported immunomodulatory effects occur at concentrations substantially exceeding physiologic plasma levels achievable through routine human caffeine consumption. </w:t>
      </w:r>
      <w:proofErr w:type="gramStart"/>
      <w:r w:rsidRPr="00B248A6">
        <w:rPr>
          <w:rFonts w:asciiTheme="majorBidi" w:eastAsia="Times New Roman" w:hAnsiTheme="majorBidi" w:cstheme="majorBidi"/>
          <w:color w:val="000000"/>
        </w:rPr>
        <w:t>In particular, several</w:t>
      </w:r>
      <w:proofErr w:type="gramEnd"/>
      <w:r w:rsidRPr="00B248A6">
        <w:rPr>
          <w:rFonts w:asciiTheme="majorBidi" w:eastAsia="Times New Roman" w:hAnsiTheme="majorBidi" w:cstheme="majorBidi"/>
          <w:color w:val="000000"/>
        </w:rPr>
        <w:t xml:space="preserve"> cytokine-suppression studies utilize concentrations in the high micromolar to millimolar range, which may reflect pharmacologic rather than dietary exposure conditions.</w:t>
      </w:r>
    </w:p>
    <w:p w14:paraId="00000056" w14:textId="2B1406E6" w:rsidR="00B11C56" w:rsidRPr="00B248A6" w:rsidRDefault="00BC1544" w:rsidP="002353F7">
      <w:pPr>
        <w:pBdr>
          <w:top w:val="nil"/>
          <w:left w:val="nil"/>
          <w:bottom w:val="nil"/>
          <w:right w:val="nil"/>
          <w:between w:val="nil"/>
        </w:pBdr>
        <w:spacing w:before="280"/>
        <w:rPr>
          <w:rFonts w:asciiTheme="majorBidi" w:eastAsia="Times New Roman" w:hAnsiTheme="majorBidi" w:cstheme="majorBidi"/>
          <w:b/>
          <w:bCs/>
          <w:color w:val="000000"/>
        </w:rPr>
      </w:pPr>
      <w:r>
        <w:rPr>
          <w:rFonts w:asciiTheme="majorBidi" w:eastAsia="Times New Roman" w:hAnsiTheme="majorBidi" w:cstheme="majorBidi"/>
          <w:b/>
          <w:bCs/>
          <w:color w:val="000000"/>
        </w:rPr>
        <w:t>5</w:t>
      </w:r>
      <w:r w:rsidR="00000000" w:rsidRPr="00B248A6">
        <w:rPr>
          <w:rFonts w:asciiTheme="majorBidi" w:eastAsia="Times New Roman" w:hAnsiTheme="majorBidi" w:cstheme="majorBidi"/>
          <w:b/>
          <w:bCs/>
          <w:color w:val="000000"/>
        </w:rPr>
        <w:t>. Epidemiological and Clinical Evidence</w:t>
      </w:r>
    </w:p>
    <w:p w14:paraId="00000057" w14:textId="227E9FAE"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 xml:space="preserve">Epidemiological studies investigating coffee or caffeine consumption and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risk have yielded heterogeneous findings, with several cohort studies and meta-analyses suggesting modest inverse associations, whereas </w:t>
      </w:r>
      <w:r w:rsidR="00BC1544">
        <w:rPr>
          <w:rFonts w:asciiTheme="majorBidi" w:eastAsia="Times New Roman" w:hAnsiTheme="majorBidi" w:cstheme="majorBidi"/>
          <w:color w:val="000000"/>
        </w:rPr>
        <w:t>Mendelian Randomization</w:t>
      </w:r>
      <w:r w:rsidRPr="00B248A6">
        <w:rPr>
          <w:rFonts w:asciiTheme="majorBidi" w:eastAsia="Times New Roman" w:hAnsiTheme="majorBidi" w:cstheme="majorBidi"/>
          <w:color w:val="000000"/>
        </w:rPr>
        <w:t xml:space="preserve"> (MR</w:t>
      </w:r>
      <w:r w:rsidR="00BC1544">
        <w:rPr>
          <w:rFonts w:asciiTheme="majorBidi" w:eastAsia="Times New Roman" w:hAnsiTheme="majorBidi" w:cstheme="majorBidi"/>
          <w:color w:val="000000"/>
        </w:rPr>
        <w:t>)</w:t>
      </w:r>
      <w:r w:rsidRPr="00B248A6">
        <w:rPr>
          <w:rFonts w:asciiTheme="majorBidi" w:eastAsia="Times New Roman" w:hAnsiTheme="majorBidi" w:cstheme="majorBidi"/>
          <w:color w:val="000000"/>
        </w:rPr>
        <w:t xml:space="preserve"> analyses have reported null or minimal effects [14,15,33,76–80]. Importantly, interpretation of this literature is complicated by substantial variability in exposure assessment, coffee preparation methods, genetic determinants of caffeine metabolism, residual lifestyle confounding, and the frequent inability to distinguish the effects of pure caffeine from those of other coffee-derived bioactive compounds.</w:t>
      </w:r>
    </w:p>
    <w:p w14:paraId="00000058"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 xml:space="preserve">A meta-analysis of 16 prospective cohort studies involving more than 1 million participants and 57,732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cases reported that the highest versus lowest coffee consumption category was associated with a modest reduction in overall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risk (RR = 0.91, 95% CI 0.84–0.98). The same analysis reported weaker and less consistent associations for localized, advanced, and fatal disease subtypes [15]. Similarly, the Health Professionals Follow-Up Study (HPFS), which followed 47,911 U.S. men over approximately 20 years, observed a lower relative risk of overall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among men consuming six or more cups of coffee daily compared with non-drinkers, although trend significance across exposure categories was modest [76]. Earlier HPFS analyses additionally suggested stronger inverse associations for lethal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though effect sizes were attenuated after further adjustment for confounding variables and updated follow-up [76].</w:t>
      </w:r>
    </w:p>
    <w:p w14:paraId="00000059"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 xml:space="preserve">Several observational studies have also suggested that genetic variability in caffeine metabolism may modify epidemiologic associations. In genotype-stratified analyses, high coffee intake was associated with improved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-specific survival among individuals carrying the </w:t>
      </w:r>
      <w:sdt>
        <w:sdtPr>
          <w:rPr>
            <w:rFonts w:asciiTheme="majorBidi" w:hAnsiTheme="majorBidi" w:cstheme="majorBidi"/>
          </w:rPr>
          <w:tag w:val="goog_rdk_3"/>
          <w:id w:val="-2122739087"/>
        </w:sdtPr>
        <w:sdtContent>
          <w:r w:rsidRPr="00B248A6">
            <w:rPr>
              <w:rFonts w:asciiTheme="majorBidi" w:eastAsia="Gungsuh" w:hAnsiTheme="majorBidi" w:cstheme="majorBidi"/>
              <w:i/>
              <w:iCs/>
              <w:color w:val="000000"/>
            </w:rPr>
            <w:t>CYP1A2 −163 AA</w:t>
          </w:r>
        </w:sdtContent>
      </w:sdt>
      <w:r w:rsidRPr="00B248A6">
        <w:rPr>
          <w:rFonts w:asciiTheme="majorBidi" w:eastAsia="Times New Roman" w:hAnsiTheme="majorBidi" w:cstheme="majorBidi"/>
          <w:color w:val="000000"/>
        </w:rPr>
        <w:t xml:space="preserve"> genotype, whereas no significant association was observed in slower-metabolizer genotypes </w:t>
      </w:r>
      <w:r w:rsidRPr="00B248A6">
        <w:rPr>
          <w:rFonts w:asciiTheme="majorBidi" w:eastAsia="Times New Roman" w:hAnsiTheme="majorBidi" w:cstheme="majorBidi"/>
          <w:color w:val="000000"/>
        </w:rPr>
        <w:lastRenderedPageBreak/>
        <w:t>[33]. These findings support the possibility that interindividual differences in caffeine clearance or adenosine signaling may influence biologic responses to coffee consumption.</w:t>
      </w:r>
    </w:p>
    <w:p w14:paraId="0000005A"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Additional observational support has emerged from the Italian Moli-</w:t>
      </w:r>
      <w:proofErr w:type="spellStart"/>
      <w:r w:rsidRPr="00B248A6">
        <w:rPr>
          <w:rFonts w:asciiTheme="majorBidi" w:eastAsia="Times New Roman" w:hAnsiTheme="majorBidi" w:cstheme="majorBidi"/>
          <w:color w:val="000000"/>
        </w:rPr>
        <w:t>sani</w:t>
      </w:r>
      <w:proofErr w:type="spellEnd"/>
      <w:r w:rsidRPr="00B248A6">
        <w:rPr>
          <w:rFonts w:asciiTheme="majorBidi" w:eastAsia="Times New Roman" w:hAnsiTheme="majorBidi" w:cstheme="majorBidi"/>
          <w:color w:val="000000"/>
        </w:rPr>
        <w:t xml:space="preserve"> cohort, in which men consuming more than three cups of Italian-style coffee daily demonstrated a lower incidence of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compared with lower-consumption groups [14]. Notably, the same study included in vitro experiments demonstrating reduced proliferation and metastatic behavior in PC-3 and DU145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cell lines following caffeine exposure [14]. However, attribution of these observations specifically to caffeine remains uncertain because coffee contains multiple biologically active compounds, including chlorogenic acids, diterpenes, and polyphenols, which may independently influence inflammatory and metabolic pathways.</w:t>
      </w:r>
    </w:p>
    <w:p w14:paraId="0000005B"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 xml:space="preserve">In contrast, several large prospective studies have reported null or weak associations. The European Prospective Investigation into Cancer and Nutrition (EPIC) cohort, which included over 142,000 men and 7,036 incident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cases, found no significant association between high coffee intake and overall or fatal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risk [77]. Similarly, the NIH-AARP Diet and Health Study reported no statistically significant reduction in overall, advanced, or fatal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among individuals consuming six or more cups of coffee daily compared with non-drinkers [78]. Collectively, these findings suggest that any protective association, if present, is likely modest and potentially influenced by differences in exposure classification, dietary patterns, population heterogeneity, and residual confounding.</w:t>
      </w:r>
    </w:p>
    <w:p w14:paraId="0000005C"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 xml:space="preserve">MR studies provide additional perspective regarding causality. A combined analysis incorporating NHANES observational data together with genetic instruments derived from the PRACTICAL and </w:t>
      </w:r>
      <w:proofErr w:type="spellStart"/>
      <w:r w:rsidRPr="00B248A6">
        <w:rPr>
          <w:rFonts w:asciiTheme="majorBidi" w:eastAsia="Times New Roman" w:hAnsiTheme="majorBidi" w:cstheme="majorBidi"/>
          <w:color w:val="000000"/>
        </w:rPr>
        <w:t>FinnGen</w:t>
      </w:r>
      <w:proofErr w:type="spellEnd"/>
      <w:r w:rsidRPr="00B248A6">
        <w:rPr>
          <w:rFonts w:asciiTheme="majorBidi" w:eastAsia="Times New Roman" w:hAnsiTheme="majorBidi" w:cstheme="majorBidi"/>
          <w:color w:val="000000"/>
        </w:rPr>
        <w:t xml:space="preserve"> consortia found no evidence supporting a causal association between genetically predicted coffee consumption and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risk [79]. Likewise, an independent MR analysis using coffee-associated variants (</w:t>
      </w:r>
      <w:r w:rsidRPr="00B248A6">
        <w:rPr>
          <w:rFonts w:asciiTheme="majorBidi" w:eastAsia="Times New Roman" w:hAnsiTheme="majorBidi" w:cstheme="majorBidi"/>
          <w:i/>
          <w:iCs/>
          <w:color w:val="000000"/>
        </w:rPr>
        <w:t>rs4410790</w:t>
      </w:r>
      <w:r w:rsidRPr="00B248A6">
        <w:rPr>
          <w:rFonts w:asciiTheme="majorBidi" w:eastAsia="Times New Roman" w:hAnsiTheme="majorBidi" w:cstheme="majorBidi"/>
          <w:color w:val="000000"/>
        </w:rPr>
        <w:t xml:space="preserve"> and </w:t>
      </w:r>
      <w:r w:rsidRPr="00B248A6">
        <w:rPr>
          <w:rFonts w:asciiTheme="majorBidi" w:eastAsia="Times New Roman" w:hAnsiTheme="majorBidi" w:cstheme="majorBidi"/>
          <w:i/>
          <w:iCs/>
          <w:color w:val="000000"/>
        </w:rPr>
        <w:t>rs2472297</w:t>
      </w:r>
      <w:r w:rsidRPr="00B248A6">
        <w:rPr>
          <w:rFonts w:asciiTheme="majorBidi" w:eastAsia="Times New Roman" w:hAnsiTheme="majorBidi" w:cstheme="majorBidi"/>
          <w:color w:val="000000"/>
        </w:rPr>
        <w:t xml:space="preserve">) in men from the PRACTICAL consortium demonstrated no significant association with overall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risk or high-grade disease [80]. Because MR approaches reduce susceptibility to reverse causation and lifestyle confounding, these findings temper conclusions derived from observational cohort studies and suggest that the epidemiologic relationship between coffee consumption and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may be more complex than initially proposed.</w:t>
      </w:r>
    </w:p>
    <w:p w14:paraId="0000005D" w14:textId="77777777" w:rsidR="00B11C56" w:rsidRPr="00B248A6" w:rsidRDefault="00000000" w:rsidP="002353F7">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 xml:space="preserve">At present, clinical evidence directly evaluating caffeine as a therapeutic intervention in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remains extremely limited. No randomized clinical trials have assessed caffeine alone as a treatment strategy or adjunctive intervention for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 xml:space="preserve"> progression, therapeutic response, or survival outcomes. Consequently, the current evidence base remains primarily observational and preclinical in nature. Although epidemiologic and mechanistic findings collectively support biologic plausibility, they do not establish causality or confirm clinically meaningful anti-cancer effects of caffeine exposure in men with </w:t>
      </w:r>
      <w:proofErr w:type="spellStart"/>
      <w:r w:rsidRPr="00B248A6">
        <w:rPr>
          <w:rFonts w:asciiTheme="majorBidi" w:eastAsia="Times New Roman" w:hAnsiTheme="majorBidi" w:cstheme="majorBidi"/>
          <w:color w:val="000000"/>
        </w:rPr>
        <w:t>PCa</w:t>
      </w:r>
      <w:proofErr w:type="spellEnd"/>
      <w:r w:rsidRPr="00B248A6">
        <w:rPr>
          <w:rFonts w:asciiTheme="majorBidi" w:eastAsia="Times New Roman" w:hAnsiTheme="majorBidi" w:cstheme="majorBidi"/>
          <w:color w:val="000000"/>
        </w:rPr>
        <w:t>.</w:t>
      </w:r>
    </w:p>
    <w:p w14:paraId="00000068" w14:textId="67B85256" w:rsidR="00B11C56" w:rsidRDefault="00000000" w:rsidP="003934CF">
      <w:pPr>
        <w:pBdr>
          <w:top w:val="nil"/>
          <w:left w:val="nil"/>
          <w:bottom w:val="nil"/>
          <w:right w:val="nil"/>
          <w:between w:val="nil"/>
        </w:pBdr>
        <w:spacing w:before="280"/>
        <w:rPr>
          <w:rFonts w:asciiTheme="majorBidi" w:eastAsia="Times New Roman" w:hAnsiTheme="majorBidi" w:cstheme="majorBidi"/>
          <w:color w:val="000000"/>
        </w:rPr>
      </w:pPr>
      <w:r w:rsidRPr="00B248A6">
        <w:rPr>
          <w:rFonts w:asciiTheme="majorBidi" w:eastAsia="Times New Roman" w:hAnsiTheme="majorBidi" w:cstheme="majorBidi"/>
          <w:color w:val="000000"/>
        </w:rPr>
        <w:t>[Table 1]</w:t>
      </w:r>
    </w:p>
    <w:p w14:paraId="6C07574E" w14:textId="77777777" w:rsidR="003934CF" w:rsidRDefault="003934CF" w:rsidP="003934CF">
      <w:pPr>
        <w:pBdr>
          <w:top w:val="nil"/>
          <w:left w:val="nil"/>
          <w:bottom w:val="nil"/>
          <w:right w:val="nil"/>
          <w:between w:val="nil"/>
        </w:pBdr>
        <w:spacing w:before="280"/>
        <w:rPr>
          <w:rFonts w:asciiTheme="majorBidi" w:eastAsia="Times New Roman" w:hAnsiTheme="majorBidi" w:cstheme="majorBidi"/>
          <w:color w:val="000000"/>
        </w:rPr>
      </w:pPr>
    </w:p>
    <w:p w14:paraId="402CC1DA" w14:textId="77777777" w:rsidR="003934CF" w:rsidRPr="003934CF" w:rsidRDefault="003934CF" w:rsidP="003934CF">
      <w:pPr>
        <w:pBdr>
          <w:top w:val="nil"/>
          <w:left w:val="nil"/>
          <w:bottom w:val="nil"/>
          <w:right w:val="nil"/>
          <w:between w:val="nil"/>
        </w:pBdr>
        <w:spacing w:before="280"/>
        <w:rPr>
          <w:rFonts w:asciiTheme="majorBidi" w:eastAsia="Times New Roman" w:hAnsiTheme="majorBidi" w:cstheme="majorBidi"/>
          <w:color w:val="000000"/>
        </w:rPr>
      </w:pPr>
    </w:p>
    <w:p w14:paraId="00000069" w14:textId="789FF7F4" w:rsidR="00B11C56" w:rsidRPr="00B248A6" w:rsidRDefault="003934CF" w:rsidP="002353F7">
      <w:pPr>
        <w:pBdr>
          <w:top w:val="nil"/>
          <w:left w:val="nil"/>
          <w:bottom w:val="nil"/>
          <w:right w:val="nil"/>
          <w:between w:val="nil"/>
        </w:pBdr>
        <w:spacing w:before="280"/>
        <w:rPr>
          <w:rFonts w:asciiTheme="majorBidi" w:eastAsia="Times New Roman" w:hAnsiTheme="majorBidi" w:cstheme="majorBidi"/>
          <w:b/>
          <w:bCs/>
          <w:color w:val="000000"/>
        </w:rPr>
      </w:pPr>
      <w:r>
        <w:rPr>
          <w:rFonts w:asciiTheme="majorBidi" w:eastAsia="Times New Roman" w:hAnsiTheme="majorBidi" w:cstheme="majorBidi"/>
          <w:b/>
          <w:bCs/>
          <w:color w:val="000000"/>
        </w:rPr>
        <w:lastRenderedPageBreak/>
        <w:t>6</w:t>
      </w:r>
      <w:r w:rsidR="00000000" w:rsidRPr="00B248A6">
        <w:rPr>
          <w:rFonts w:asciiTheme="majorBidi" w:eastAsia="Times New Roman" w:hAnsiTheme="majorBidi" w:cstheme="majorBidi"/>
          <w:b/>
          <w:bCs/>
          <w:color w:val="000000"/>
        </w:rPr>
        <w:t>. Conclusion</w:t>
      </w:r>
    </w:p>
    <w:p w14:paraId="0000006B" w14:textId="40CF1607" w:rsidR="00B11C56" w:rsidRPr="00B248A6" w:rsidRDefault="003934CF" w:rsidP="002353F7">
      <w:pPr>
        <w:spacing w:before="280"/>
        <w:rPr>
          <w:rFonts w:asciiTheme="majorBidi" w:hAnsiTheme="majorBidi" w:cstheme="majorBidi"/>
        </w:rPr>
      </w:pPr>
      <w:r>
        <w:rPr>
          <w:rFonts w:asciiTheme="majorBidi" w:hAnsiTheme="majorBidi" w:cstheme="majorBidi"/>
        </w:rPr>
        <w:t xml:space="preserve">Direct </w:t>
      </w:r>
      <w:r w:rsidR="00000000" w:rsidRPr="00B248A6">
        <w:rPr>
          <w:rFonts w:asciiTheme="majorBidi" w:hAnsiTheme="majorBidi" w:cstheme="majorBidi"/>
        </w:rPr>
        <w:t xml:space="preserve">mechanistic evidence linking caffeine to an integrated adenosine–IL-6–STAT3–AR signaling cascade in </w:t>
      </w:r>
      <w:proofErr w:type="spellStart"/>
      <w:r w:rsidR="00000000" w:rsidRPr="00B248A6">
        <w:rPr>
          <w:rFonts w:asciiTheme="majorBidi" w:hAnsiTheme="majorBidi" w:cstheme="majorBidi"/>
        </w:rPr>
        <w:t>PCa</w:t>
      </w:r>
      <w:proofErr w:type="spellEnd"/>
      <w:r w:rsidR="00000000" w:rsidRPr="00B248A6">
        <w:rPr>
          <w:rFonts w:asciiTheme="majorBidi" w:hAnsiTheme="majorBidi" w:cstheme="majorBidi"/>
        </w:rPr>
        <w:t xml:space="preserve"> remains incomplete. </w:t>
      </w:r>
      <w:r>
        <w:rPr>
          <w:rFonts w:asciiTheme="majorBidi" w:hAnsiTheme="majorBidi" w:cstheme="majorBidi"/>
        </w:rPr>
        <w:t>M</w:t>
      </w:r>
      <w:r w:rsidR="00000000" w:rsidRPr="00B248A6">
        <w:rPr>
          <w:rFonts w:asciiTheme="majorBidi" w:hAnsiTheme="majorBidi" w:cstheme="majorBidi"/>
        </w:rPr>
        <w:t xml:space="preserve">any reported anti-tumor and immunomodulatory effects occur at pharmacologic or supraphysiologic concentrations that exceed typical human plasma exposure, thereby limiting immediate translational interpretation. </w:t>
      </w:r>
      <w:r>
        <w:rPr>
          <w:rFonts w:asciiTheme="majorBidi" w:hAnsiTheme="majorBidi" w:cstheme="majorBidi"/>
        </w:rPr>
        <w:t>C</w:t>
      </w:r>
      <w:r w:rsidR="00000000" w:rsidRPr="00B248A6">
        <w:rPr>
          <w:rFonts w:asciiTheme="majorBidi" w:hAnsiTheme="majorBidi" w:cstheme="majorBidi"/>
        </w:rPr>
        <w:t xml:space="preserve">urrent evidence base is insufficient to support caffeine as an established therapeutic intervention or clinically actionable adjunct in </w:t>
      </w:r>
      <w:proofErr w:type="spellStart"/>
      <w:r w:rsidR="00000000" w:rsidRPr="00B248A6">
        <w:rPr>
          <w:rFonts w:asciiTheme="majorBidi" w:hAnsiTheme="majorBidi" w:cstheme="majorBidi"/>
        </w:rPr>
        <w:t>PCa</w:t>
      </w:r>
      <w:proofErr w:type="spellEnd"/>
      <w:r w:rsidR="00000000" w:rsidRPr="00B248A6">
        <w:rPr>
          <w:rFonts w:asciiTheme="majorBidi" w:hAnsiTheme="majorBidi" w:cstheme="majorBidi"/>
        </w:rPr>
        <w:t xml:space="preserve"> management.</w:t>
      </w:r>
    </w:p>
    <w:p w14:paraId="0000006F" w14:textId="7ACD5558" w:rsidR="00B11C56" w:rsidRPr="00B248A6" w:rsidRDefault="003934CF" w:rsidP="003934CF">
      <w:pPr>
        <w:spacing w:before="280"/>
        <w:rPr>
          <w:rFonts w:asciiTheme="majorBidi" w:hAnsiTheme="majorBidi" w:cstheme="majorBidi"/>
        </w:rPr>
      </w:pPr>
      <w:r>
        <w:rPr>
          <w:rFonts w:asciiTheme="majorBidi" w:hAnsiTheme="majorBidi" w:cstheme="majorBidi"/>
        </w:rPr>
        <w:t>The</w:t>
      </w:r>
      <w:r w:rsidR="00000000" w:rsidRPr="00B248A6">
        <w:rPr>
          <w:rFonts w:asciiTheme="majorBidi" w:hAnsiTheme="majorBidi" w:cstheme="majorBidi"/>
        </w:rPr>
        <w:t xml:space="preserve"> available literature identifies several biologically relevant pathways and research priorities that merit further investigation. Future studies should focus on physiologically relevant dosing, intraprostatic pharmacokinetics, integrated mechanistic pathway analysis, and biomarker-guided translational approaches incorporating genetic variability, inflammatory signaling profiles, and AR pathway activity. Carefully designed preclinical and early-phase clinical studies will be necessary to determine whether caffeine-mediated modulation of adenosine and inflammatory signaling has measurable biologic or therapeutic relevance in human </w:t>
      </w:r>
      <w:proofErr w:type="spellStart"/>
      <w:r w:rsidR="00000000" w:rsidRPr="00B248A6">
        <w:rPr>
          <w:rFonts w:asciiTheme="majorBidi" w:hAnsiTheme="majorBidi" w:cstheme="majorBidi"/>
        </w:rPr>
        <w:t>PCa</w:t>
      </w:r>
      <w:proofErr w:type="spellEnd"/>
      <w:r w:rsidR="00000000" w:rsidRPr="00B248A6">
        <w:rPr>
          <w:rFonts w:asciiTheme="majorBidi" w:hAnsiTheme="majorBidi" w:cstheme="majorBidi"/>
        </w:rPr>
        <w:t>.</w:t>
      </w:r>
    </w:p>
    <w:p w14:paraId="00000070" w14:textId="77777777" w:rsidR="00B11C56" w:rsidRPr="00B248A6" w:rsidRDefault="00000000" w:rsidP="002353F7">
      <w:pPr>
        <w:spacing w:before="280"/>
        <w:rPr>
          <w:rFonts w:asciiTheme="majorBidi" w:hAnsiTheme="majorBidi" w:cstheme="majorBidi"/>
          <w:b/>
          <w:bCs/>
        </w:rPr>
      </w:pPr>
      <w:r w:rsidRPr="00B248A6">
        <w:rPr>
          <w:rFonts w:asciiTheme="majorBidi" w:hAnsiTheme="majorBidi" w:cstheme="majorBidi"/>
          <w:b/>
          <w:bCs/>
        </w:rPr>
        <w:t>Disclosure</w:t>
      </w:r>
    </w:p>
    <w:p w14:paraId="00000071" w14:textId="77777777" w:rsidR="00B11C56" w:rsidRPr="00B248A6" w:rsidRDefault="00000000" w:rsidP="002353F7">
      <w:pPr>
        <w:spacing w:before="280"/>
        <w:rPr>
          <w:rFonts w:asciiTheme="majorBidi" w:hAnsiTheme="majorBidi" w:cstheme="majorBidi"/>
          <w:b/>
          <w:bCs/>
        </w:rPr>
      </w:pPr>
      <w:r w:rsidRPr="00B248A6">
        <w:rPr>
          <w:rFonts w:asciiTheme="majorBidi" w:hAnsiTheme="majorBidi" w:cstheme="majorBidi"/>
          <w:b/>
          <w:bCs/>
        </w:rPr>
        <w:t>Funding</w:t>
      </w:r>
    </w:p>
    <w:p w14:paraId="00000072" w14:textId="77777777" w:rsidR="00B11C56" w:rsidRPr="00B248A6" w:rsidRDefault="00000000" w:rsidP="002353F7">
      <w:pPr>
        <w:spacing w:before="280"/>
        <w:rPr>
          <w:rFonts w:asciiTheme="majorBidi" w:hAnsiTheme="majorBidi" w:cstheme="majorBidi"/>
        </w:rPr>
      </w:pPr>
      <w:r w:rsidRPr="00B248A6">
        <w:rPr>
          <w:rFonts w:asciiTheme="majorBidi" w:hAnsiTheme="majorBidi" w:cstheme="majorBidi"/>
        </w:rPr>
        <w:t>This work received no specific grant from any funding agency in the public, commercial, or not-for-profit sectors.</w:t>
      </w:r>
    </w:p>
    <w:p w14:paraId="00000073" w14:textId="77777777" w:rsidR="00B11C56" w:rsidRPr="00B248A6" w:rsidRDefault="00000000" w:rsidP="002353F7">
      <w:pPr>
        <w:spacing w:before="280"/>
        <w:rPr>
          <w:rFonts w:asciiTheme="majorBidi" w:hAnsiTheme="majorBidi" w:cstheme="majorBidi"/>
          <w:b/>
          <w:bCs/>
        </w:rPr>
      </w:pPr>
      <w:r w:rsidRPr="00B248A6">
        <w:rPr>
          <w:rFonts w:asciiTheme="majorBidi" w:hAnsiTheme="majorBidi" w:cstheme="majorBidi"/>
          <w:b/>
          <w:bCs/>
        </w:rPr>
        <w:t xml:space="preserve">Conflict of Interest Statement </w:t>
      </w:r>
    </w:p>
    <w:p w14:paraId="00000074" w14:textId="77777777" w:rsidR="00B11C56" w:rsidRPr="00B248A6" w:rsidRDefault="00000000" w:rsidP="002353F7">
      <w:pPr>
        <w:spacing w:before="280"/>
        <w:rPr>
          <w:rFonts w:asciiTheme="majorBidi" w:hAnsiTheme="majorBidi" w:cstheme="majorBidi"/>
        </w:rPr>
      </w:pPr>
      <w:r w:rsidRPr="00B248A6">
        <w:rPr>
          <w:rFonts w:asciiTheme="majorBidi" w:hAnsiTheme="majorBidi" w:cstheme="majorBidi"/>
        </w:rPr>
        <w:t>The authors declare that they have no conflicts of interest relevant to the content of this article.</w:t>
      </w:r>
    </w:p>
    <w:p w14:paraId="00000075" w14:textId="77777777" w:rsidR="00B11C56" w:rsidRPr="00B248A6" w:rsidRDefault="00000000" w:rsidP="002353F7">
      <w:pPr>
        <w:spacing w:before="280"/>
        <w:rPr>
          <w:rFonts w:asciiTheme="majorBidi" w:hAnsiTheme="majorBidi" w:cstheme="majorBidi"/>
          <w:b/>
          <w:bCs/>
        </w:rPr>
      </w:pPr>
      <w:r w:rsidRPr="00B248A6">
        <w:rPr>
          <w:rFonts w:asciiTheme="majorBidi" w:hAnsiTheme="majorBidi" w:cstheme="majorBidi"/>
          <w:b/>
          <w:bCs/>
        </w:rPr>
        <w:t>Ethics Statement</w:t>
      </w:r>
    </w:p>
    <w:p w14:paraId="00000076" w14:textId="77777777" w:rsidR="00B11C56" w:rsidRPr="00B248A6" w:rsidRDefault="00000000" w:rsidP="002353F7">
      <w:pPr>
        <w:spacing w:before="280"/>
        <w:rPr>
          <w:rFonts w:asciiTheme="majorBidi" w:hAnsiTheme="majorBidi" w:cstheme="majorBidi"/>
          <w:b/>
          <w:bCs/>
        </w:rPr>
      </w:pPr>
      <w:r w:rsidRPr="00B248A6">
        <w:rPr>
          <w:rFonts w:asciiTheme="majorBidi" w:hAnsiTheme="majorBidi" w:cstheme="majorBidi"/>
        </w:rPr>
        <w:t>-Approval of the research protocol by an Institutional Reviewer Board.  N/A.</w:t>
      </w:r>
      <w:r w:rsidRPr="00B248A6">
        <w:rPr>
          <w:rFonts w:asciiTheme="majorBidi" w:hAnsiTheme="majorBidi" w:cstheme="majorBidi"/>
        </w:rPr>
        <w:br/>
        <w:t>- Informed Consent.  N/A.</w:t>
      </w:r>
      <w:r w:rsidRPr="00B248A6">
        <w:rPr>
          <w:rFonts w:asciiTheme="majorBidi" w:hAnsiTheme="majorBidi" w:cstheme="majorBidi"/>
        </w:rPr>
        <w:br/>
        <w:t>- Registry and the Registration No. of the study/trial.  N/A.</w:t>
      </w:r>
      <w:r w:rsidRPr="00B248A6">
        <w:rPr>
          <w:rFonts w:asciiTheme="majorBidi" w:hAnsiTheme="majorBidi" w:cstheme="majorBidi"/>
        </w:rPr>
        <w:br/>
        <w:t>- Animal Studies.  N/A.</w:t>
      </w:r>
    </w:p>
    <w:p w14:paraId="00000077" w14:textId="77777777" w:rsidR="00B11C56" w:rsidRPr="00B248A6" w:rsidRDefault="00000000" w:rsidP="002353F7">
      <w:pPr>
        <w:spacing w:before="280"/>
        <w:rPr>
          <w:rFonts w:asciiTheme="majorBidi" w:hAnsiTheme="majorBidi" w:cstheme="majorBidi"/>
          <w:b/>
          <w:bCs/>
        </w:rPr>
      </w:pPr>
      <w:r w:rsidRPr="00B248A6">
        <w:rPr>
          <w:rFonts w:asciiTheme="majorBidi" w:hAnsiTheme="majorBidi" w:cstheme="majorBidi"/>
          <w:b/>
          <w:bCs/>
        </w:rPr>
        <w:t>Author Contribution</w:t>
      </w:r>
    </w:p>
    <w:p w14:paraId="00000078" w14:textId="77777777" w:rsidR="00B11C56" w:rsidRPr="00B248A6" w:rsidRDefault="00000000" w:rsidP="002353F7">
      <w:pPr>
        <w:spacing w:before="280"/>
        <w:rPr>
          <w:rFonts w:asciiTheme="majorBidi" w:hAnsiTheme="majorBidi" w:cstheme="majorBidi"/>
        </w:rPr>
      </w:pPr>
      <w:proofErr w:type="spellStart"/>
      <w:r w:rsidRPr="00B248A6">
        <w:rPr>
          <w:rFonts w:asciiTheme="majorBidi" w:hAnsiTheme="majorBidi" w:cstheme="majorBidi"/>
        </w:rPr>
        <w:t>Conceptualisation</w:t>
      </w:r>
      <w:proofErr w:type="spellEnd"/>
      <w:r w:rsidRPr="00B248A6">
        <w:rPr>
          <w:rFonts w:asciiTheme="majorBidi" w:hAnsiTheme="majorBidi" w:cstheme="majorBidi"/>
        </w:rPr>
        <w:t xml:space="preserve"> and study design, F.G., E.S., and E.G.; methodology, K.K., F.G., E.S., and E.G.; literature search, K.K., F.G., E.S., and E.G.; data interpretation, K.K., F.G., E.S., and E.G.; writing - original first draft preparation, K.K.; writing - review and editing, K.K., F.G., and E.G.; supervision, E.G., and K.K. All authors have read and agreed to the published version of the manuscript.</w:t>
      </w:r>
    </w:p>
    <w:p w14:paraId="00000079" w14:textId="77777777" w:rsidR="00B11C56" w:rsidRPr="00B248A6" w:rsidRDefault="00000000" w:rsidP="002353F7">
      <w:pPr>
        <w:spacing w:before="280"/>
        <w:rPr>
          <w:rFonts w:asciiTheme="majorBidi" w:hAnsiTheme="majorBidi" w:cstheme="majorBidi"/>
          <w:b/>
          <w:bCs/>
        </w:rPr>
      </w:pPr>
      <w:r w:rsidRPr="00B248A6">
        <w:rPr>
          <w:rFonts w:asciiTheme="majorBidi" w:hAnsiTheme="majorBidi" w:cstheme="majorBidi"/>
          <w:b/>
          <w:bCs/>
        </w:rPr>
        <w:t>Data Availability Statement</w:t>
      </w:r>
    </w:p>
    <w:p w14:paraId="0000007A" w14:textId="77777777" w:rsidR="00B11C56" w:rsidRPr="00B248A6" w:rsidRDefault="00000000" w:rsidP="002353F7">
      <w:pPr>
        <w:spacing w:before="280"/>
        <w:rPr>
          <w:rFonts w:asciiTheme="majorBidi" w:hAnsiTheme="majorBidi" w:cstheme="majorBidi"/>
        </w:rPr>
      </w:pPr>
      <w:r w:rsidRPr="00B248A6">
        <w:rPr>
          <w:rFonts w:asciiTheme="majorBidi" w:hAnsiTheme="majorBidi" w:cstheme="majorBidi"/>
        </w:rPr>
        <w:lastRenderedPageBreak/>
        <w:t xml:space="preserve">No new data </w:t>
      </w:r>
      <w:proofErr w:type="gramStart"/>
      <w:r w:rsidRPr="00B248A6">
        <w:rPr>
          <w:rFonts w:asciiTheme="majorBidi" w:hAnsiTheme="majorBidi" w:cstheme="majorBidi"/>
        </w:rPr>
        <w:t>were</w:t>
      </w:r>
      <w:proofErr w:type="gramEnd"/>
      <w:r w:rsidRPr="00B248A6">
        <w:rPr>
          <w:rFonts w:asciiTheme="majorBidi" w:hAnsiTheme="majorBidi" w:cstheme="majorBidi"/>
        </w:rPr>
        <w:t xml:space="preserve"> generated or </w:t>
      </w:r>
      <w:proofErr w:type="spellStart"/>
      <w:r w:rsidRPr="00B248A6">
        <w:rPr>
          <w:rFonts w:asciiTheme="majorBidi" w:hAnsiTheme="majorBidi" w:cstheme="majorBidi"/>
        </w:rPr>
        <w:t>analysed</w:t>
      </w:r>
      <w:proofErr w:type="spellEnd"/>
      <w:r w:rsidRPr="00B248A6">
        <w:rPr>
          <w:rFonts w:asciiTheme="majorBidi" w:hAnsiTheme="majorBidi" w:cstheme="majorBidi"/>
        </w:rPr>
        <w:t xml:space="preserve"> in this study. All data supporting the findings are available within the published literature cited in this article and its reference list. Any datasets referenced from external studies are accessible through their respective public repositories as indicated in the cited sources.</w:t>
      </w:r>
    </w:p>
    <w:p w14:paraId="0000007B" w14:textId="77777777" w:rsidR="00B11C56" w:rsidRPr="00B248A6" w:rsidRDefault="00000000" w:rsidP="002353F7">
      <w:pPr>
        <w:spacing w:before="280"/>
        <w:rPr>
          <w:rFonts w:asciiTheme="majorBidi" w:hAnsiTheme="majorBidi" w:cstheme="majorBidi"/>
          <w:b/>
          <w:bCs/>
        </w:rPr>
      </w:pPr>
      <w:r w:rsidRPr="00B248A6">
        <w:rPr>
          <w:rFonts w:asciiTheme="majorBidi" w:hAnsiTheme="majorBidi" w:cstheme="majorBidi"/>
          <w:b/>
          <w:bCs/>
        </w:rPr>
        <w:t>Acknowledgments</w:t>
      </w:r>
    </w:p>
    <w:p w14:paraId="0000007C" w14:textId="77777777" w:rsidR="00B11C56" w:rsidRPr="00B248A6" w:rsidRDefault="00000000" w:rsidP="002353F7">
      <w:pPr>
        <w:spacing w:before="280"/>
        <w:rPr>
          <w:rFonts w:asciiTheme="majorBidi" w:hAnsiTheme="majorBidi" w:cstheme="majorBidi"/>
        </w:rPr>
      </w:pPr>
      <w:r w:rsidRPr="00B248A6">
        <w:rPr>
          <w:rFonts w:asciiTheme="majorBidi" w:hAnsiTheme="majorBidi" w:cstheme="majorBidi"/>
        </w:rPr>
        <w:t>The authors acknowledge the contributions of prior investigators whose work informed this review.</w:t>
      </w:r>
    </w:p>
    <w:p w14:paraId="0000007D" w14:textId="77777777" w:rsidR="00B11C56" w:rsidRPr="00B248A6" w:rsidRDefault="00000000" w:rsidP="002353F7">
      <w:pPr>
        <w:spacing w:before="280"/>
        <w:rPr>
          <w:rFonts w:asciiTheme="majorBidi" w:hAnsiTheme="majorBidi" w:cstheme="majorBidi"/>
        </w:rPr>
      </w:pPr>
      <w:r w:rsidRPr="00B248A6">
        <w:rPr>
          <w:rFonts w:asciiTheme="majorBidi" w:hAnsiTheme="majorBidi" w:cstheme="majorBidi"/>
          <w:b/>
          <w:bCs/>
          <w:color w:val="000000"/>
        </w:rPr>
        <w:t>Declaration of generative AI and AI-assisted technologies in the writing process</w:t>
      </w:r>
    </w:p>
    <w:p w14:paraId="0000007E" w14:textId="77777777" w:rsidR="00B11C56" w:rsidRPr="00B248A6" w:rsidRDefault="00000000" w:rsidP="002353F7">
      <w:pPr>
        <w:spacing w:before="280"/>
        <w:rPr>
          <w:rFonts w:asciiTheme="majorBidi" w:hAnsiTheme="majorBidi" w:cstheme="majorBidi"/>
        </w:rPr>
      </w:pPr>
      <w:r w:rsidRPr="00B248A6">
        <w:rPr>
          <w:rFonts w:asciiTheme="majorBidi" w:hAnsiTheme="majorBidi" w:cstheme="majorBidi"/>
          <w:color w:val="000000"/>
        </w:rPr>
        <w:t>During the preparation of this work, the authors used ChatGPT to improve language and readability. After using this tool/service, the authors reviewed and edited the content as needed and took full responsibility for the content of the publication.</w:t>
      </w:r>
    </w:p>
    <w:p w14:paraId="0000007F" w14:textId="77777777" w:rsidR="00B11C56" w:rsidRPr="00B248A6" w:rsidRDefault="00B11C56" w:rsidP="002353F7">
      <w:pPr>
        <w:spacing w:before="280"/>
        <w:rPr>
          <w:rFonts w:asciiTheme="majorBidi" w:hAnsiTheme="majorBidi" w:cstheme="majorBidi"/>
        </w:rPr>
      </w:pPr>
    </w:p>
    <w:p w14:paraId="00000080" w14:textId="77777777" w:rsidR="00B11C56" w:rsidRPr="00B248A6" w:rsidRDefault="00000000" w:rsidP="002353F7">
      <w:pPr>
        <w:spacing w:before="280"/>
        <w:rPr>
          <w:rFonts w:asciiTheme="majorBidi" w:hAnsiTheme="majorBidi" w:cstheme="majorBidi"/>
          <w:b/>
          <w:bCs/>
        </w:rPr>
      </w:pPr>
      <w:r w:rsidRPr="00B248A6">
        <w:rPr>
          <w:rFonts w:asciiTheme="majorBidi" w:hAnsiTheme="majorBidi" w:cstheme="majorBidi"/>
          <w:b/>
          <w:bCs/>
        </w:rPr>
        <w:t>References</w:t>
      </w:r>
    </w:p>
    <w:p w14:paraId="00000081" w14:textId="77777777" w:rsidR="00B11C56" w:rsidRPr="00B248A6" w:rsidRDefault="00000000" w:rsidP="002353F7">
      <w:pPr>
        <w:numPr>
          <w:ilvl w:val="0"/>
          <w:numId w:val="1"/>
        </w:numPr>
        <w:pBdr>
          <w:top w:val="nil"/>
          <w:left w:val="nil"/>
          <w:bottom w:val="nil"/>
          <w:right w:val="nil"/>
          <w:between w:val="nil"/>
        </w:pBdr>
        <w:spacing w:before="280"/>
        <w:rPr>
          <w:rFonts w:asciiTheme="majorBidi" w:hAnsiTheme="majorBidi" w:cstheme="majorBidi"/>
          <w:color w:val="000000"/>
        </w:rPr>
      </w:pPr>
      <w:r w:rsidRPr="00B248A6">
        <w:rPr>
          <w:rFonts w:asciiTheme="majorBidi" w:hAnsiTheme="majorBidi" w:cstheme="majorBidi"/>
          <w:color w:val="000000"/>
          <w:highlight w:val="white"/>
        </w:rPr>
        <w:t xml:space="preserve">Rawla P. Epidemiology of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w:t>
      </w:r>
      <w:r w:rsidRPr="00B248A6">
        <w:rPr>
          <w:rFonts w:asciiTheme="majorBidi" w:hAnsiTheme="majorBidi" w:cstheme="majorBidi"/>
          <w:color w:val="000000"/>
        </w:rPr>
        <w:t>World J Oncol 2019;10: 63–89</w:t>
      </w:r>
      <w:r w:rsidRPr="00B248A6">
        <w:rPr>
          <w:rFonts w:asciiTheme="majorBidi" w:hAnsiTheme="majorBidi" w:cstheme="majorBidi"/>
          <w:color w:val="000000"/>
          <w:highlight w:val="white"/>
        </w:rPr>
        <w:t xml:space="preserve">. </w:t>
      </w:r>
      <w:hyperlink r:id="rId9">
        <w:r w:rsidRPr="00B248A6">
          <w:rPr>
            <w:rFonts w:asciiTheme="majorBidi" w:hAnsiTheme="majorBidi" w:cstheme="majorBidi"/>
            <w:color w:val="000000"/>
            <w:highlight w:val="white"/>
            <w:u w:val="single"/>
          </w:rPr>
          <w:t>https://doi.org/10.14740/wjon1191</w:t>
        </w:r>
      </w:hyperlink>
    </w:p>
    <w:p w14:paraId="00000082"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rPr>
        <w:t>Sung H.</w:t>
      </w:r>
      <w:r w:rsidRPr="00B248A6">
        <w:rPr>
          <w:rFonts w:asciiTheme="majorBidi" w:hAnsiTheme="majorBidi" w:cstheme="majorBidi"/>
          <w:color w:val="000000"/>
          <w:highlight w:val="white"/>
        </w:rPr>
        <w:t>, </w:t>
      </w:r>
      <w:proofErr w:type="spellStart"/>
      <w:r w:rsidRPr="00B248A6">
        <w:rPr>
          <w:rFonts w:asciiTheme="majorBidi" w:hAnsiTheme="majorBidi" w:cstheme="majorBidi"/>
          <w:color w:val="000000"/>
        </w:rPr>
        <w:t>Ferlay</w:t>
      </w:r>
      <w:proofErr w:type="spellEnd"/>
      <w:r w:rsidRPr="00B248A6">
        <w:rPr>
          <w:rFonts w:asciiTheme="majorBidi" w:hAnsiTheme="majorBidi" w:cstheme="majorBidi"/>
          <w:color w:val="000000"/>
        </w:rPr>
        <w:t> J.</w:t>
      </w:r>
      <w:r w:rsidRPr="00B248A6">
        <w:rPr>
          <w:rFonts w:asciiTheme="majorBidi" w:hAnsiTheme="majorBidi" w:cstheme="majorBidi"/>
          <w:color w:val="000000"/>
          <w:highlight w:val="white"/>
        </w:rPr>
        <w:t>, </w:t>
      </w:r>
      <w:r w:rsidRPr="00B248A6">
        <w:rPr>
          <w:rFonts w:asciiTheme="majorBidi" w:hAnsiTheme="majorBidi" w:cstheme="majorBidi"/>
          <w:color w:val="000000"/>
        </w:rPr>
        <w:t>Siegel R.L., et al</w:t>
      </w:r>
      <w:r w:rsidRPr="00B248A6">
        <w:rPr>
          <w:rFonts w:asciiTheme="majorBidi" w:hAnsiTheme="majorBidi" w:cstheme="majorBidi"/>
          <w:color w:val="000000"/>
          <w:highlight w:val="white"/>
        </w:rPr>
        <w:t>. </w:t>
      </w:r>
      <w:r w:rsidRPr="00B248A6">
        <w:rPr>
          <w:rFonts w:asciiTheme="majorBidi" w:hAnsiTheme="majorBidi" w:cstheme="majorBidi"/>
          <w:color w:val="000000"/>
        </w:rPr>
        <w:t>Global cancer statistics 2020: GLOBOCAN estimates of incidence and mortality worldwide for 36 cancers in 185 countries</w:t>
      </w:r>
      <w:r w:rsidRPr="00B248A6">
        <w:rPr>
          <w:rFonts w:asciiTheme="majorBidi" w:hAnsiTheme="majorBidi" w:cstheme="majorBidi"/>
          <w:color w:val="000000"/>
          <w:highlight w:val="white"/>
        </w:rPr>
        <w:t>. </w:t>
      </w:r>
      <w:r w:rsidRPr="00B248A6">
        <w:rPr>
          <w:rFonts w:asciiTheme="majorBidi" w:hAnsiTheme="majorBidi" w:cstheme="majorBidi"/>
          <w:color w:val="000000"/>
        </w:rPr>
        <w:t>CA Cancer J Clin</w:t>
      </w:r>
      <w:r w:rsidRPr="00B248A6">
        <w:rPr>
          <w:rFonts w:asciiTheme="majorBidi" w:hAnsiTheme="majorBidi" w:cstheme="majorBidi"/>
          <w:color w:val="000000"/>
          <w:highlight w:val="white"/>
        </w:rPr>
        <w:t>.  </w:t>
      </w:r>
      <w:r w:rsidRPr="00B248A6">
        <w:rPr>
          <w:rFonts w:asciiTheme="majorBidi" w:hAnsiTheme="majorBidi" w:cstheme="majorBidi"/>
          <w:color w:val="000000"/>
        </w:rPr>
        <w:t>2021</w:t>
      </w:r>
      <w:r w:rsidRPr="00B248A6">
        <w:rPr>
          <w:rFonts w:asciiTheme="majorBidi" w:hAnsiTheme="majorBidi" w:cstheme="majorBidi"/>
          <w:color w:val="000000"/>
          <w:highlight w:val="white"/>
        </w:rPr>
        <w:t>;</w:t>
      </w:r>
      <w:r w:rsidRPr="00B248A6">
        <w:rPr>
          <w:rFonts w:asciiTheme="majorBidi" w:hAnsiTheme="majorBidi" w:cstheme="majorBidi"/>
          <w:color w:val="000000"/>
        </w:rPr>
        <w:t>71</w:t>
      </w:r>
      <w:r w:rsidRPr="00B248A6">
        <w:rPr>
          <w:rFonts w:asciiTheme="majorBidi" w:hAnsiTheme="majorBidi" w:cstheme="majorBidi"/>
          <w:color w:val="000000"/>
          <w:highlight w:val="white"/>
        </w:rPr>
        <w:t>: </w:t>
      </w:r>
      <w:r w:rsidRPr="00B248A6">
        <w:rPr>
          <w:rFonts w:asciiTheme="majorBidi" w:hAnsiTheme="majorBidi" w:cstheme="majorBidi"/>
          <w:color w:val="000000"/>
        </w:rPr>
        <w:t>209</w:t>
      </w:r>
      <w:r w:rsidRPr="00B248A6">
        <w:rPr>
          <w:rFonts w:asciiTheme="majorBidi" w:hAnsiTheme="majorBidi" w:cstheme="majorBidi"/>
          <w:color w:val="000000"/>
          <w:highlight w:val="white"/>
        </w:rPr>
        <w:t>-</w:t>
      </w:r>
      <w:r w:rsidRPr="00B248A6">
        <w:rPr>
          <w:rFonts w:asciiTheme="majorBidi" w:hAnsiTheme="majorBidi" w:cstheme="majorBidi"/>
          <w:color w:val="000000"/>
        </w:rPr>
        <w:t>249</w:t>
      </w:r>
      <w:r w:rsidRPr="00B248A6">
        <w:rPr>
          <w:rFonts w:asciiTheme="majorBidi" w:hAnsiTheme="majorBidi" w:cstheme="majorBidi"/>
          <w:color w:val="000000"/>
          <w:highlight w:val="white"/>
        </w:rPr>
        <w:t>. </w:t>
      </w:r>
      <w:hyperlink r:id="rId10">
        <w:r w:rsidRPr="00B248A6">
          <w:rPr>
            <w:rFonts w:asciiTheme="majorBidi" w:hAnsiTheme="majorBidi" w:cstheme="majorBidi"/>
            <w:color w:val="000000"/>
            <w:u w:val="single"/>
          </w:rPr>
          <w:t>https://doi.org/10.3322/caac.21660</w:t>
        </w:r>
      </w:hyperlink>
    </w:p>
    <w:p w14:paraId="00000083"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proofErr w:type="spellStart"/>
      <w:r w:rsidRPr="00B248A6">
        <w:rPr>
          <w:rFonts w:asciiTheme="majorBidi" w:hAnsiTheme="majorBidi" w:cstheme="majorBidi"/>
          <w:color w:val="000000"/>
          <w:highlight w:val="white"/>
        </w:rPr>
        <w:t>Karantanos</w:t>
      </w:r>
      <w:proofErr w:type="spellEnd"/>
      <w:r w:rsidRPr="00B248A6">
        <w:rPr>
          <w:rFonts w:asciiTheme="majorBidi" w:hAnsiTheme="majorBidi" w:cstheme="majorBidi"/>
          <w:color w:val="000000"/>
          <w:highlight w:val="white"/>
        </w:rPr>
        <w:t xml:space="preserve"> T., Corn P.G.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progression after androgen deprivation therapy: mechanisms of castrate resistance and novel therapeutic approaches. </w:t>
      </w:r>
      <w:r w:rsidRPr="00B248A6">
        <w:rPr>
          <w:rFonts w:asciiTheme="majorBidi" w:hAnsiTheme="majorBidi" w:cstheme="majorBidi"/>
          <w:color w:val="000000"/>
        </w:rPr>
        <w:t>Oncogene</w:t>
      </w:r>
      <w:r w:rsidRPr="00B248A6">
        <w:rPr>
          <w:rFonts w:asciiTheme="majorBidi" w:hAnsiTheme="majorBidi" w:cstheme="majorBidi"/>
          <w:color w:val="000000"/>
          <w:highlight w:val="white"/>
        </w:rPr>
        <w:t xml:space="preserve"> 2013;32: 5501-5511. </w:t>
      </w:r>
      <w:hyperlink r:id="rId11">
        <w:r w:rsidRPr="00B248A6">
          <w:rPr>
            <w:rFonts w:asciiTheme="majorBidi" w:hAnsiTheme="majorBidi" w:cstheme="majorBidi"/>
            <w:color w:val="000000"/>
            <w:highlight w:val="white"/>
            <w:u w:val="single"/>
          </w:rPr>
          <w:t>https://doi.org/10.1038/onc.2013.206</w:t>
        </w:r>
      </w:hyperlink>
    </w:p>
    <w:p w14:paraId="00000084"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He Y., Xu W., Xiao YT. Targeting signaling pathways in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mechanisms and clinical trials. </w:t>
      </w:r>
      <w:r w:rsidRPr="00B248A6">
        <w:rPr>
          <w:rFonts w:asciiTheme="majorBidi" w:hAnsiTheme="majorBidi" w:cstheme="majorBidi"/>
          <w:color w:val="000000"/>
        </w:rPr>
        <w:t xml:space="preserve">Sig </w:t>
      </w:r>
      <w:proofErr w:type="spellStart"/>
      <w:r w:rsidRPr="00B248A6">
        <w:rPr>
          <w:rFonts w:asciiTheme="majorBidi" w:hAnsiTheme="majorBidi" w:cstheme="majorBidi"/>
          <w:color w:val="000000"/>
        </w:rPr>
        <w:t>Transduct</w:t>
      </w:r>
      <w:proofErr w:type="spellEnd"/>
      <w:r w:rsidRPr="00B248A6">
        <w:rPr>
          <w:rFonts w:asciiTheme="majorBidi" w:hAnsiTheme="majorBidi" w:cstheme="majorBidi"/>
          <w:color w:val="000000"/>
        </w:rPr>
        <w:t xml:space="preserve"> Target Ther</w:t>
      </w:r>
      <w:r w:rsidRPr="00B248A6">
        <w:rPr>
          <w:rFonts w:asciiTheme="majorBidi" w:hAnsiTheme="majorBidi" w:cstheme="majorBidi"/>
          <w:color w:val="000000"/>
          <w:highlight w:val="white"/>
        </w:rPr>
        <w:t> </w:t>
      </w:r>
      <w:proofErr w:type="gramStart"/>
      <w:r w:rsidRPr="00B248A6">
        <w:rPr>
          <w:rFonts w:asciiTheme="majorBidi" w:hAnsiTheme="majorBidi" w:cstheme="majorBidi"/>
          <w:color w:val="000000"/>
        </w:rPr>
        <w:t>2022;7:198</w:t>
      </w:r>
      <w:proofErr w:type="gramEnd"/>
      <w:r w:rsidRPr="00B248A6">
        <w:rPr>
          <w:rFonts w:asciiTheme="majorBidi" w:hAnsiTheme="majorBidi" w:cstheme="majorBidi"/>
          <w:color w:val="000000"/>
          <w:highlight w:val="white"/>
        </w:rPr>
        <w:t xml:space="preserve">. </w:t>
      </w:r>
      <w:hyperlink r:id="rId12">
        <w:r w:rsidRPr="00B248A6">
          <w:rPr>
            <w:rFonts w:asciiTheme="majorBidi" w:hAnsiTheme="majorBidi" w:cstheme="majorBidi"/>
            <w:color w:val="000000"/>
            <w:highlight w:val="white"/>
            <w:u w:val="single"/>
          </w:rPr>
          <w:t>https://doi.org/10.1038/s41392-022-01042-7</w:t>
        </w:r>
      </w:hyperlink>
    </w:p>
    <w:p w14:paraId="00000085"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Archer M., Dogra N. Inflammation as a Driver of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Metastasis and Therapeutic Resistance. </w:t>
      </w:r>
      <w:r w:rsidRPr="00B248A6">
        <w:rPr>
          <w:rFonts w:asciiTheme="majorBidi" w:hAnsiTheme="majorBidi" w:cstheme="majorBidi"/>
          <w:color w:val="000000"/>
        </w:rPr>
        <w:t>Cancers</w:t>
      </w:r>
      <w:r w:rsidRPr="00B248A6">
        <w:rPr>
          <w:rFonts w:asciiTheme="majorBidi" w:hAnsiTheme="majorBidi" w:cstheme="majorBidi"/>
          <w:color w:val="000000"/>
          <w:highlight w:val="white"/>
        </w:rPr>
        <w:t> </w:t>
      </w:r>
      <w:r w:rsidRPr="00B248A6">
        <w:rPr>
          <w:rFonts w:asciiTheme="majorBidi" w:hAnsiTheme="majorBidi" w:cstheme="majorBidi"/>
          <w:color w:val="000000"/>
        </w:rPr>
        <w:t>2020;12:</w:t>
      </w:r>
      <w:r w:rsidRPr="00B248A6">
        <w:rPr>
          <w:rFonts w:asciiTheme="majorBidi" w:hAnsiTheme="majorBidi" w:cstheme="majorBidi"/>
          <w:color w:val="000000"/>
          <w:highlight w:val="white"/>
        </w:rPr>
        <w:t xml:space="preserve"> 2984. </w:t>
      </w:r>
      <w:hyperlink r:id="rId13">
        <w:r w:rsidRPr="00B248A6">
          <w:rPr>
            <w:rFonts w:asciiTheme="majorBidi" w:hAnsiTheme="majorBidi" w:cstheme="majorBidi"/>
            <w:color w:val="000000"/>
            <w:highlight w:val="white"/>
            <w:u w:val="single"/>
          </w:rPr>
          <w:t>https://doi.org/10.3390/cancers12102984</w:t>
        </w:r>
      </w:hyperlink>
    </w:p>
    <w:p w14:paraId="00000086"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Hirano T. IL-6 in inflammation, autoimmunity and cancer. </w:t>
      </w:r>
      <w:r w:rsidRPr="00B248A6">
        <w:rPr>
          <w:rFonts w:asciiTheme="majorBidi" w:hAnsiTheme="majorBidi" w:cstheme="majorBidi"/>
          <w:color w:val="000000"/>
        </w:rPr>
        <w:t>Int Immunol 2021;33:</w:t>
      </w:r>
      <w:r w:rsidRPr="00B248A6">
        <w:rPr>
          <w:rFonts w:asciiTheme="majorBidi" w:hAnsiTheme="majorBidi" w:cstheme="majorBidi"/>
          <w:color w:val="000000"/>
          <w:highlight w:val="white"/>
        </w:rPr>
        <w:t xml:space="preserve"> 127-148. </w:t>
      </w:r>
      <w:hyperlink r:id="rId14">
        <w:r w:rsidRPr="00B248A6">
          <w:rPr>
            <w:rFonts w:asciiTheme="majorBidi" w:hAnsiTheme="majorBidi" w:cstheme="majorBidi"/>
            <w:color w:val="000000"/>
            <w:highlight w:val="white"/>
            <w:u w:val="single"/>
          </w:rPr>
          <w:t>https://doi.org/10.1093/intimm/dxaa078</w:t>
        </w:r>
      </w:hyperlink>
    </w:p>
    <w:p w14:paraId="00000087"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Xie H., Wei L., Ruan G. Interleukin-6 as a Pan-Cancer Prognostic Inflammatory Biomarker: A Population-Based Study and Comprehensive Bioinformatics Analysis. </w:t>
      </w:r>
      <w:r w:rsidRPr="00B248A6">
        <w:rPr>
          <w:rFonts w:asciiTheme="majorBidi" w:hAnsiTheme="majorBidi" w:cstheme="majorBidi"/>
          <w:color w:val="000000"/>
        </w:rPr>
        <w:t xml:space="preserve">J </w:t>
      </w:r>
      <w:proofErr w:type="spellStart"/>
      <w:r w:rsidRPr="00B248A6">
        <w:rPr>
          <w:rFonts w:asciiTheme="majorBidi" w:hAnsiTheme="majorBidi" w:cstheme="majorBidi"/>
          <w:color w:val="000000"/>
        </w:rPr>
        <w:t>Inflamm</w:t>
      </w:r>
      <w:proofErr w:type="spellEnd"/>
      <w:r w:rsidRPr="00B248A6">
        <w:rPr>
          <w:rFonts w:asciiTheme="majorBidi" w:hAnsiTheme="majorBidi" w:cstheme="majorBidi"/>
          <w:color w:val="000000"/>
        </w:rPr>
        <w:t xml:space="preserve"> Res 2025;18: </w:t>
      </w:r>
      <w:r w:rsidRPr="00B248A6">
        <w:rPr>
          <w:rFonts w:asciiTheme="majorBidi" w:hAnsiTheme="majorBidi" w:cstheme="majorBidi"/>
          <w:color w:val="000000"/>
          <w:highlight w:val="white"/>
        </w:rPr>
        <w:t xml:space="preserve">573-587. </w:t>
      </w:r>
      <w:hyperlink r:id="rId15">
        <w:r w:rsidRPr="00B248A6">
          <w:rPr>
            <w:rFonts w:asciiTheme="majorBidi" w:hAnsiTheme="majorBidi" w:cstheme="majorBidi"/>
            <w:color w:val="000000"/>
            <w:highlight w:val="white"/>
            <w:u w:val="single"/>
          </w:rPr>
          <w:t>https://doi.org/10.2147/JIR.S484962</w:t>
        </w:r>
      </w:hyperlink>
    </w:p>
    <w:p w14:paraId="00000088"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Di Virgilio F., and Adinolfi E. Extracellular purines, purinergic receptors and tumor growth. </w:t>
      </w:r>
      <w:r w:rsidRPr="00B248A6">
        <w:rPr>
          <w:rFonts w:asciiTheme="majorBidi" w:hAnsiTheme="majorBidi" w:cstheme="majorBidi"/>
          <w:color w:val="000000"/>
        </w:rPr>
        <w:t>Oncogene</w:t>
      </w:r>
      <w:r w:rsidRPr="00B248A6">
        <w:rPr>
          <w:rFonts w:asciiTheme="majorBidi" w:hAnsiTheme="majorBidi" w:cstheme="majorBidi"/>
          <w:color w:val="000000"/>
          <w:highlight w:val="white"/>
        </w:rPr>
        <w:t xml:space="preserve"> 2017;36: 293-303. </w:t>
      </w:r>
      <w:hyperlink r:id="rId16">
        <w:r w:rsidRPr="00B248A6">
          <w:rPr>
            <w:rFonts w:asciiTheme="majorBidi" w:hAnsiTheme="majorBidi" w:cstheme="majorBidi"/>
            <w:color w:val="000000"/>
            <w:highlight w:val="white"/>
            <w:u w:val="single"/>
          </w:rPr>
          <w:t>https://doi.org/10.1038/onc.2016.206</w:t>
        </w:r>
      </w:hyperlink>
    </w:p>
    <w:p w14:paraId="00000089"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Sun C., Wang B. Adenosine-A2A Receptor Pathway in Cancer Immunotherapy. </w:t>
      </w:r>
      <w:r w:rsidRPr="00B248A6">
        <w:rPr>
          <w:rFonts w:asciiTheme="majorBidi" w:hAnsiTheme="majorBidi" w:cstheme="majorBidi"/>
          <w:color w:val="000000"/>
        </w:rPr>
        <w:t>Front Immunol 2022;13: 837230</w:t>
      </w:r>
      <w:r w:rsidRPr="00B248A6">
        <w:rPr>
          <w:rFonts w:asciiTheme="majorBidi" w:hAnsiTheme="majorBidi" w:cstheme="majorBidi"/>
          <w:color w:val="000000"/>
          <w:highlight w:val="white"/>
        </w:rPr>
        <w:t xml:space="preserve">. </w:t>
      </w:r>
      <w:hyperlink r:id="rId17">
        <w:r w:rsidRPr="00B248A6">
          <w:rPr>
            <w:rFonts w:asciiTheme="majorBidi" w:hAnsiTheme="majorBidi" w:cstheme="majorBidi"/>
            <w:color w:val="000000"/>
            <w:highlight w:val="white"/>
            <w:u w:val="single"/>
          </w:rPr>
          <w:t>https://doi.org/10.3389/fimmu.2022.837230</w:t>
        </w:r>
      </w:hyperlink>
    </w:p>
    <w:p w14:paraId="0000008A"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proofErr w:type="spellStart"/>
      <w:r w:rsidRPr="00B248A6">
        <w:rPr>
          <w:rFonts w:asciiTheme="majorBidi" w:hAnsiTheme="majorBidi" w:cstheme="majorBidi"/>
          <w:color w:val="000000"/>
        </w:rPr>
        <w:t>Rembiałkowska</w:t>
      </w:r>
      <w:proofErr w:type="spellEnd"/>
      <w:r w:rsidRPr="00B248A6">
        <w:rPr>
          <w:rFonts w:asciiTheme="majorBidi" w:hAnsiTheme="majorBidi" w:cstheme="majorBidi"/>
          <w:color w:val="000000"/>
        </w:rPr>
        <w:t xml:space="preserve"> N., </w:t>
      </w:r>
      <w:proofErr w:type="spellStart"/>
      <w:r w:rsidRPr="00B248A6">
        <w:rPr>
          <w:rFonts w:asciiTheme="majorBidi" w:hAnsiTheme="majorBidi" w:cstheme="majorBidi"/>
          <w:color w:val="000000"/>
        </w:rPr>
        <w:t>Demiy</w:t>
      </w:r>
      <w:proofErr w:type="spellEnd"/>
      <w:r w:rsidRPr="00B248A6">
        <w:rPr>
          <w:rFonts w:asciiTheme="majorBidi" w:hAnsiTheme="majorBidi" w:cstheme="majorBidi"/>
          <w:color w:val="000000"/>
        </w:rPr>
        <w:t xml:space="preserve"> A. Caffeine as a Modulator in Oncology: Mechanisms of Action and Potential for Adjuvant Therapy. Int J Mol Sci 2025;26: 6252. </w:t>
      </w:r>
      <w:hyperlink r:id="rId18">
        <w:r w:rsidRPr="00B248A6">
          <w:rPr>
            <w:rFonts w:asciiTheme="majorBidi" w:hAnsiTheme="majorBidi" w:cstheme="majorBidi"/>
            <w:color w:val="000000"/>
            <w:u w:val="single"/>
          </w:rPr>
          <w:t>https://doi.org/10.3390/ijms26136252</w:t>
        </w:r>
      </w:hyperlink>
    </w:p>
    <w:p w14:paraId="0000008B"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lastRenderedPageBreak/>
        <w:t>Jacobson K.A., Gao Z.G. Adenosine A</w:t>
      </w:r>
      <w:r w:rsidRPr="00B248A6">
        <w:rPr>
          <w:rFonts w:asciiTheme="majorBidi" w:hAnsiTheme="majorBidi" w:cstheme="majorBidi"/>
          <w:color w:val="000000"/>
          <w:vertAlign w:val="subscript"/>
        </w:rPr>
        <w:t>2A</w:t>
      </w:r>
      <w:r w:rsidRPr="00B248A6">
        <w:rPr>
          <w:rFonts w:asciiTheme="majorBidi" w:hAnsiTheme="majorBidi" w:cstheme="majorBidi"/>
          <w:color w:val="000000"/>
          <w:highlight w:val="white"/>
        </w:rPr>
        <w:t> receptor antagonists: from caffeine to selective non-</w:t>
      </w:r>
      <w:proofErr w:type="spellStart"/>
      <w:r w:rsidRPr="00B248A6">
        <w:rPr>
          <w:rFonts w:asciiTheme="majorBidi" w:hAnsiTheme="majorBidi" w:cstheme="majorBidi"/>
          <w:color w:val="000000"/>
          <w:highlight w:val="white"/>
        </w:rPr>
        <w:t>xanthines</w:t>
      </w:r>
      <w:proofErr w:type="spellEnd"/>
      <w:r w:rsidRPr="00B248A6">
        <w:rPr>
          <w:rFonts w:asciiTheme="majorBidi" w:hAnsiTheme="majorBidi" w:cstheme="majorBidi"/>
          <w:color w:val="000000"/>
          <w:highlight w:val="white"/>
        </w:rPr>
        <w:t>. </w:t>
      </w:r>
      <w:r w:rsidRPr="00B248A6">
        <w:rPr>
          <w:rFonts w:asciiTheme="majorBidi" w:hAnsiTheme="majorBidi" w:cstheme="majorBidi"/>
          <w:color w:val="000000"/>
        </w:rPr>
        <w:t xml:space="preserve">Br J </w:t>
      </w:r>
      <w:proofErr w:type="spellStart"/>
      <w:r w:rsidRPr="00B248A6">
        <w:rPr>
          <w:rFonts w:asciiTheme="majorBidi" w:hAnsiTheme="majorBidi" w:cstheme="majorBidi"/>
          <w:color w:val="000000"/>
        </w:rPr>
        <w:t>Pharmacol</w:t>
      </w:r>
      <w:proofErr w:type="spellEnd"/>
      <w:r w:rsidRPr="00B248A6">
        <w:rPr>
          <w:rFonts w:asciiTheme="majorBidi" w:hAnsiTheme="majorBidi" w:cstheme="majorBidi"/>
          <w:color w:val="000000"/>
        </w:rPr>
        <w:t xml:space="preserve"> 2022;179: </w:t>
      </w:r>
      <w:r w:rsidRPr="00B248A6">
        <w:rPr>
          <w:rFonts w:asciiTheme="majorBidi" w:hAnsiTheme="majorBidi" w:cstheme="majorBidi"/>
          <w:color w:val="000000"/>
          <w:highlight w:val="white"/>
        </w:rPr>
        <w:t>3496-3511. https://doi.org/10.1111/bph.15103</w:t>
      </w:r>
    </w:p>
    <w:p w14:paraId="0000008C"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Ishibashi K., Miura Y., Wagatsuma K., </w:t>
      </w:r>
      <w:proofErr w:type="spellStart"/>
      <w:r w:rsidRPr="00B248A6">
        <w:rPr>
          <w:rFonts w:asciiTheme="majorBidi" w:hAnsiTheme="majorBidi" w:cstheme="majorBidi"/>
          <w:color w:val="000000"/>
          <w:highlight w:val="white"/>
        </w:rPr>
        <w:t>Toyohara</w:t>
      </w:r>
      <w:proofErr w:type="spellEnd"/>
      <w:r w:rsidRPr="00B248A6">
        <w:rPr>
          <w:rFonts w:asciiTheme="majorBidi" w:hAnsiTheme="majorBidi" w:cstheme="majorBidi"/>
          <w:color w:val="000000"/>
          <w:highlight w:val="white"/>
        </w:rPr>
        <w:t xml:space="preserve"> J., Ishiwata K., and Ishii K. Adenosine A</w:t>
      </w:r>
      <w:r w:rsidRPr="00B248A6">
        <w:rPr>
          <w:rFonts w:asciiTheme="majorBidi" w:hAnsiTheme="majorBidi" w:cstheme="majorBidi"/>
          <w:color w:val="000000"/>
          <w:vertAlign w:val="subscript"/>
        </w:rPr>
        <w:t>2A</w:t>
      </w:r>
      <w:r w:rsidRPr="00B248A6">
        <w:rPr>
          <w:rFonts w:asciiTheme="majorBidi" w:hAnsiTheme="majorBidi" w:cstheme="majorBidi"/>
          <w:color w:val="000000"/>
          <w:highlight w:val="white"/>
        </w:rPr>
        <w:t>Receptor Occupancy by Caffeine After Coffee Intake in Parkinson's Disease. </w:t>
      </w:r>
      <w:r w:rsidRPr="00B248A6">
        <w:rPr>
          <w:rFonts w:asciiTheme="majorBidi" w:hAnsiTheme="majorBidi" w:cstheme="majorBidi"/>
          <w:color w:val="000000"/>
        </w:rPr>
        <w:t xml:space="preserve">Mov </w:t>
      </w:r>
      <w:proofErr w:type="spellStart"/>
      <w:r w:rsidRPr="00B248A6">
        <w:rPr>
          <w:rFonts w:asciiTheme="majorBidi" w:hAnsiTheme="majorBidi" w:cstheme="majorBidi"/>
          <w:color w:val="000000"/>
        </w:rPr>
        <w:t>Disord</w:t>
      </w:r>
      <w:proofErr w:type="spellEnd"/>
      <w:r w:rsidRPr="00B248A6">
        <w:rPr>
          <w:rFonts w:asciiTheme="majorBidi" w:hAnsiTheme="majorBidi" w:cstheme="majorBidi"/>
          <w:color w:val="000000"/>
        </w:rPr>
        <w:t xml:space="preserve"> 2022;37: 853</w:t>
      </w:r>
      <w:r w:rsidRPr="00B248A6">
        <w:rPr>
          <w:rFonts w:asciiTheme="majorBidi" w:hAnsiTheme="majorBidi" w:cstheme="majorBidi"/>
          <w:color w:val="000000"/>
          <w:highlight w:val="white"/>
        </w:rPr>
        <w:t xml:space="preserve">-857. </w:t>
      </w:r>
      <w:hyperlink r:id="rId19">
        <w:r w:rsidRPr="00B248A6">
          <w:rPr>
            <w:rFonts w:asciiTheme="majorBidi" w:hAnsiTheme="majorBidi" w:cstheme="majorBidi"/>
            <w:color w:val="000000"/>
            <w:highlight w:val="white"/>
            <w:u w:val="single"/>
          </w:rPr>
          <w:t>https://doi.org/10.1002/mds.28897</w:t>
        </w:r>
      </w:hyperlink>
    </w:p>
    <w:p w14:paraId="0000008D"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Montenegro J., and Freitas-Silva O. Molecular Mechanisms of Coffee on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Prevention. </w:t>
      </w:r>
      <w:r w:rsidRPr="00B248A6">
        <w:rPr>
          <w:rFonts w:asciiTheme="majorBidi" w:hAnsiTheme="majorBidi" w:cstheme="majorBidi"/>
          <w:color w:val="000000"/>
        </w:rPr>
        <w:t xml:space="preserve">BioMed Res Int 2022;2022: </w:t>
      </w:r>
      <w:r w:rsidRPr="00B248A6">
        <w:rPr>
          <w:rFonts w:asciiTheme="majorBidi" w:hAnsiTheme="majorBidi" w:cstheme="majorBidi"/>
          <w:color w:val="000000"/>
          <w:highlight w:val="white"/>
        </w:rPr>
        <w:t xml:space="preserve">3254420. </w:t>
      </w:r>
      <w:hyperlink r:id="rId20">
        <w:r w:rsidRPr="00B248A6">
          <w:rPr>
            <w:rFonts w:asciiTheme="majorBidi" w:hAnsiTheme="majorBidi" w:cstheme="majorBidi"/>
            <w:color w:val="000000"/>
            <w:highlight w:val="white"/>
            <w:u w:val="single"/>
          </w:rPr>
          <w:t>https://doi.org/10.1155/2022/3254420</w:t>
        </w:r>
      </w:hyperlink>
    </w:p>
    <w:p w14:paraId="0000008E"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proofErr w:type="spellStart"/>
      <w:r w:rsidRPr="00B248A6">
        <w:rPr>
          <w:rFonts w:asciiTheme="majorBidi" w:hAnsiTheme="majorBidi" w:cstheme="majorBidi"/>
          <w:color w:val="000000"/>
          <w:highlight w:val="white"/>
        </w:rPr>
        <w:t>Pounis</w:t>
      </w:r>
      <w:proofErr w:type="spellEnd"/>
      <w:r w:rsidRPr="00B248A6">
        <w:rPr>
          <w:rFonts w:asciiTheme="majorBidi" w:hAnsiTheme="majorBidi" w:cstheme="majorBidi"/>
          <w:color w:val="000000"/>
          <w:highlight w:val="white"/>
        </w:rPr>
        <w:t xml:space="preserve"> G., </w:t>
      </w:r>
      <w:proofErr w:type="spellStart"/>
      <w:r w:rsidRPr="00B248A6">
        <w:rPr>
          <w:rFonts w:asciiTheme="majorBidi" w:hAnsiTheme="majorBidi" w:cstheme="majorBidi"/>
          <w:color w:val="000000"/>
          <w:highlight w:val="white"/>
        </w:rPr>
        <w:t>Tabolacci</w:t>
      </w:r>
      <w:proofErr w:type="spellEnd"/>
      <w:r w:rsidRPr="00B248A6">
        <w:rPr>
          <w:rFonts w:asciiTheme="majorBidi" w:hAnsiTheme="majorBidi" w:cstheme="majorBidi"/>
          <w:color w:val="000000"/>
          <w:highlight w:val="white"/>
        </w:rPr>
        <w:t xml:space="preserve"> C., Costanzo S., et al. Reduction by coffee consumption of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risk: Evidence from the Moli-</w:t>
      </w:r>
      <w:proofErr w:type="spellStart"/>
      <w:r w:rsidRPr="00B248A6">
        <w:rPr>
          <w:rFonts w:asciiTheme="majorBidi" w:hAnsiTheme="majorBidi" w:cstheme="majorBidi"/>
          <w:color w:val="000000"/>
          <w:highlight w:val="white"/>
        </w:rPr>
        <w:t>sani</w:t>
      </w:r>
      <w:proofErr w:type="spellEnd"/>
      <w:r w:rsidRPr="00B248A6">
        <w:rPr>
          <w:rFonts w:asciiTheme="majorBidi" w:hAnsiTheme="majorBidi" w:cstheme="majorBidi"/>
          <w:color w:val="000000"/>
          <w:highlight w:val="white"/>
        </w:rPr>
        <w:t xml:space="preserve"> cohort and cellular models. </w:t>
      </w:r>
      <w:r w:rsidRPr="00B248A6">
        <w:rPr>
          <w:rFonts w:asciiTheme="majorBidi" w:hAnsiTheme="majorBidi" w:cstheme="majorBidi"/>
          <w:color w:val="000000"/>
        </w:rPr>
        <w:t>Int J Cancer</w:t>
      </w:r>
      <w:r w:rsidRPr="00B248A6">
        <w:rPr>
          <w:rFonts w:asciiTheme="majorBidi" w:hAnsiTheme="majorBidi" w:cstheme="majorBidi"/>
          <w:color w:val="000000"/>
          <w:highlight w:val="white"/>
        </w:rPr>
        <w:t xml:space="preserve"> 2017;141: 72-82. </w:t>
      </w:r>
      <w:hyperlink r:id="rId21">
        <w:r w:rsidRPr="00B248A6">
          <w:rPr>
            <w:rFonts w:asciiTheme="majorBidi" w:hAnsiTheme="majorBidi" w:cstheme="majorBidi"/>
            <w:color w:val="000000"/>
            <w:highlight w:val="white"/>
            <w:u w:val="single"/>
          </w:rPr>
          <w:t>https://doi.org/10.1002/ijc.30720</w:t>
        </w:r>
      </w:hyperlink>
    </w:p>
    <w:p w14:paraId="0000008F"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Chen X., Zhao Y. Coffee consumption and risk of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a systematic review and meta-analysis. </w:t>
      </w:r>
      <w:r w:rsidRPr="00B248A6">
        <w:rPr>
          <w:rFonts w:asciiTheme="majorBidi" w:hAnsiTheme="majorBidi" w:cstheme="majorBidi"/>
          <w:color w:val="000000"/>
        </w:rPr>
        <w:t>BMJ Open</w:t>
      </w:r>
      <w:r w:rsidRPr="00B248A6">
        <w:rPr>
          <w:rFonts w:asciiTheme="majorBidi" w:hAnsiTheme="majorBidi" w:cstheme="majorBidi"/>
          <w:color w:val="000000"/>
          <w:highlight w:val="white"/>
        </w:rPr>
        <w:t xml:space="preserve"> 2021;11: e038902. </w:t>
      </w:r>
      <w:hyperlink r:id="rId22">
        <w:r w:rsidRPr="00B248A6">
          <w:rPr>
            <w:rFonts w:asciiTheme="majorBidi" w:hAnsiTheme="majorBidi" w:cstheme="majorBidi"/>
            <w:color w:val="000000"/>
            <w:highlight w:val="white"/>
            <w:u w:val="single"/>
          </w:rPr>
          <w:t>https://doi.org/10.1136/bmjopen-2020-038902</w:t>
        </w:r>
      </w:hyperlink>
    </w:p>
    <w:p w14:paraId="00000090"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Institute of Medicine (US) Committee on Military Nutrition Research. Caffeine for the Sustainment of Mental Task Performance: Formulations for Military Operations. Washington (DC): National Academies Press (US); 2001. 2, Pharmacology of Caffeine.</w:t>
      </w:r>
      <w:r w:rsidRPr="00B248A6">
        <w:rPr>
          <w:rFonts w:asciiTheme="majorBidi" w:hAnsiTheme="majorBidi" w:cstheme="majorBidi"/>
          <w:color w:val="000000"/>
        </w:rPr>
        <w:t xml:space="preserve"> Available from: </w:t>
      </w:r>
      <w:hyperlink r:id="rId23">
        <w:r w:rsidRPr="00B248A6">
          <w:rPr>
            <w:rFonts w:asciiTheme="majorBidi" w:hAnsiTheme="majorBidi" w:cstheme="majorBidi"/>
            <w:color w:val="000000"/>
            <w:u w:val="single"/>
          </w:rPr>
          <w:t>https://www.ncbi.nlm.nih.gov/books/NBK223808/</w:t>
        </w:r>
      </w:hyperlink>
    </w:p>
    <w:p w14:paraId="00000091"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Grzegorzewski J., Bartsch F. Pharmacokinetics of Caffeine: A Systematic Analysis of Reported Data for Application in Metabolic Phenotyping and Liver Function Testing. </w:t>
      </w:r>
      <w:r w:rsidRPr="00B248A6">
        <w:rPr>
          <w:rFonts w:asciiTheme="majorBidi" w:hAnsiTheme="majorBidi" w:cstheme="majorBidi"/>
          <w:color w:val="000000"/>
        </w:rPr>
        <w:t xml:space="preserve">Front </w:t>
      </w:r>
      <w:proofErr w:type="spellStart"/>
      <w:r w:rsidRPr="00B248A6">
        <w:rPr>
          <w:rFonts w:asciiTheme="majorBidi" w:hAnsiTheme="majorBidi" w:cstheme="majorBidi"/>
          <w:color w:val="000000"/>
        </w:rPr>
        <w:t>Pharmacol</w:t>
      </w:r>
      <w:proofErr w:type="spellEnd"/>
      <w:r w:rsidRPr="00B248A6">
        <w:rPr>
          <w:rFonts w:asciiTheme="majorBidi" w:hAnsiTheme="majorBidi" w:cstheme="majorBidi"/>
          <w:color w:val="000000"/>
          <w:highlight w:val="white"/>
        </w:rPr>
        <w:t xml:space="preserve"> 2022;12: 752826. </w:t>
      </w:r>
      <w:hyperlink r:id="rId24">
        <w:r w:rsidRPr="00B248A6">
          <w:rPr>
            <w:rFonts w:asciiTheme="majorBidi" w:hAnsiTheme="majorBidi" w:cstheme="majorBidi"/>
            <w:color w:val="000000"/>
            <w:highlight w:val="white"/>
            <w:u w:val="single"/>
          </w:rPr>
          <w:t>https://doi.org/10.3389/fphar.2021.752826</w:t>
        </w:r>
      </w:hyperlink>
    </w:p>
    <w:p w14:paraId="00000092"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Temple J.L., Bernard C. The Safety of Ingested Caffeine: A Comprehensive Review. </w:t>
      </w:r>
      <w:r w:rsidRPr="00B248A6">
        <w:rPr>
          <w:rFonts w:asciiTheme="majorBidi" w:hAnsiTheme="majorBidi" w:cstheme="majorBidi"/>
          <w:color w:val="000000"/>
        </w:rPr>
        <w:t>Front Psychiatry</w:t>
      </w:r>
      <w:r w:rsidRPr="00B248A6">
        <w:rPr>
          <w:rFonts w:asciiTheme="majorBidi" w:hAnsiTheme="majorBidi" w:cstheme="majorBidi"/>
          <w:color w:val="000000"/>
          <w:highlight w:val="white"/>
        </w:rPr>
        <w:t xml:space="preserve"> 2017;8: 80. </w:t>
      </w:r>
      <w:hyperlink r:id="rId25">
        <w:r w:rsidRPr="00B248A6">
          <w:rPr>
            <w:rFonts w:asciiTheme="majorBidi" w:hAnsiTheme="majorBidi" w:cstheme="majorBidi"/>
            <w:color w:val="000000"/>
            <w:highlight w:val="white"/>
            <w:u w:val="single"/>
          </w:rPr>
          <w:t>https://doi.org/10.3389/fpsyt.2017.00080</w:t>
        </w:r>
      </w:hyperlink>
    </w:p>
    <w:p w14:paraId="00000093"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proofErr w:type="spellStart"/>
      <w:r w:rsidRPr="00B248A6">
        <w:rPr>
          <w:rFonts w:asciiTheme="majorBidi" w:hAnsiTheme="majorBidi" w:cstheme="majorBidi"/>
          <w:color w:val="000000"/>
          <w:highlight w:val="white"/>
        </w:rPr>
        <w:t>Treur</w:t>
      </w:r>
      <w:proofErr w:type="spellEnd"/>
      <w:r w:rsidRPr="00B248A6">
        <w:rPr>
          <w:rFonts w:asciiTheme="majorBidi" w:hAnsiTheme="majorBidi" w:cstheme="majorBidi"/>
          <w:color w:val="000000"/>
          <w:highlight w:val="white"/>
        </w:rPr>
        <w:t xml:space="preserve"> J.L., Taylor A.E., Ware J.J., et al. Associations between smoking and caffeine consumption in two European cohorts. </w:t>
      </w:r>
      <w:r w:rsidRPr="00B248A6">
        <w:rPr>
          <w:rFonts w:asciiTheme="majorBidi" w:hAnsiTheme="majorBidi" w:cstheme="majorBidi"/>
          <w:color w:val="000000"/>
        </w:rPr>
        <w:t>Addiction (Abingdon, England)</w:t>
      </w:r>
      <w:r w:rsidRPr="00B248A6">
        <w:rPr>
          <w:rFonts w:asciiTheme="majorBidi" w:hAnsiTheme="majorBidi" w:cstheme="majorBidi"/>
          <w:color w:val="000000"/>
          <w:highlight w:val="white"/>
        </w:rPr>
        <w:t xml:space="preserve"> 2016;111: 1059-1068. </w:t>
      </w:r>
      <w:hyperlink r:id="rId26">
        <w:r w:rsidRPr="00B248A6">
          <w:rPr>
            <w:rFonts w:asciiTheme="majorBidi" w:hAnsiTheme="majorBidi" w:cstheme="majorBidi"/>
            <w:color w:val="000000"/>
            <w:highlight w:val="white"/>
            <w:u w:val="single"/>
          </w:rPr>
          <w:t>https://doi.org/10.1111/add.13298</w:t>
        </w:r>
      </w:hyperlink>
    </w:p>
    <w:p w14:paraId="00000094"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Adachi K., Murata M. Interaction of a caffeine overdose with clinical doses of contraceptive ethinyl estradiol in a young woman. </w:t>
      </w:r>
      <w:r w:rsidRPr="00B248A6">
        <w:rPr>
          <w:rFonts w:asciiTheme="majorBidi" w:hAnsiTheme="majorBidi" w:cstheme="majorBidi"/>
          <w:color w:val="000000"/>
        </w:rPr>
        <w:t>Acute Med Sur</w:t>
      </w:r>
      <w:r w:rsidRPr="00B248A6">
        <w:rPr>
          <w:rFonts w:asciiTheme="majorBidi" w:hAnsiTheme="majorBidi" w:cstheme="majorBidi"/>
          <w:color w:val="000000"/>
          <w:highlight w:val="white"/>
        </w:rPr>
        <w:t xml:space="preserve"> 2024;11: e985. </w:t>
      </w:r>
      <w:hyperlink r:id="rId27">
        <w:r w:rsidRPr="00B248A6">
          <w:rPr>
            <w:rFonts w:asciiTheme="majorBidi" w:hAnsiTheme="majorBidi" w:cstheme="majorBidi"/>
            <w:color w:val="000000"/>
            <w:highlight w:val="white"/>
            <w:u w:val="single"/>
          </w:rPr>
          <w:t>https://doi.org/10.1002/ams2.985</w:t>
        </w:r>
      </w:hyperlink>
    </w:p>
    <w:p w14:paraId="00000095"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Soma-Pillay P., Nelson-Piercy C. Physiological changes in pregnancy. </w:t>
      </w:r>
      <w:r w:rsidRPr="00B248A6">
        <w:rPr>
          <w:rFonts w:asciiTheme="majorBidi" w:hAnsiTheme="majorBidi" w:cstheme="majorBidi"/>
          <w:color w:val="000000"/>
        </w:rPr>
        <w:t xml:space="preserve">Cardiovasc J </w:t>
      </w:r>
      <w:proofErr w:type="spellStart"/>
      <w:r w:rsidRPr="00B248A6">
        <w:rPr>
          <w:rFonts w:asciiTheme="majorBidi" w:hAnsiTheme="majorBidi" w:cstheme="majorBidi"/>
          <w:color w:val="000000"/>
        </w:rPr>
        <w:t>Afr</w:t>
      </w:r>
      <w:proofErr w:type="spellEnd"/>
      <w:r w:rsidRPr="00B248A6">
        <w:rPr>
          <w:rFonts w:asciiTheme="majorBidi" w:hAnsiTheme="majorBidi" w:cstheme="majorBidi"/>
          <w:color w:val="000000"/>
          <w:highlight w:val="white"/>
        </w:rPr>
        <w:t> </w:t>
      </w:r>
      <w:r w:rsidRPr="00B248A6">
        <w:rPr>
          <w:rFonts w:asciiTheme="majorBidi" w:hAnsiTheme="majorBidi" w:cstheme="majorBidi"/>
          <w:color w:val="000000"/>
        </w:rPr>
        <w:t>2016;27:</w:t>
      </w:r>
      <w:r w:rsidRPr="00B248A6">
        <w:rPr>
          <w:rFonts w:asciiTheme="majorBidi" w:hAnsiTheme="majorBidi" w:cstheme="majorBidi"/>
          <w:color w:val="000000"/>
          <w:highlight w:val="white"/>
        </w:rPr>
        <w:t xml:space="preserve"> 89-94. </w:t>
      </w:r>
      <w:hyperlink r:id="rId28">
        <w:r w:rsidRPr="00B248A6">
          <w:rPr>
            <w:rFonts w:asciiTheme="majorBidi" w:hAnsiTheme="majorBidi" w:cstheme="majorBidi"/>
            <w:color w:val="000000"/>
            <w:highlight w:val="white"/>
            <w:u w:val="single"/>
          </w:rPr>
          <w:t>https://doi.org/10.5830/CVJA-2016-021</w:t>
        </w:r>
      </w:hyperlink>
    </w:p>
    <w:p w14:paraId="00000096"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Nehlig A. Interindividual Differences in Caffeine Metabolism and Factors Driving Caffeine Consumption. </w:t>
      </w:r>
      <w:proofErr w:type="spellStart"/>
      <w:r w:rsidRPr="00B248A6">
        <w:rPr>
          <w:rFonts w:asciiTheme="majorBidi" w:hAnsiTheme="majorBidi" w:cstheme="majorBidi"/>
          <w:color w:val="000000"/>
        </w:rPr>
        <w:t>Pharmacol</w:t>
      </w:r>
      <w:proofErr w:type="spellEnd"/>
      <w:r w:rsidRPr="00B248A6">
        <w:rPr>
          <w:rFonts w:asciiTheme="majorBidi" w:hAnsiTheme="majorBidi" w:cstheme="majorBidi"/>
          <w:color w:val="000000"/>
        </w:rPr>
        <w:t xml:space="preserve"> Rev </w:t>
      </w:r>
      <w:r w:rsidRPr="00B248A6">
        <w:rPr>
          <w:rFonts w:asciiTheme="majorBidi" w:hAnsiTheme="majorBidi" w:cstheme="majorBidi"/>
          <w:color w:val="000000"/>
          <w:highlight w:val="white"/>
        </w:rPr>
        <w:t>2018;</w:t>
      </w:r>
      <w:r w:rsidRPr="00B248A6">
        <w:rPr>
          <w:rFonts w:asciiTheme="majorBidi" w:hAnsiTheme="majorBidi" w:cstheme="majorBidi"/>
          <w:color w:val="000000"/>
        </w:rPr>
        <w:t>70</w:t>
      </w:r>
      <w:r w:rsidRPr="00B248A6">
        <w:rPr>
          <w:rFonts w:asciiTheme="majorBidi" w:hAnsiTheme="majorBidi" w:cstheme="majorBidi"/>
          <w:color w:val="000000"/>
          <w:highlight w:val="white"/>
        </w:rPr>
        <w:t xml:space="preserve">: 384-411. </w:t>
      </w:r>
      <w:hyperlink r:id="rId29">
        <w:r w:rsidRPr="00B248A6">
          <w:rPr>
            <w:rFonts w:asciiTheme="majorBidi" w:hAnsiTheme="majorBidi" w:cstheme="majorBidi"/>
            <w:color w:val="000000"/>
            <w:highlight w:val="white"/>
            <w:u w:val="single"/>
          </w:rPr>
          <w:t>https://doi.org/10.1124/pr.117.014407</w:t>
        </w:r>
      </w:hyperlink>
    </w:p>
    <w:p w14:paraId="00000097"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Low J.JL., Tan B.JW. Genetic susceptibility to caffeine intake and metabolism: a systematic review. </w:t>
      </w:r>
      <w:r w:rsidRPr="00B248A6">
        <w:rPr>
          <w:rFonts w:asciiTheme="majorBidi" w:hAnsiTheme="majorBidi" w:cstheme="majorBidi"/>
          <w:color w:val="000000"/>
        </w:rPr>
        <w:t xml:space="preserve">J </w:t>
      </w:r>
      <w:proofErr w:type="spellStart"/>
      <w:r w:rsidRPr="00B248A6">
        <w:rPr>
          <w:rFonts w:asciiTheme="majorBidi" w:hAnsiTheme="majorBidi" w:cstheme="majorBidi"/>
          <w:color w:val="000000"/>
        </w:rPr>
        <w:t>Transl</w:t>
      </w:r>
      <w:proofErr w:type="spellEnd"/>
      <w:r w:rsidRPr="00B248A6">
        <w:rPr>
          <w:rFonts w:asciiTheme="majorBidi" w:hAnsiTheme="majorBidi" w:cstheme="majorBidi"/>
          <w:color w:val="000000"/>
        </w:rPr>
        <w:t xml:space="preserve"> Med</w:t>
      </w:r>
      <w:r w:rsidRPr="00B248A6">
        <w:rPr>
          <w:rFonts w:asciiTheme="majorBidi" w:hAnsiTheme="majorBidi" w:cstheme="majorBidi"/>
          <w:color w:val="000000"/>
          <w:highlight w:val="white"/>
        </w:rPr>
        <w:t> 2024;</w:t>
      </w:r>
      <w:r w:rsidRPr="00B248A6">
        <w:rPr>
          <w:rFonts w:asciiTheme="majorBidi" w:hAnsiTheme="majorBidi" w:cstheme="majorBidi"/>
          <w:color w:val="000000"/>
        </w:rPr>
        <w:t>22</w:t>
      </w:r>
      <w:r w:rsidRPr="00B248A6">
        <w:rPr>
          <w:rFonts w:asciiTheme="majorBidi" w:hAnsiTheme="majorBidi" w:cstheme="majorBidi"/>
          <w:color w:val="000000"/>
          <w:highlight w:val="white"/>
        </w:rPr>
        <w:t xml:space="preserve">: 961. </w:t>
      </w:r>
      <w:hyperlink r:id="rId30">
        <w:r w:rsidRPr="00B248A6">
          <w:rPr>
            <w:rFonts w:asciiTheme="majorBidi" w:hAnsiTheme="majorBidi" w:cstheme="majorBidi"/>
            <w:color w:val="000000"/>
            <w:highlight w:val="white"/>
            <w:u w:val="single"/>
          </w:rPr>
          <w:t>https://doi.org/10.1186/s12967-024-05737-z</w:t>
        </w:r>
      </w:hyperlink>
    </w:p>
    <w:p w14:paraId="00000098"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Thorn C.F., </w:t>
      </w:r>
      <w:proofErr w:type="spellStart"/>
      <w:r w:rsidRPr="00B248A6">
        <w:rPr>
          <w:rFonts w:asciiTheme="majorBidi" w:hAnsiTheme="majorBidi" w:cstheme="majorBidi"/>
          <w:color w:val="000000"/>
          <w:highlight w:val="white"/>
        </w:rPr>
        <w:t>Aklillu</w:t>
      </w:r>
      <w:proofErr w:type="spellEnd"/>
      <w:r w:rsidRPr="00B248A6">
        <w:rPr>
          <w:rFonts w:asciiTheme="majorBidi" w:hAnsiTheme="majorBidi" w:cstheme="majorBidi"/>
          <w:color w:val="000000"/>
          <w:highlight w:val="white"/>
        </w:rPr>
        <w:t xml:space="preserve"> E. </w:t>
      </w:r>
      <w:proofErr w:type="spellStart"/>
      <w:r w:rsidRPr="00B248A6">
        <w:rPr>
          <w:rFonts w:asciiTheme="majorBidi" w:hAnsiTheme="majorBidi" w:cstheme="majorBidi"/>
          <w:color w:val="000000"/>
          <w:highlight w:val="white"/>
        </w:rPr>
        <w:t>PharmGKB</w:t>
      </w:r>
      <w:proofErr w:type="spellEnd"/>
      <w:r w:rsidRPr="00B248A6">
        <w:rPr>
          <w:rFonts w:asciiTheme="majorBidi" w:hAnsiTheme="majorBidi" w:cstheme="majorBidi"/>
          <w:color w:val="000000"/>
          <w:highlight w:val="white"/>
        </w:rPr>
        <w:t xml:space="preserve"> summary: caffeine pathway. </w:t>
      </w:r>
      <w:proofErr w:type="spellStart"/>
      <w:r w:rsidRPr="00B248A6">
        <w:rPr>
          <w:rFonts w:asciiTheme="majorBidi" w:hAnsiTheme="majorBidi" w:cstheme="majorBidi"/>
          <w:color w:val="000000"/>
        </w:rPr>
        <w:t>Pharmacogenet</w:t>
      </w:r>
      <w:proofErr w:type="spellEnd"/>
      <w:r w:rsidRPr="00B248A6">
        <w:rPr>
          <w:rFonts w:asciiTheme="majorBidi" w:hAnsiTheme="majorBidi" w:cstheme="majorBidi"/>
          <w:color w:val="000000"/>
        </w:rPr>
        <w:t xml:space="preserve"> Genomics</w:t>
      </w:r>
      <w:r w:rsidRPr="00B248A6">
        <w:rPr>
          <w:rFonts w:asciiTheme="majorBidi" w:hAnsiTheme="majorBidi" w:cstheme="majorBidi"/>
          <w:color w:val="000000"/>
          <w:highlight w:val="white"/>
        </w:rPr>
        <w:t> </w:t>
      </w:r>
      <w:r w:rsidRPr="00B248A6">
        <w:rPr>
          <w:rFonts w:asciiTheme="majorBidi" w:hAnsiTheme="majorBidi" w:cstheme="majorBidi"/>
          <w:color w:val="000000"/>
        </w:rPr>
        <w:t>2012;22:</w:t>
      </w:r>
      <w:r w:rsidRPr="00B248A6">
        <w:rPr>
          <w:rFonts w:asciiTheme="majorBidi" w:hAnsiTheme="majorBidi" w:cstheme="majorBidi"/>
          <w:color w:val="000000"/>
          <w:highlight w:val="white"/>
        </w:rPr>
        <w:t xml:space="preserve"> 389-395. </w:t>
      </w:r>
      <w:hyperlink r:id="rId31">
        <w:r w:rsidRPr="00B248A6">
          <w:rPr>
            <w:rFonts w:asciiTheme="majorBidi" w:hAnsiTheme="majorBidi" w:cstheme="majorBidi"/>
            <w:color w:val="000000"/>
            <w:highlight w:val="white"/>
            <w:u w:val="single"/>
          </w:rPr>
          <w:t>https://doi.org/10.1097/FPC.0b013e3283505d5e</w:t>
        </w:r>
      </w:hyperlink>
    </w:p>
    <w:p w14:paraId="00000099"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proofErr w:type="spellStart"/>
      <w:r w:rsidRPr="00B248A6">
        <w:rPr>
          <w:rFonts w:asciiTheme="majorBidi" w:hAnsiTheme="majorBidi" w:cstheme="majorBidi"/>
          <w:color w:val="000000"/>
          <w:highlight w:val="white"/>
        </w:rPr>
        <w:t>dePaula</w:t>
      </w:r>
      <w:proofErr w:type="spellEnd"/>
      <w:r w:rsidRPr="00B248A6">
        <w:rPr>
          <w:rFonts w:asciiTheme="majorBidi" w:hAnsiTheme="majorBidi" w:cstheme="majorBidi"/>
          <w:color w:val="000000"/>
          <w:highlight w:val="white"/>
        </w:rPr>
        <w:t xml:space="preserve"> J., and Farah A. Caffeine Consumption through Coffee: Content in the Beverage, Metabolism, Health Benefits and Risks. </w:t>
      </w:r>
      <w:r w:rsidRPr="00B248A6">
        <w:rPr>
          <w:rFonts w:asciiTheme="majorBidi" w:hAnsiTheme="majorBidi" w:cstheme="majorBidi"/>
          <w:color w:val="000000"/>
        </w:rPr>
        <w:t>Beverages</w:t>
      </w:r>
      <w:r w:rsidRPr="00B248A6">
        <w:rPr>
          <w:rFonts w:asciiTheme="majorBidi" w:hAnsiTheme="majorBidi" w:cstheme="majorBidi"/>
          <w:color w:val="000000"/>
          <w:highlight w:val="white"/>
        </w:rPr>
        <w:t> </w:t>
      </w:r>
      <w:r w:rsidRPr="00B248A6">
        <w:rPr>
          <w:rFonts w:asciiTheme="majorBidi" w:hAnsiTheme="majorBidi" w:cstheme="majorBidi"/>
          <w:color w:val="000000"/>
        </w:rPr>
        <w:t>2019;5:</w:t>
      </w:r>
      <w:r w:rsidRPr="00B248A6">
        <w:rPr>
          <w:rFonts w:asciiTheme="majorBidi" w:hAnsiTheme="majorBidi" w:cstheme="majorBidi"/>
          <w:color w:val="000000"/>
          <w:highlight w:val="white"/>
        </w:rPr>
        <w:t xml:space="preserve"> 37. </w:t>
      </w:r>
      <w:hyperlink r:id="rId32">
        <w:r w:rsidRPr="00B248A6">
          <w:rPr>
            <w:rFonts w:asciiTheme="majorBidi" w:hAnsiTheme="majorBidi" w:cstheme="majorBidi"/>
            <w:color w:val="000000"/>
            <w:highlight w:val="white"/>
            <w:u w:val="single"/>
          </w:rPr>
          <w:t>https://doi.org/10.3390/beverages5020037</w:t>
        </w:r>
      </w:hyperlink>
    </w:p>
    <w:p w14:paraId="0000009A"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Marcinek K., Luzak B. The Effects of Caffeine on Blood Platelets and the Cardiovascular System through Adenosine Receptors. </w:t>
      </w:r>
      <w:r w:rsidRPr="00B248A6">
        <w:rPr>
          <w:rFonts w:asciiTheme="majorBidi" w:hAnsiTheme="majorBidi" w:cstheme="majorBidi"/>
          <w:color w:val="000000"/>
        </w:rPr>
        <w:t>Int J Mol Sci</w:t>
      </w:r>
      <w:r w:rsidRPr="00B248A6">
        <w:rPr>
          <w:rFonts w:asciiTheme="majorBidi" w:hAnsiTheme="majorBidi" w:cstheme="majorBidi"/>
          <w:color w:val="000000"/>
          <w:highlight w:val="white"/>
        </w:rPr>
        <w:t> </w:t>
      </w:r>
      <w:r w:rsidRPr="00B248A6">
        <w:rPr>
          <w:rFonts w:asciiTheme="majorBidi" w:hAnsiTheme="majorBidi" w:cstheme="majorBidi"/>
          <w:color w:val="000000"/>
        </w:rPr>
        <w:t>2024</w:t>
      </w:r>
      <w:r w:rsidRPr="00B248A6">
        <w:rPr>
          <w:rFonts w:asciiTheme="majorBidi" w:hAnsiTheme="majorBidi" w:cstheme="majorBidi"/>
          <w:color w:val="000000"/>
          <w:highlight w:val="white"/>
        </w:rPr>
        <w:t>;</w:t>
      </w:r>
      <w:r w:rsidRPr="00B248A6">
        <w:rPr>
          <w:rFonts w:asciiTheme="majorBidi" w:hAnsiTheme="majorBidi" w:cstheme="majorBidi"/>
          <w:color w:val="000000"/>
        </w:rPr>
        <w:t>25</w:t>
      </w:r>
      <w:r w:rsidRPr="00B248A6">
        <w:rPr>
          <w:rFonts w:asciiTheme="majorBidi" w:hAnsiTheme="majorBidi" w:cstheme="majorBidi"/>
          <w:color w:val="000000"/>
          <w:highlight w:val="white"/>
        </w:rPr>
        <w:t xml:space="preserve">: 8905. </w:t>
      </w:r>
      <w:hyperlink r:id="rId33">
        <w:r w:rsidRPr="00B248A6">
          <w:rPr>
            <w:rFonts w:asciiTheme="majorBidi" w:hAnsiTheme="majorBidi" w:cstheme="majorBidi"/>
            <w:color w:val="000000"/>
            <w:highlight w:val="white"/>
            <w:u w:val="single"/>
          </w:rPr>
          <w:t>https://doi.org/10.3390/ijms25168905</w:t>
        </w:r>
      </w:hyperlink>
    </w:p>
    <w:p w14:paraId="0000009B"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Do H.N., Akhter S. Pathways and Mechanism of Caffeine Binding to Human Adenosine A</w:t>
      </w:r>
      <w:r w:rsidRPr="00B248A6">
        <w:rPr>
          <w:rFonts w:asciiTheme="majorBidi" w:hAnsiTheme="majorBidi" w:cstheme="majorBidi"/>
          <w:color w:val="000000"/>
          <w:vertAlign w:val="subscript"/>
        </w:rPr>
        <w:t>2A</w:t>
      </w:r>
      <w:r w:rsidRPr="00B248A6">
        <w:rPr>
          <w:rFonts w:asciiTheme="majorBidi" w:hAnsiTheme="majorBidi" w:cstheme="majorBidi"/>
          <w:color w:val="000000"/>
          <w:highlight w:val="white"/>
        </w:rPr>
        <w:t>Receptor. </w:t>
      </w:r>
      <w:r w:rsidRPr="00B248A6">
        <w:rPr>
          <w:rFonts w:asciiTheme="majorBidi" w:hAnsiTheme="majorBidi" w:cstheme="majorBidi"/>
          <w:color w:val="000000"/>
        </w:rPr>
        <w:t xml:space="preserve">Front Molecular </w:t>
      </w:r>
      <w:proofErr w:type="spellStart"/>
      <w:r w:rsidRPr="00B248A6">
        <w:rPr>
          <w:rFonts w:asciiTheme="majorBidi" w:hAnsiTheme="majorBidi" w:cstheme="majorBidi"/>
          <w:color w:val="000000"/>
        </w:rPr>
        <w:t>Biosci</w:t>
      </w:r>
      <w:proofErr w:type="spellEnd"/>
      <w:r w:rsidRPr="00B248A6">
        <w:rPr>
          <w:rFonts w:asciiTheme="majorBidi" w:hAnsiTheme="majorBidi" w:cstheme="majorBidi"/>
          <w:color w:val="000000"/>
          <w:highlight w:val="white"/>
        </w:rPr>
        <w:t xml:space="preserve"> 2021;8: 673170. </w:t>
      </w:r>
      <w:hyperlink r:id="rId34">
        <w:r w:rsidRPr="00B248A6">
          <w:rPr>
            <w:rFonts w:asciiTheme="majorBidi" w:hAnsiTheme="majorBidi" w:cstheme="majorBidi"/>
            <w:color w:val="000000"/>
            <w:highlight w:val="white"/>
            <w:u w:val="single"/>
          </w:rPr>
          <w:t>https://doi.org/10.3389/fmolb.2021.673170</w:t>
        </w:r>
      </w:hyperlink>
    </w:p>
    <w:p w14:paraId="0000009C"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lastRenderedPageBreak/>
        <w:t>Daly J.W., Shi D. The role of adenosine receptors in the central action of caffeine. </w:t>
      </w:r>
      <w:proofErr w:type="spellStart"/>
      <w:r w:rsidRPr="00B248A6">
        <w:rPr>
          <w:rFonts w:asciiTheme="majorBidi" w:hAnsiTheme="majorBidi" w:cstheme="majorBidi"/>
          <w:color w:val="000000"/>
        </w:rPr>
        <w:t>Pharmacopsychoecologia</w:t>
      </w:r>
      <w:proofErr w:type="spellEnd"/>
      <w:r w:rsidRPr="00B248A6">
        <w:rPr>
          <w:rFonts w:asciiTheme="majorBidi" w:hAnsiTheme="majorBidi" w:cstheme="majorBidi"/>
          <w:color w:val="000000"/>
          <w:highlight w:val="white"/>
        </w:rPr>
        <w:t xml:space="preserve"> 1994;7: 201-213. </w:t>
      </w:r>
      <w:hyperlink r:id="rId35">
        <w:r w:rsidRPr="00B248A6">
          <w:rPr>
            <w:rFonts w:asciiTheme="majorBidi" w:hAnsiTheme="majorBidi" w:cstheme="majorBidi"/>
            <w:color w:val="000000"/>
            <w:highlight w:val="white"/>
            <w:u w:val="single"/>
          </w:rPr>
          <w:t>https://pmc.ncbi.nlm.nih.gov/articles/PMC4373791/</w:t>
        </w:r>
      </w:hyperlink>
    </w:p>
    <w:p w14:paraId="0000009D"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rPr>
        <w:t xml:space="preserve">Reddy V.S., Shiva S. Pharmacology of caffeine and its effects on the human body. </w:t>
      </w:r>
      <w:proofErr w:type="spellStart"/>
      <w:r w:rsidRPr="00B248A6">
        <w:rPr>
          <w:rFonts w:asciiTheme="majorBidi" w:hAnsiTheme="majorBidi" w:cstheme="majorBidi"/>
          <w:color w:val="000000"/>
        </w:rPr>
        <w:t>Eur</w:t>
      </w:r>
      <w:proofErr w:type="spellEnd"/>
      <w:r w:rsidRPr="00B248A6">
        <w:rPr>
          <w:rFonts w:asciiTheme="majorBidi" w:hAnsiTheme="majorBidi" w:cstheme="majorBidi"/>
          <w:color w:val="000000"/>
        </w:rPr>
        <w:t xml:space="preserve"> J Med Chem Rep 2024;10: 100138. </w:t>
      </w:r>
      <w:hyperlink r:id="rId36">
        <w:r w:rsidRPr="00B248A6">
          <w:rPr>
            <w:rFonts w:asciiTheme="majorBidi" w:hAnsiTheme="majorBidi" w:cstheme="majorBidi"/>
            <w:color w:val="000000"/>
            <w:u w:val="single"/>
          </w:rPr>
          <w:t>https://doi.org/10.1016/j.ejmcr.2024.100138</w:t>
        </w:r>
      </w:hyperlink>
      <w:r w:rsidRPr="00B248A6">
        <w:rPr>
          <w:rFonts w:asciiTheme="majorBidi" w:hAnsiTheme="majorBidi" w:cstheme="majorBidi"/>
          <w:color w:val="000000"/>
        </w:rPr>
        <w:t>.</w:t>
      </w:r>
    </w:p>
    <w:p w14:paraId="0000009E"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Varani K., </w:t>
      </w:r>
      <w:proofErr w:type="spellStart"/>
      <w:r w:rsidRPr="00B248A6">
        <w:rPr>
          <w:rFonts w:asciiTheme="majorBidi" w:hAnsiTheme="majorBidi" w:cstheme="majorBidi"/>
          <w:color w:val="000000"/>
          <w:highlight w:val="white"/>
        </w:rPr>
        <w:t>Portaluppi</w:t>
      </w:r>
      <w:proofErr w:type="spellEnd"/>
      <w:r w:rsidRPr="00B248A6">
        <w:rPr>
          <w:rFonts w:asciiTheme="majorBidi" w:hAnsiTheme="majorBidi" w:cstheme="majorBidi"/>
          <w:color w:val="000000"/>
          <w:highlight w:val="white"/>
        </w:rPr>
        <w:t xml:space="preserve"> F. Caffeine alters A2A adenosine receptors and their function in human platelets. Circulation 1999;99: 2499-2502. </w:t>
      </w:r>
      <w:hyperlink r:id="rId37">
        <w:r w:rsidRPr="00B248A6">
          <w:rPr>
            <w:rFonts w:asciiTheme="majorBidi" w:hAnsiTheme="majorBidi" w:cstheme="majorBidi"/>
            <w:color w:val="000000"/>
            <w:highlight w:val="white"/>
            <w:u w:val="single"/>
          </w:rPr>
          <w:t>https://doi.org/10.1161/01.cir.99.19.2499</w:t>
        </w:r>
      </w:hyperlink>
    </w:p>
    <w:p w14:paraId="0000009F"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Rodak K., Kokot I. Caffeine as a Factor Influencing the Functioning of the Human Body-Friend or </w:t>
      </w:r>
      <w:proofErr w:type="gramStart"/>
      <w:r w:rsidRPr="00B248A6">
        <w:rPr>
          <w:rFonts w:asciiTheme="majorBidi" w:hAnsiTheme="majorBidi" w:cstheme="majorBidi"/>
          <w:color w:val="000000"/>
          <w:highlight w:val="white"/>
        </w:rPr>
        <w:t>Foe?.</w:t>
      </w:r>
      <w:proofErr w:type="gramEnd"/>
      <w:r w:rsidRPr="00B248A6">
        <w:rPr>
          <w:rFonts w:asciiTheme="majorBidi" w:hAnsiTheme="majorBidi" w:cstheme="majorBidi"/>
          <w:color w:val="000000"/>
          <w:highlight w:val="white"/>
        </w:rPr>
        <w:t> </w:t>
      </w:r>
      <w:r w:rsidRPr="00B248A6">
        <w:rPr>
          <w:rFonts w:asciiTheme="majorBidi" w:hAnsiTheme="majorBidi" w:cstheme="majorBidi"/>
          <w:color w:val="000000"/>
        </w:rPr>
        <w:t>Nutrients</w:t>
      </w:r>
      <w:r w:rsidRPr="00B248A6">
        <w:rPr>
          <w:rFonts w:asciiTheme="majorBidi" w:hAnsiTheme="majorBidi" w:cstheme="majorBidi"/>
          <w:color w:val="000000"/>
          <w:highlight w:val="white"/>
        </w:rPr>
        <w:t> 2021;</w:t>
      </w:r>
      <w:r w:rsidRPr="00B248A6">
        <w:rPr>
          <w:rFonts w:asciiTheme="majorBidi" w:hAnsiTheme="majorBidi" w:cstheme="majorBidi"/>
          <w:color w:val="000000"/>
        </w:rPr>
        <w:t>13</w:t>
      </w:r>
      <w:r w:rsidRPr="00B248A6">
        <w:rPr>
          <w:rFonts w:asciiTheme="majorBidi" w:hAnsiTheme="majorBidi" w:cstheme="majorBidi"/>
          <w:color w:val="000000"/>
          <w:highlight w:val="white"/>
        </w:rPr>
        <w:t xml:space="preserve">: 3088. </w:t>
      </w:r>
      <w:hyperlink r:id="rId38">
        <w:r w:rsidRPr="00B248A6">
          <w:rPr>
            <w:rFonts w:asciiTheme="majorBidi" w:hAnsiTheme="majorBidi" w:cstheme="majorBidi"/>
            <w:color w:val="000000"/>
            <w:highlight w:val="white"/>
            <w:u w:val="single"/>
          </w:rPr>
          <w:t>https://doi.org/10.3390/nu13093088</w:t>
        </w:r>
      </w:hyperlink>
    </w:p>
    <w:p w14:paraId="000000A0"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Saraiva S.M., Jacinto T.A. Overview of Caffeine Effects on Human Health and Emerging Delivery Strategies. </w:t>
      </w:r>
      <w:r w:rsidRPr="00B248A6">
        <w:rPr>
          <w:rFonts w:asciiTheme="majorBidi" w:hAnsiTheme="majorBidi" w:cstheme="majorBidi"/>
          <w:color w:val="000000"/>
        </w:rPr>
        <w:t>Pharmaceuticals (Basel, Switzerland)</w:t>
      </w:r>
      <w:r w:rsidRPr="00B248A6">
        <w:rPr>
          <w:rFonts w:asciiTheme="majorBidi" w:hAnsiTheme="majorBidi" w:cstheme="majorBidi"/>
          <w:color w:val="000000"/>
          <w:highlight w:val="white"/>
        </w:rPr>
        <w:t xml:space="preserve"> 2023;16: 1067. </w:t>
      </w:r>
      <w:hyperlink r:id="rId39">
        <w:r w:rsidRPr="00B248A6">
          <w:rPr>
            <w:rFonts w:asciiTheme="majorBidi" w:hAnsiTheme="majorBidi" w:cstheme="majorBidi"/>
            <w:color w:val="000000"/>
            <w:highlight w:val="white"/>
            <w:u w:val="single"/>
          </w:rPr>
          <w:t>https://doi.org/10.3390/ph16081067</w:t>
        </w:r>
      </w:hyperlink>
    </w:p>
    <w:p w14:paraId="000000A1"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Gregg J.R., Kim J., Logothetis C., et al. Coffee Intake, Caffeine Metabolism Genotype, and Survival Among Men with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w:t>
      </w:r>
      <w:proofErr w:type="spellStart"/>
      <w:r w:rsidRPr="00B248A6">
        <w:rPr>
          <w:rFonts w:asciiTheme="majorBidi" w:hAnsiTheme="majorBidi" w:cstheme="majorBidi"/>
          <w:color w:val="000000"/>
        </w:rPr>
        <w:t>Eur</w:t>
      </w:r>
      <w:proofErr w:type="spellEnd"/>
      <w:r w:rsidRPr="00B248A6">
        <w:rPr>
          <w:rFonts w:asciiTheme="majorBidi" w:hAnsiTheme="majorBidi" w:cstheme="majorBidi"/>
          <w:color w:val="000000"/>
        </w:rPr>
        <w:t xml:space="preserve"> </w:t>
      </w:r>
      <w:proofErr w:type="spellStart"/>
      <w:r w:rsidRPr="00B248A6">
        <w:rPr>
          <w:rFonts w:asciiTheme="majorBidi" w:hAnsiTheme="majorBidi" w:cstheme="majorBidi"/>
          <w:color w:val="000000"/>
        </w:rPr>
        <w:t>Urol</w:t>
      </w:r>
      <w:proofErr w:type="spellEnd"/>
      <w:r w:rsidRPr="00B248A6">
        <w:rPr>
          <w:rFonts w:asciiTheme="majorBidi" w:hAnsiTheme="majorBidi" w:cstheme="majorBidi"/>
          <w:color w:val="000000"/>
        </w:rPr>
        <w:t xml:space="preserve"> Oncol</w:t>
      </w:r>
      <w:r w:rsidRPr="00B248A6">
        <w:rPr>
          <w:rFonts w:asciiTheme="majorBidi" w:hAnsiTheme="majorBidi" w:cstheme="majorBidi"/>
          <w:color w:val="000000"/>
          <w:highlight w:val="white"/>
        </w:rPr>
        <w:t> </w:t>
      </w:r>
      <w:r w:rsidRPr="00B248A6">
        <w:rPr>
          <w:rFonts w:asciiTheme="majorBidi" w:hAnsiTheme="majorBidi" w:cstheme="majorBidi"/>
          <w:color w:val="000000"/>
        </w:rPr>
        <w:t>2023;6:</w:t>
      </w:r>
      <w:r w:rsidRPr="00B248A6">
        <w:rPr>
          <w:rFonts w:asciiTheme="majorBidi" w:hAnsiTheme="majorBidi" w:cstheme="majorBidi"/>
          <w:color w:val="000000"/>
          <w:highlight w:val="white"/>
        </w:rPr>
        <w:t xml:space="preserve"> 282-288. </w:t>
      </w:r>
      <w:hyperlink r:id="rId40">
        <w:r w:rsidRPr="00B248A6">
          <w:rPr>
            <w:rFonts w:asciiTheme="majorBidi" w:hAnsiTheme="majorBidi" w:cstheme="majorBidi"/>
            <w:color w:val="000000"/>
            <w:highlight w:val="white"/>
            <w:u w:val="single"/>
          </w:rPr>
          <w:t>https://doi.org/10.1016/j.euo.2022.07.008</w:t>
        </w:r>
      </w:hyperlink>
    </w:p>
    <w:p w14:paraId="000000A2"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Allard B., Allard D. The adenosine pathway in immuno-oncology. </w:t>
      </w:r>
      <w:r w:rsidRPr="00B248A6">
        <w:rPr>
          <w:rFonts w:asciiTheme="majorBidi" w:hAnsiTheme="majorBidi" w:cstheme="majorBidi"/>
          <w:color w:val="000000"/>
        </w:rPr>
        <w:t>Nat Rev Clin Oncol</w:t>
      </w:r>
      <w:r w:rsidRPr="00B248A6">
        <w:rPr>
          <w:rFonts w:asciiTheme="majorBidi" w:hAnsiTheme="majorBidi" w:cstheme="majorBidi"/>
          <w:color w:val="000000"/>
          <w:highlight w:val="white"/>
        </w:rPr>
        <w:t> </w:t>
      </w:r>
      <w:r w:rsidRPr="00B248A6">
        <w:rPr>
          <w:rFonts w:asciiTheme="majorBidi" w:hAnsiTheme="majorBidi" w:cstheme="majorBidi"/>
          <w:color w:val="000000"/>
        </w:rPr>
        <w:t>2020;</w:t>
      </w:r>
      <w:r w:rsidRPr="00B248A6">
        <w:rPr>
          <w:rFonts w:asciiTheme="majorBidi" w:hAnsiTheme="majorBidi" w:cstheme="majorBidi"/>
          <w:color w:val="000000"/>
          <w:highlight w:val="white"/>
        </w:rPr>
        <w:t xml:space="preserve">17: 611-629. </w:t>
      </w:r>
      <w:hyperlink r:id="rId41">
        <w:r w:rsidRPr="00B248A6">
          <w:rPr>
            <w:rFonts w:asciiTheme="majorBidi" w:hAnsiTheme="majorBidi" w:cstheme="majorBidi"/>
            <w:color w:val="000000"/>
            <w:highlight w:val="white"/>
            <w:u w:val="single"/>
          </w:rPr>
          <w:t>https://doi.org/10.1038/s41571-020-0382-2</w:t>
        </w:r>
      </w:hyperlink>
    </w:p>
    <w:p w14:paraId="000000A3"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Vijayan D., Young A. Targeting immunosuppressive adenosine in cancer. </w:t>
      </w:r>
      <w:r w:rsidRPr="00B248A6">
        <w:rPr>
          <w:rFonts w:asciiTheme="majorBidi" w:hAnsiTheme="majorBidi" w:cstheme="majorBidi"/>
          <w:color w:val="000000"/>
        </w:rPr>
        <w:t>Nat Rev Cancer</w:t>
      </w:r>
      <w:r w:rsidRPr="00B248A6">
        <w:rPr>
          <w:rFonts w:asciiTheme="majorBidi" w:hAnsiTheme="majorBidi" w:cstheme="majorBidi"/>
          <w:color w:val="000000"/>
          <w:highlight w:val="white"/>
        </w:rPr>
        <w:t> </w:t>
      </w:r>
      <w:r w:rsidRPr="00B248A6">
        <w:rPr>
          <w:rFonts w:asciiTheme="majorBidi" w:hAnsiTheme="majorBidi" w:cstheme="majorBidi"/>
          <w:color w:val="000000"/>
        </w:rPr>
        <w:t>2017;17:</w:t>
      </w:r>
      <w:r w:rsidRPr="00B248A6">
        <w:rPr>
          <w:rFonts w:asciiTheme="majorBidi" w:hAnsiTheme="majorBidi" w:cstheme="majorBidi"/>
          <w:color w:val="000000"/>
          <w:highlight w:val="white"/>
        </w:rPr>
        <w:t xml:space="preserve"> 709-724. </w:t>
      </w:r>
      <w:hyperlink r:id="rId42">
        <w:r w:rsidRPr="00B248A6">
          <w:rPr>
            <w:rFonts w:asciiTheme="majorBidi" w:hAnsiTheme="majorBidi" w:cstheme="majorBidi"/>
            <w:color w:val="000000"/>
            <w:highlight w:val="white"/>
            <w:u w:val="single"/>
          </w:rPr>
          <w:t>https://doi.org/10.1038/nrc.2017.86</w:t>
        </w:r>
      </w:hyperlink>
    </w:p>
    <w:p w14:paraId="000000A4"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Zhang Y., Campbell B.K. The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Immune Microenvironment, Biomarkers and Therapeutic Intervention. </w:t>
      </w:r>
      <w:r w:rsidRPr="00B248A6">
        <w:rPr>
          <w:rFonts w:asciiTheme="majorBidi" w:hAnsiTheme="majorBidi" w:cstheme="majorBidi"/>
          <w:color w:val="000000"/>
        </w:rPr>
        <w:t>Uro</w:t>
      </w:r>
      <w:r w:rsidRPr="00B248A6">
        <w:rPr>
          <w:rFonts w:asciiTheme="majorBidi" w:hAnsiTheme="majorBidi" w:cstheme="majorBidi"/>
          <w:color w:val="000000"/>
          <w:highlight w:val="white"/>
        </w:rPr>
        <w:t> </w:t>
      </w:r>
      <w:r w:rsidRPr="00B248A6">
        <w:rPr>
          <w:rFonts w:asciiTheme="majorBidi" w:hAnsiTheme="majorBidi" w:cstheme="majorBidi"/>
          <w:color w:val="000000"/>
        </w:rPr>
        <w:t>2022;2;</w:t>
      </w:r>
      <w:r w:rsidRPr="00B248A6">
        <w:rPr>
          <w:rFonts w:asciiTheme="majorBidi" w:hAnsiTheme="majorBidi" w:cstheme="majorBidi"/>
          <w:color w:val="000000"/>
          <w:highlight w:val="white"/>
        </w:rPr>
        <w:t xml:space="preserve"> 74-92. </w:t>
      </w:r>
      <w:hyperlink r:id="rId43">
        <w:r w:rsidRPr="00B248A6">
          <w:rPr>
            <w:rFonts w:asciiTheme="majorBidi" w:hAnsiTheme="majorBidi" w:cstheme="majorBidi"/>
            <w:color w:val="000000"/>
            <w:highlight w:val="white"/>
            <w:u w:val="single"/>
          </w:rPr>
          <w:t>https://doi.org/10.3390/uro2020010</w:t>
        </w:r>
      </w:hyperlink>
    </w:p>
    <w:p w14:paraId="000000A5"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Leone R.D., and Emens L.A. Targeting adenosine for cancer immunotherapy. </w:t>
      </w:r>
      <w:r w:rsidRPr="00B248A6">
        <w:rPr>
          <w:rFonts w:asciiTheme="majorBidi" w:hAnsiTheme="majorBidi" w:cstheme="majorBidi"/>
          <w:color w:val="000000"/>
        </w:rPr>
        <w:t xml:space="preserve">Journal for </w:t>
      </w:r>
      <w:proofErr w:type="spellStart"/>
      <w:r w:rsidRPr="00B248A6">
        <w:rPr>
          <w:rFonts w:asciiTheme="majorBidi" w:hAnsiTheme="majorBidi" w:cstheme="majorBidi"/>
          <w:color w:val="000000"/>
        </w:rPr>
        <w:t>Immunother</w:t>
      </w:r>
      <w:proofErr w:type="spellEnd"/>
      <w:r w:rsidRPr="00B248A6">
        <w:rPr>
          <w:rFonts w:asciiTheme="majorBidi" w:hAnsiTheme="majorBidi" w:cstheme="majorBidi"/>
          <w:color w:val="000000"/>
        </w:rPr>
        <w:t xml:space="preserve"> Cancer</w:t>
      </w:r>
      <w:r w:rsidRPr="00B248A6">
        <w:rPr>
          <w:rFonts w:asciiTheme="majorBidi" w:hAnsiTheme="majorBidi" w:cstheme="majorBidi"/>
          <w:color w:val="000000"/>
          <w:highlight w:val="white"/>
        </w:rPr>
        <w:t>, </w:t>
      </w:r>
      <w:r w:rsidRPr="00B248A6">
        <w:rPr>
          <w:rFonts w:asciiTheme="majorBidi" w:hAnsiTheme="majorBidi" w:cstheme="majorBidi"/>
          <w:color w:val="000000"/>
        </w:rPr>
        <w:t>2018;6:</w:t>
      </w:r>
      <w:r w:rsidRPr="00B248A6">
        <w:rPr>
          <w:rFonts w:asciiTheme="majorBidi" w:hAnsiTheme="majorBidi" w:cstheme="majorBidi"/>
          <w:color w:val="000000"/>
          <w:highlight w:val="white"/>
        </w:rPr>
        <w:t xml:space="preserve"> 57. </w:t>
      </w:r>
      <w:hyperlink r:id="rId44">
        <w:r w:rsidRPr="00B248A6">
          <w:rPr>
            <w:rFonts w:asciiTheme="majorBidi" w:hAnsiTheme="majorBidi" w:cstheme="majorBidi"/>
            <w:color w:val="000000"/>
            <w:highlight w:val="white"/>
            <w:u w:val="single"/>
          </w:rPr>
          <w:t>https://doi.org/10.1186/s40425-018-0360-8</w:t>
        </w:r>
      </w:hyperlink>
    </w:p>
    <w:p w14:paraId="000000A6"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Cekic C., &amp; Linden, J. Adenosine A2A receptors intrinsically regulate CD8+ T cells in the tumor microenvironment. </w:t>
      </w:r>
      <w:r w:rsidRPr="00B248A6">
        <w:rPr>
          <w:rFonts w:asciiTheme="majorBidi" w:hAnsiTheme="majorBidi" w:cstheme="majorBidi"/>
          <w:color w:val="000000"/>
        </w:rPr>
        <w:t>Cancer Res</w:t>
      </w:r>
      <w:r w:rsidRPr="00B248A6">
        <w:rPr>
          <w:rFonts w:asciiTheme="majorBidi" w:hAnsiTheme="majorBidi" w:cstheme="majorBidi"/>
          <w:color w:val="000000"/>
          <w:highlight w:val="white"/>
        </w:rPr>
        <w:t> </w:t>
      </w:r>
      <w:r w:rsidRPr="00B248A6">
        <w:rPr>
          <w:rFonts w:asciiTheme="majorBidi" w:hAnsiTheme="majorBidi" w:cstheme="majorBidi"/>
          <w:color w:val="000000"/>
        </w:rPr>
        <w:t xml:space="preserve">2014;74: </w:t>
      </w:r>
      <w:r w:rsidRPr="00B248A6">
        <w:rPr>
          <w:rFonts w:asciiTheme="majorBidi" w:hAnsiTheme="majorBidi" w:cstheme="majorBidi"/>
          <w:color w:val="000000"/>
          <w:highlight w:val="white"/>
        </w:rPr>
        <w:t xml:space="preserve">7239-7249. </w:t>
      </w:r>
      <w:hyperlink r:id="rId45">
        <w:r w:rsidRPr="00B248A6">
          <w:rPr>
            <w:rFonts w:asciiTheme="majorBidi" w:hAnsiTheme="majorBidi" w:cstheme="majorBidi"/>
            <w:color w:val="000000"/>
            <w:highlight w:val="white"/>
            <w:u w:val="single"/>
          </w:rPr>
          <w:t>https://doi.org/10.1158/0008-5472.CAN-13-3581</w:t>
        </w:r>
      </w:hyperlink>
    </w:p>
    <w:p w14:paraId="000000A7"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Hatfield S.M., </w:t>
      </w:r>
      <w:proofErr w:type="spellStart"/>
      <w:r w:rsidRPr="00B248A6">
        <w:rPr>
          <w:rFonts w:asciiTheme="majorBidi" w:hAnsiTheme="majorBidi" w:cstheme="majorBidi"/>
          <w:color w:val="000000"/>
          <w:highlight w:val="white"/>
        </w:rPr>
        <w:t>Kjaergaard</w:t>
      </w:r>
      <w:proofErr w:type="spellEnd"/>
      <w:r w:rsidRPr="00B248A6">
        <w:rPr>
          <w:rFonts w:asciiTheme="majorBidi" w:hAnsiTheme="majorBidi" w:cstheme="majorBidi"/>
          <w:color w:val="000000"/>
          <w:highlight w:val="white"/>
        </w:rPr>
        <w:t xml:space="preserve"> J., </w:t>
      </w:r>
      <w:proofErr w:type="spellStart"/>
      <w:r w:rsidRPr="00B248A6">
        <w:rPr>
          <w:rFonts w:asciiTheme="majorBidi" w:hAnsiTheme="majorBidi" w:cstheme="majorBidi"/>
          <w:color w:val="000000"/>
          <w:highlight w:val="white"/>
        </w:rPr>
        <w:t>Lukashev</w:t>
      </w:r>
      <w:proofErr w:type="spellEnd"/>
      <w:r w:rsidRPr="00B248A6">
        <w:rPr>
          <w:rFonts w:asciiTheme="majorBidi" w:hAnsiTheme="majorBidi" w:cstheme="majorBidi"/>
          <w:color w:val="000000"/>
          <w:highlight w:val="white"/>
        </w:rPr>
        <w:t xml:space="preserve"> D, et al. Immunological mechanisms of the antitumor effects of supplemental oxygenation. </w:t>
      </w:r>
      <w:r w:rsidRPr="00B248A6">
        <w:rPr>
          <w:rFonts w:asciiTheme="majorBidi" w:hAnsiTheme="majorBidi" w:cstheme="majorBidi"/>
          <w:color w:val="000000"/>
        </w:rPr>
        <w:t xml:space="preserve">Sci </w:t>
      </w:r>
      <w:proofErr w:type="spellStart"/>
      <w:r w:rsidRPr="00B248A6">
        <w:rPr>
          <w:rFonts w:asciiTheme="majorBidi" w:hAnsiTheme="majorBidi" w:cstheme="majorBidi"/>
          <w:color w:val="000000"/>
        </w:rPr>
        <w:t>Transl</w:t>
      </w:r>
      <w:proofErr w:type="spellEnd"/>
      <w:r w:rsidRPr="00B248A6">
        <w:rPr>
          <w:rFonts w:asciiTheme="majorBidi" w:hAnsiTheme="majorBidi" w:cstheme="majorBidi"/>
          <w:color w:val="000000"/>
        </w:rPr>
        <w:t xml:space="preserve"> Med</w:t>
      </w:r>
      <w:r w:rsidRPr="00B248A6">
        <w:rPr>
          <w:rFonts w:asciiTheme="majorBidi" w:hAnsiTheme="majorBidi" w:cstheme="majorBidi"/>
          <w:color w:val="000000"/>
          <w:highlight w:val="white"/>
        </w:rPr>
        <w:t> </w:t>
      </w:r>
      <w:r w:rsidRPr="00B248A6">
        <w:rPr>
          <w:rFonts w:asciiTheme="majorBidi" w:hAnsiTheme="majorBidi" w:cstheme="majorBidi"/>
          <w:color w:val="000000"/>
        </w:rPr>
        <w:t>2015;7:</w:t>
      </w:r>
      <w:r w:rsidRPr="00B248A6">
        <w:rPr>
          <w:rFonts w:asciiTheme="majorBidi" w:hAnsiTheme="majorBidi" w:cstheme="majorBidi"/>
          <w:color w:val="000000"/>
          <w:highlight w:val="white"/>
        </w:rPr>
        <w:t xml:space="preserve"> 277ra30. </w:t>
      </w:r>
      <w:hyperlink r:id="rId46">
        <w:r w:rsidRPr="00B248A6">
          <w:rPr>
            <w:rFonts w:asciiTheme="majorBidi" w:hAnsiTheme="majorBidi" w:cstheme="majorBidi"/>
            <w:color w:val="000000"/>
            <w:highlight w:val="white"/>
            <w:u w:val="single"/>
          </w:rPr>
          <w:t>https://doi.org/10.1126/scitranslmed.aaa1260</w:t>
        </w:r>
      </w:hyperlink>
    </w:p>
    <w:p w14:paraId="000000A8"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Ohta A., Gorelik E., Prasad S.J., et al. A2A adenosine receptor protects tumors from </w:t>
      </w:r>
      <w:proofErr w:type="gramStart"/>
      <w:r w:rsidRPr="00B248A6">
        <w:rPr>
          <w:rFonts w:asciiTheme="majorBidi" w:hAnsiTheme="majorBidi" w:cstheme="majorBidi"/>
          <w:color w:val="000000"/>
          <w:highlight w:val="white"/>
        </w:rPr>
        <w:t>antitumor T</w:t>
      </w:r>
      <w:proofErr w:type="gramEnd"/>
      <w:r w:rsidRPr="00B248A6">
        <w:rPr>
          <w:rFonts w:asciiTheme="majorBidi" w:hAnsiTheme="majorBidi" w:cstheme="majorBidi"/>
          <w:color w:val="000000"/>
          <w:highlight w:val="white"/>
        </w:rPr>
        <w:t xml:space="preserve"> cells. </w:t>
      </w:r>
      <w:r w:rsidRPr="00B248A6">
        <w:rPr>
          <w:rFonts w:asciiTheme="majorBidi" w:hAnsiTheme="majorBidi" w:cstheme="majorBidi"/>
          <w:color w:val="000000"/>
        </w:rPr>
        <w:t xml:space="preserve">Proc Natl Acad Sci U S A </w:t>
      </w:r>
      <w:r w:rsidRPr="00B248A6">
        <w:rPr>
          <w:rFonts w:asciiTheme="majorBidi" w:hAnsiTheme="majorBidi" w:cstheme="majorBidi"/>
          <w:color w:val="000000"/>
          <w:highlight w:val="white"/>
        </w:rPr>
        <w:t xml:space="preserve">2006;103: 13132-13137. </w:t>
      </w:r>
      <w:hyperlink r:id="rId47">
        <w:r w:rsidRPr="00B248A6">
          <w:rPr>
            <w:rFonts w:asciiTheme="majorBidi" w:hAnsiTheme="majorBidi" w:cstheme="majorBidi"/>
            <w:color w:val="000000"/>
            <w:highlight w:val="white"/>
            <w:u w:val="single"/>
          </w:rPr>
          <w:t>https://doi.org/10.1073/pnas.0605251103</w:t>
        </w:r>
      </w:hyperlink>
    </w:p>
    <w:p w14:paraId="000000A9"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Ohta, A., Kini, R., Ohta, A., et al. The development and immunosuppressive functions of CD4(+) CD25(+) FoxP3(+) regulatory T cells are under influence of the adenosine-A2A adenosine receptor pathway. </w:t>
      </w:r>
      <w:r w:rsidRPr="00B248A6">
        <w:rPr>
          <w:rFonts w:asciiTheme="majorBidi" w:hAnsiTheme="majorBidi" w:cstheme="majorBidi"/>
          <w:color w:val="000000"/>
        </w:rPr>
        <w:t>Frontiers in Immunology</w:t>
      </w:r>
      <w:r w:rsidRPr="00B248A6">
        <w:rPr>
          <w:rFonts w:asciiTheme="majorBidi" w:hAnsiTheme="majorBidi" w:cstheme="majorBidi"/>
          <w:color w:val="000000"/>
          <w:highlight w:val="white"/>
        </w:rPr>
        <w:t xml:space="preserve"> 2012; </w:t>
      </w:r>
      <w:r w:rsidRPr="00B248A6">
        <w:rPr>
          <w:rFonts w:asciiTheme="majorBidi" w:hAnsiTheme="majorBidi" w:cstheme="majorBidi"/>
          <w:color w:val="000000"/>
        </w:rPr>
        <w:t>3</w:t>
      </w:r>
      <w:r w:rsidRPr="00B248A6">
        <w:rPr>
          <w:rFonts w:asciiTheme="majorBidi" w:hAnsiTheme="majorBidi" w:cstheme="majorBidi"/>
          <w:color w:val="000000"/>
          <w:highlight w:val="white"/>
        </w:rPr>
        <w:t xml:space="preserve">: 190. </w:t>
      </w:r>
      <w:hyperlink r:id="rId48">
        <w:r w:rsidRPr="00B248A6">
          <w:rPr>
            <w:rFonts w:asciiTheme="majorBidi" w:hAnsiTheme="majorBidi" w:cstheme="majorBidi"/>
            <w:color w:val="000000"/>
            <w:highlight w:val="white"/>
            <w:u w:val="single"/>
          </w:rPr>
          <w:t>https://doi.org/10.3389/fimmu.2012.00190</w:t>
        </w:r>
      </w:hyperlink>
    </w:p>
    <w:p w14:paraId="000000AA"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Liu, Z., Liu, X., Shen, H. </w:t>
      </w:r>
      <w:proofErr w:type="spellStart"/>
      <w:r w:rsidRPr="00B248A6">
        <w:rPr>
          <w:rFonts w:asciiTheme="majorBidi" w:hAnsiTheme="majorBidi" w:cstheme="majorBidi"/>
          <w:color w:val="000000"/>
          <w:highlight w:val="white"/>
        </w:rPr>
        <w:t>Adenosinergic</w:t>
      </w:r>
      <w:proofErr w:type="spellEnd"/>
      <w:r w:rsidRPr="00B248A6">
        <w:rPr>
          <w:rFonts w:asciiTheme="majorBidi" w:hAnsiTheme="majorBidi" w:cstheme="majorBidi"/>
          <w:color w:val="000000"/>
          <w:highlight w:val="white"/>
        </w:rPr>
        <w:t xml:space="preserve"> axis and immune checkpoint combination therapy in tumor: A new perspective for immunotherapy strategy. </w:t>
      </w:r>
      <w:r w:rsidRPr="00B248A6">
        <w:rPr>
          <w:rFonts w:asciiTheme="majorBidi" w:hAnsiTheme="majorBidi" w:cstheme="majorBidi"/>
          <w:color w:val="000000"/>
        </w:rPr>
        <w:t>Frontiers in immunology</w:t>
      </w:r>
      <w:r w:rsidRPr="00B248A6">
        <w:rPr>
          <w:rFonts w:asciiTheme="majorBidi" w:hAnsiTheme="majorBidi" w:cstheme="majorBidi"/>
          <w:color w:val="000000"/>
          <w:highlight w:val="white"/>
        </w:rPr>
        <w:t xml:space="preserve"> 2022; </w:t>
      </w:r>
      <w:r w:rsidRPr="00B248A6">
        <w:rPr>
          <w:rFonts w:asciiTheme="majorBidi" w:hAnsiTheme="majorBidi" w:cstheme="majorBidi"/>
          <w:color w:val="000000"/>
        </w:rPr>
        <w:t>13</w:t>
      </w:r>
      <w:r w:rsidRPr="00B248A6">
        <w:rPr>
          <w:rFonts w:asciiTheme="majorBidi" w:hAnsiTheme="majorBidi" w:cstheme="majorBidi"/>
          <w:color w:val="000000"/>
          <w:highlight w:val="white"/>
        </w:rPr>
        <w:t xml:space="preserve">: 978377. </w:t>
      </w:r>
      <w:hyperlink r:id="rId49">
        <w:r w:rsidRPr="00B248A6">
          <w:rPr>
            <w:rFonts w:asciiTheme="majorBidi" w:hAnsiTheme="majorBidi" w:cstheme="majorBidi"/>
            <w:color w:val="000000"/>
            <w:highlight w:val="white"/>
            <w:u w:val="single"/>
          </w:rPr>
          <w:t>https://doi.org/10.3389/fimmu.2022.978377</w:t>
        </w:r>
      </w:hyperlink>
    </w:p>
    <w:p w14:paraId="000000AB"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Ohta, A., </w:t>
      </w:r>
      <w:proofErr w:type="spellStart"/>
      <w:r w:rsidRPr="00B248A6">
        <w:rPr>
          <w:rFonts w:asciiTheme="majorBidi" w:hAnsiTheme="majorBidi" w:cstheme="majorBidi"/>
          <w:color w:val="000000"/>
          <w:highlight w:val="white"/>
        </w:rPr>
        <w:t>Madasu</w:t>
      </w:r>
      <w:proofErr w:type="spellEnd"/>
      <w:r w:rsidRPr="00B248A6">
        <w:rPr>
          <w:rFonts w:asciiTheme="majorBidi" w:hAnsiTheme="majorBidi" w:cstheme="majorBidi"/>
          <w:color w:val="000000"/>
          <w:highlight w:val="white"/>
        </w:rPr>
        <w:t>, M., Subramanian, M., et al. Hypoxia-induced and A2A adenosine receptor-independent T-cell suppression is short lived and easily reversible. </w:t>
      </w:r>
      <w:r w:rsidRPr="00B248A6">
        <w:rPr>
          <w:rFonts w:asciiTheme="majorBidi" w:hAnsiTheme="majorBidi" w:cstheme="majorBidi"/>
          <w:color w:val="000000"/>
        </w:rPr>
        <w:t>International immunology</w:t>
      </w:r>
      <w:r w:rsidRPr="00B248A6">
        <w:rPr>
          <w:rFonts w:asciiTheme="majorBidi" w:hAnsiTheme="majorBidi" w:cstheme="majorBidi"/>
          <w:color w:val="000000"/>
          <w:highlight w:val="white"/>
        </w:rPr>
        <w:t xml:space="preserve"> 2014; </w:t>
      </w:r>
      <w:r w:rsidRPr="00B248A6">
        <w:rPr>
          <w:rFonts w:asciiTheme="majorBidi" w:hAnsiTheme="majorBidi" w:cstheme="majorBidi"/>
          <w:color w:val="000000"/>
        </w:rPr>
        <w:t>26</w:t>
      </w:r>
      <w:r w:rsidRPr="00B248A6">
        <w:rPr>
          <w:rFonts w:asciiTheme="majorBidi" w:hAnsiTheme="majorBidi" w:cstheme="majorBidi"/>
          <w:color w:val="000000"/>
          <w:highlight w:val="white"/>
        </w:rPr>
        <w:t xml:space="preserve">(2): 83-91. </w:t>
      </w:r>
      <w:hyperlink r:id="rId50">
        <w:r w:rsidRPr="00B248A6">
          <w:rPr>
            <w:rFonts w:asciiTheme="majorBidi" w:hAnsiTheme="majorBidi" w:cstheme="majorBidi"/>
            <w:color w:val="000000"/>
            <w:highlight w:val="white"/>
            <w:u w:val="single"/>
          </w:rPr>
          <w:t>https://doi.org/10.1093/intimm/dxt045</w:t>
        </w:r>
      </w:hyperlink>
    </w:p>
    <w:p w14:paraId="000000AC"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Morello, S., and Miele, L. Targeting the adenosine A2b receptor in the tumor microenvironment overcomes local immunosuppression by myeloid-derived suppressor cells. </w:t>
      </w:r>
      <w:r w:rsidRPr="00B248A6">
        <w:rPr>
          <w:rFonts w:asciiTheme="majorBidi" w:hAnsiTheme="majorBidi" w:cstheme="majorBidi"/>
          <w:color w:val="000000"/>
        </w:rPr>
        <w:t>Oncoimmunology</w:t>
      </w:r>
      <w:r w:rsidRPr="00B248A6">
        <w:rPr>
          <w:rFonts w:asciiTheme="majorBidi" w:hAnsiTheme="majorBidi" w:cstheme="majorBidi"/>
          <w:color w:val="000000"/>
          <w:highlight w:val="white"/>
        </w:rPr>
        <w:t xml:space="preserve"> 2014; </w:t>
      </w:r>
      <w:r w:rsidRPr="00B248A6">
        <w:rPr>
          <w:rFonts w:asciiTheme="majorBidi" w:hAnsiTheme="majorBidi" w:cstheme="majorBidi"/>
          <w:color w:val="000000"/>
        </w:rPr>
        <w:t>3</w:t>
      </w:r>
      <w:r w:rsidRPr="00B248A6">
        <w:rPr>
          <w:rFonts w:asciiTheme="majorBidi" w:hAnsiTheme="majorBidi" w:cstheme="majorBidi"/>
          <w:color w:val="000000"/>
          <w:highlight w:val="white"/>
        </w:rPr>
        <w:t xml:space="preserve">: e27989. </w:t>
      </w:r>
      <w:hyperlink r:id="rId51">
        <w:r w:rsidRPr="00B248A6">
          <w:rPr>
            <w:rFonts w:asciiTheme="majorBidi" w:hAnsiTheme="majorBidi" w:cstheme="majorBidi"/>
            <w:color w:val="000000"/>
            <w:highlight w:val="white"/>
            <w:u w:val="single"/>
          </w:rPr>
          <w:t>https://doi.org/10.4161/onci.27989</w:t>
        </w:r>
      </w:hyperlink>
    </w:p>
    <w:p w14:paraId="000000AD"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lastRenderedPageBreak/>
        <w:t xml:space="preserve">Wei, Q., Costanzi, S. A2B adenosine receptor blockade inhibits growth of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cells. </w:t>
      </w:r>
      <w:r w:rsidRPr="00B248A6">
        <w:rPr>
          <w:rFonts w:asciiTheme="majorBidi" w:hAnsiTheme="majorBidi" w:cstheme="majorBidi"/>
          <w:color w:val="000000"/>
        </w:rPr>
        <w:t xml:space="preserve">Purinergic </w:t>
      </w:r>
      <w:proofErr w:type="spellStart"/>
      <w:r w:rsidRPr="00B248A6">
        <w:rPr>
          <w:rFonts w:asciiTheme="majorBidi" w:hAnsiTheme="majorBidi" w:cstheme="majorBidi"/>
          <w:color w:val="000000"/>
        </w:rPr>
        <w:t>signalling</w:t>
      </w:r>
      <w:proofErr w:type="spellEnd"/>
      <w:r w:rsidRPr="00B248A6">
        <w:rPr>
          <w:rFonts w:asciiTheme="majorBidi" w:hAnsiTheme="majorBidi" w:cstheme="majorBidi"/>
          <w:color w:val="000000"/>
          <w:highlight w:val="white"/>
        </w:rPr>
        <w:t xml:space="preserve"> 2013; </w:t>
      </w:r>
      <w:r w:rsidRPr="00B248A6">
        <w:rPr>
          <w:rFonts w:asciiTheme="majorBidi" w:hAnsiTheme="majorBidi" w:cstheme="majorBidi"/>
          <w:color w:val="000000"/>
        </w:rPr>
        <w:t>9</w:t>
      </w:r>
      <w:r w:rsidRPr="00B248A6">
        <w:rPr>
          <w:rFonts w:asciiTheme="majorBidi" w:hAnsiTheme="majorBidi" w:cstheme="majorBidi"/>
          <w:color w:val="000000"/>
          <w:highlight w:val="white"/>
        </w:rPr>
        <w:t xml:space="preserve">(2): 271-280. </w:t>
      </w:r>
      <w:hyperlink r:id="rId52">
        <w:r w:rsidRPr="00B248A6">
          <w:rPr>
            <w:rFonts w:asciiTheme="majorBidi" w:hAnsiTheme="majorBidi" w:cstheme="majorBidi"/>
            <w:color w:val="000000"/>
            <w:highlight w:val="white"/>
            <w:u w:val="single"/>
          </w:rPr>
          <w:t>https://doi.org/10.1007/s11302-012-9350-3</w:t>
        </w:r>
      </w:hyperlink>
    </w:p>
    <w:p w14:paraId="000000AE"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Li, X., Zhong, J., et al. Targeting Myeloid-Derived Suppressor Cells to Enhance the Antitumor Efficacy of Immune Checkpoint Blockade Therapy. </w:t>
      </w:r>
      <w:r w:rsidRPr="00B248A6">
        <w:rPr>
          <w:rFonts w:asciiTheme="majorBidi" w:hAnsiTheme="majorBidi" w:cstheme="majorBidi"/>
          <w:color w:val="000000"/>
        </w:rPr>
        <w:t>Frontiers in immunology</w:t>
      </w:r>
      <w:r w:rsidRPr="00B248A6">
        <w:rPr>
          <w:rFonts w:asciiTheme="majorBidi" w:hAnsiTheme="majorBidi" w:cstheme="majorBidi"/>
          <w:color w:val="000000"/>
          <w:highlight w:val="white"/>
        </w:rPr>
        <w:t xml:space="preserve"> 2021; </w:t>
      </w:r>
      <w:r w:rsidRPr="00B248A6">
        <w:rPr>
          <w:rFonts w:asciiTheme="majorBidi" w:hAnsiTheme="majorBidi" w:cstheme="majorBidi"/>
          <w:color w:val="000000"/>
        </w:rPr>
        <w:t>12</w:t>
      </w:r>
      <w:r w:rsidRPr="00B248A6">
        <w:rPr>
          <w:rFonts w:asciiTheme="majorBidi" w:hAnsiTheme="majorBidi" w:cstheme="majorBidi"/>
          <w:color w:val="000000"/>
          <w:highlight w:val="white"/>
        </w:rPr>
        <w:t xml:space="preserve">: 754196. </w:t>
      </w:r>
      <w:hyperlink r:id="rId53">
        <w:r w:rsidRPr="00B248A6">
          <w:rPr>
            <w:rFonts w:asciiTheme="majorBidi" w:hAnsiTheme="majorBidi" w:cstheme="majorBidi"/>
            <w:color w:val="000000"/>
            <w:highlight w:val="white"/>
            <w:u w:val="single"/>
          </w:rPr>
          <w:t>https://doi.org/10.3389/fimmu.2021.754196</w:t>
        </w:r>
      </w:hyperlink>
    </w:p>
    <w:p w14:paraId="000000AF"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rPr>
        <w:t xml:space="preserve">Cheng, W., Kang, K., Zhao, A. et al. Dual blockade immunotherapy targeting PD-1/PD-L1 and CTLA-4 in lung cancer. J </w:t>
      </w:r>
      <w:proofErr w:type="spellStart"/>
      <w:r w:rsidRPr="00B248A6">
        <w:rPr>
          <w:rFonts w:asciiTheme="majorBidi" w:hAnsiTheme="majorBidi" w:cstheme="majorBidi"/>
          <w:color w:val="000000"/>
        </w:rPr>
        <w:t>Hematol</w:t>
      </w:r>
      <w:proofErr w:type="spellEnd"/>
      <w:r w:rsidRPr="00B248A6">
        <w:rPr>
          <w:rFonts w:asciiTheme="majorBidi" w:hAnsiTheme="majorBidi" w:cstheme="majorBidi"/>
          <w:color w:val="000000"/>
        </w:rPr>
        <w:t xml:space="preserve"> Oncol 2024; </w:t>
      </w:r>
      <w:r w:rsidRPr="00B248A6">
        <w:rPr>
          <w:rFonts w:asciiTheme="majorBidi" w:hAnsiTheme="majorBidi" w:cstheme="majorBidi"/>
          <w:b/>
          <w:bCs/>
          <w:color w:val="000000"/>
        </w:rPr>
        <w:t>17</w:t>
      </w:r>
      <w:r w:rsidRPr="00B248A6">
        <w:rPr>
          <w:rFonts w:asciiTheme="majorBidi" w:hAnsiTheme="majorBidi" w:cstheme="majorBidi"/>
          <w:color w:val="000000"/>
        </w:rPr>
        <w:t>: 54 https://doi.org/10.1186/s13045-024-01581-2</w:t>
      </w:r>
    </w:p>
    <w:p w14:paraId="000000B0"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Sauer, A. V., Brigida, I., </w:t>
      </w:r>
      <w:proofErr w:type="spellStart"/>
      <w:r w:rsidRPr="00B248A6">
        <w:rPr>
          <w:rFonts w:asciiTheme="majorBidi" w:hAnsiTheme="majorBidi" w:cstheme="majorBidi"/>
          <w:color w:val="000000"/>
          <w:highlight w:val="white"/>
        </w:rPr>
        <w:t>Carriglio</w:t>
      </w:r>
      <w:proofErr w:type="spellEnd"/>
      <w:r w:rsidRPr="00B248A6">
        <w:rPr>
          <w:rFonts w:asciiTheme="majorBidi" w:hAnsiTheme="majorBidi" w:cstheme="majorBidi"/>
          <w:color w:val="000000"/>
          <w:highlight w:val="white"/>
        </w:rPr>
        <w:t xml:space="preserve">, </w:t>
      </w:r>
      <w:proofErr w:type="spellStart"/>
      <w:proofErr w:type="gramStart"/>
      <w:r w:rsidRPr="00B248A6">
        <w:rPr>
          <w:rFonts w:asciiTheme="majorBidi" w:hAnsiTheme="majorBidi" w:cstheme="majorBidi"/>
          <w:color w:val="000000"/>
          <w:highlight w:val="white"/>
        </w:rPr>
        <w:t>N.,et</w:t>
      </w:r>
      <w:proofErr w:type="spellEnd"/>
      <w:r w:rsidRPr="00B248A6">
        <w:rPr>
          <w:rFonts w:asciiTheme="majorBidi" w:hAnsiTheme="majorBidi" w:cstheme="majorBidi"/>
          <w:color w:val="000000"/>
          <w:highlight w:val="white"/>
        </w:rPr>
        <w:t xml:space="preserve"> al.</w:t>
      </w:r>
      <w:proofErr w:type="gramEnd"/>
      <w:r w:rsidRPr="00B248A6">
        <w:rPr>
          <w:rFonts w:asciiTheme="majorBidi" w:hAnsiTheme="majorBidi" w:cstheme="majorBidi"/>
          <w:color w:val="000000"/>
          <w:highlight w:val="white"/>
        </w:rPr>
        <w:t xml:space="preserve"> Alterations in the adenosine metabolism and CD39/CD73 </w:t>
      </w:r>
      <w:proofErr w:type="spellStart"/>
      <w:r w:rsidRPr="00B248A6">
        <w:rPr>
          <w:rFonts w:asciiTheme="majorBidi" w:hAnsiTheme="majorBidi" w:cstheme="majorBidi"/>
          <w:color w:val="000000"/>
          <w:highlight w:val="white"/>
        </w:rPr>
        <w:t>adenosinergic</w:t>
      </w:r>
      <w:proofErr w:type="spellEnd"/>
      <w:r w:rsidRPr="00B248A6">
        <w:rPr>
          <w:rFonts w:asciiTheme="majorBidi" w:hAnsiTheme="majorBidi" w:cstheme="majorBidi"/>
          <w:color w:val="000000"/>
          <w:highlight w:val="white"/>
        </w:rPr>
        <w:t xml:space="preserve"> machinery cause loss of Treg cell function and autoimmunity in ADA-deficient SCID. </w:t>
      </w:r>
      <w:r w:rsidRPr="00B248A6">
        <w:rPr>
          <w:rFonts w:asciiTheme="majorBidi" w:hAnsiTheme="majorBidi" w:cstheme="majorBidi"/>
          <w:color w:val="000000"/>
        </w:rPr>
        <w:t>Blood</w:t>
      </w:r>
      <w:r w:rsidRPr="00B248A6">
        <w:rPr>
          <w:rFonts w:asciiTheme="majorBidi" w:hAnsiTheme="majorBidi" w:cstheme="majorBidi"/>
          <w:color w:val="000000"/>
          <w:highlight w:val="white"/>
        </w:rPr>
        <w:t xml:space="preserve"> 2012; </w:t>
      </w:r>
      <w:r w:rsidRPr="00B248A6">
        <w:rPr>
          <w:rFonts w:asciiTheme="majorBidi" w:hAnsiTheme="majorBidi" w:cstheme="majorBidi"/>
          <w:color w:val="000000"/>
        </w:rPr>
        <w:t>119</w:t>
      </w:r>
      <w:r w:rsidRPr="00B248A6">
        <w:rPr>
          <w:rFonts w:asciiTheme="majorBidi" w:hAnsiTheme="majorBidi" w:cstheme="majorBidi"/>
          <w:color w:val="000000"/>
          <w:highlight w:val="white"/>
        </w:rPr>
        <w:t xml:space="preserve">(6): 1428-1439. </w:t>
      </w:r>
      <w:hyperlink r:id="rId54">
        <w:r w:rsidRPr="00B248A6">
          <w:rPr>
            <w:rFonts w:asciiTheme="majorBidi" w:hAnsiTheme="majorBidi" w:cstheme="majorBidi"/>
            <w:color w:val="000000"/>
            <w:highlight w:val="white"/>
            <w:u w:val="single"/>
          </w:rPr>
          <w:t>https://doi.org/10.1182/blood-2011-07-366781</w:t>
        </w:r>
      </w:hyperlink>
    </w:p>
    <w:p w14:paraId="000000B1"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proofErr w:type="spellStart"/>
      <w:r w:rsidRPr="00B248A6">
        <w:rPr>
          <w:rFonts w:asciiTheme="majorBidi" w:hAnsiTheme="majorBidi" w:cstheme="majorBidi"/>
          <w:color w:val="000000"/>
          <w:highlight w:val="white"/>
        </w:rPr>
        <w:t>Gardani</w:t>
      </w:r>
      <w:proofErr w:type="spellEnd"/>
      <w:r w:rsidRPr="00B248A6">
        <w:rPr>
          <w:rFonts w:asciiTheme="majorBidi" w:hAnsiTheme="majorBidi" w:cstheme="majorBidi"/>
          <w:color w:val="000000"/>
          <w:highlight w:val="white"/>
        </w:rPr>
        <w:t xml:space="preserve">, C. F. F., Diz, F. M., et al. The potential role of purinergic signaling in cancer therapy: perspectives on anti-CD73 strategies for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w:t>
      </w:r>
      <w:r w:rsidRPr="00B248A6">
        <w:rPr>
          <w:rFonts w:asciiTheme="majorBidi" w:hAnsiTheme="majorBidi" w:cstheme="majorBidi"/>
          <w:color w:val="000000"/>
        </w:rPr>
        <w:t>Frontiers in immunology</w:t>
      </w:r>
      <w:r w:rsidRPr="00B248A6">
        <w:rPr>
          <w:rFonts w:asciiTheme="majorBidi" w:hAnsiTheme="majorBidi" w:cstheme="majorBidi"/>
          <w:color w:val="000000"/>
          <w:highlight w:val="white"/>
        </w:rPr>
        <w:t xml:space="preserve"> 2024; </w:t>
      </w:r>
      <w:r w:rsidRPr="00B248A6">
        <w:rPr>
          <w:rFonts w:asciiTheme="majorBidi" w:hAnsiTheme="majorBidi" w:cstheme="majorBidi"/>
          <w:color w:val="000000"/>
        </w:rPr>
        <w:t>15</w:t>
      </w:r>
      <w:r w:rsidRPr="00B248A6">
        <w:rPr>
          <w:rFonts w:asciiTheme="majorBidi" w:hAnsiTheme="majorBidi" w:cstheme="majorBidi"/>
          <w:color w:val="000000"/>
          <w:highlight w:val="white"/>
        </w:rPr>
        <w:t xml:space="preserve">: 1455469. </w:t>
      </w:r>
      <w:hyperlink r:id="rId55">
        <w:r w:rsidRPr="00B248A6">
          <w:rPr>
            <w:rFonts w:asciiTheme="majorBidi" w:hAnsiTheme="majorBidi" w:cstheme="majorBidi"/>
            <w:color w:val="000000"/>
            <w:highlight w:val="white"/>
            <w:u w:val="single"/>
          </w:rPr>
          <w:t>https://doi.org/10.3389/fimmu.2024.1455469</w:t>
        </w:r>
      </w:hyperlink>
    </w:p>
    <w:p w14:paraId="000000B2"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Chen, J. F., &amp; Schwarzschild, M. A. Do caffeine and more selective adenosine A</w:t>
      </w:r>
      <w:r w:rsidRPr="00B248A6">
        <w:rPr>
          <w:rFonts w:asciiTheme="majorBidi" w:hAnsiTheme="majorBidi" w:cstheme="majorBidi"/>
          <w:color w:val="000000"/>
          <w:vertAlign w:val="subscript"/>
        </w:rPr>
        <w:t>2A</w:t>
      </w:r>
      <w:r w:rsidRPr="00B248A6">
        <w:rPr>
          <w:rFonts w:asciiTheme="majorBidi" w:hAnsiTheme="majorBidi" w:cstheme="majorBidi"/>
          <w:color w:val="000000"/>
          <w:highlight w:val="white"/>
        </w:rPr>
        <w:t xml:space="preserve"> receptor antagonists protect against dopaminergic neurodegeneration in Parkinson's </w:t>
      </w:r>
      <w:proofErr w:type="gramStart"/>
      <w:r w:rsidRPr="00B248A6">
        <w:rPr>
          <w:rFonts w:asciiTheme="majorBidi" w:hAnsiTheme="majorBidi" w:cstheme="majorBidi"/>
          <w:color w:val="000000"/>
          <w:highlight w:val="white"/>
        </w:rPr>
        <w:t>disease?.</w:t>
      </w:r>
      <w:proofErr w:type="gramEnd"/>
      <w:r w:rsidRPr="00B248A6">
        <w:rPr>
          <w:rFonts w:asciiTheme="majorBidi" w:hAnsiTheme="majorBidi" w:cstheme="majorBidi"/>
          <w:color w:val="000000"/>
          <w:highlight w:val="white"/>
        </w:rPr>
        <w:t> </w:t>
      </w:r>
      <w:r w:rsidRPr="00B248A6">
        <w:rPr>
          <w:rFonts w:asciiTheme="majorBidi" w:hAnsiTheme="majorBidi" w:cstheme="majorBidi"/>
          <w:color w:val="000000"/>
        </w:rPr>
        <w:t>Parkinsonism &amp; related disorders</w:t>
      </w:r>
      <w:r w:rsidRPr="00B248A6">
        <w:rPr>
          <w:rFonts w:asciiTheme="majorBidi" w:hAnsiTheme="majorBidi" w:cstheme="majorBidi"/>
          <w:color w:val="000000"/>
          <w:highlight w:val="white"/>
        </w:rPr>
        <w:t xml:space="preserve"> 2020; </w:t>
      </w:r>
      <w:r w:rsidRPr="00B248A6">
        <w:rPr>
          <w:rFonts w:asciiTheme="majorBidi" w:hAnsiTheme="majorBidi" w:cstheme="majorBidi"/>
          <w:color w:val="000000"/>
        </w:rPr>
        <w:t>80 Suppl 1</w:t>
      </w:r>
      <w:r w:rsidRPr="00B248A6">
        <w:rPr>
          <w:rFonts w:asciiTheme="majorBidi" w:hAnsiTheme="majorBidi" w:cstheme="majorBidi"/>
          <w:color w:val="000000"/>
          <w:highlight w:val="white"/>
        </w:rPr>
        <w:t xml:space="preserve">(Suppl 1): S45-S53. </w:t>
      </w:r>
      <w:hyperlink r:id="rId56">
        <w:r w:rsidRPr="00B248A6">
          <w:rPr>
            <w:rFonts w:asciiTheme="majorBidi" w:hAnsiTheme="majorBidi" w:cstheme="majorBidi"/>
            <w:color w:val="000000"/>
            <w:highlight w:val="white"/>
            <w:u w:val="single"/>
          </w:rPr>
          <w:t>https://doi.org/10.1016/j.parkreldis.2020.10.024</w:t>
        </w:r>
      </w:hyperlink>
    </w:p>
    <w:p w14:paraId="000000B3"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proofErr w:type="spellStart"/>
      <w:r w:rsidRPr="00B248A6">
        <w:rPr>
          <w:rFonts w:asciiTheme="majorBidi" w:hAnsiTheme="majorBidi" w:cstheme="majorBidi"/>
          <w:color w:val="000000"/>
          <w:highlight w:val="white"/>
        </w:rPr>
        <w:t>Culig</w:t>
      </w:r>
      <w:proofErr w:type="spellEnd"/>
      <w:r w:rsidRPr="00B248A6">
        <w:rPr>
          <w:rFonts w:asciiTheme="majorBidi" w:hAnsiTheme="majorBidi" w:cstheme="majorBidi"/>
          <w:color w:val="000000"/>
          <w:highlight w:val="white"/>
        </w:rPr>
        <w:t xml:space="preserve">, Z., Bartsch, G., &amp; </w:t>
      </w:r>
      <w:proofErr w:type="spellStart"/>
      <w:r w:rsidRPr="00B248A6">
        <w:rPr>
          <w:rFonts w:asciiTheme="majorBidi" w:hAnsiTheme="majorBidi" w:cstheme="majorBidi"/>
          <w:color w:val="000000"/>
          <w:highlight w:val="white"/>
        </w:rPr>
        <w:t>Hobisch</w:t>
      </w:r>
      <w:proofErr w:type="spellEnd"/>
      <w:r w:rsidRPr="00B248A6">
        <w:rPr>
          <w:rFonts w:asciiTheme="majorBidi" w:hAnsiTheme="majorBidi" w:cstheme="majorBidi"/>
          <w:color w:val="000000"/>
          <w:highlight w:val="white"/>
        </w:rPr>
        <w:t xml:space="preserve">, A. Interleukin-6 regulates androgen receptor activity and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cell growth. </w:t>
      </w:r>
      <w:r w:rsidRPr="00B248A6">
        <w:rPr>
          <w:rFonts w:asciiTheme="majorBidi" w:hAnsiTheme="majorBidi" w:cstheme="majorBidi"/>
          <w:color w:val="000000"/>
        </w:rPr>
        <w:t>Molecular and cellular endocrinology</w:t>
      </w:r>
      <w:r w:rsidRPr="00B248A6">
        <w:rPr>
          <w:rFonts w:asciiTheme="majorBidi" w:hAnsiTheme="majorBidi" w:cstheme="majorBidi"/>
          <w:color w:val="000000"/>
          <w:highlight w:val="white"/>
        </w:rPr>
        <w:t xml:space="preserve"> 2002; </w:t>
      </w:r>
      <w:r w:rsidRPr="00B248A6">
        <w:rPr>
          <w:rFonts w:asciiTheme="majorBidi" w:hAnsiTheme="majorBidi" w:cstheme="majorBidi"/>
          <w:color w:val="000000"/>
        </w:rPr>
        <w:t>197</w:t>
      </w:r>
      <w:r w:rsidRPr="00B248A6">
        <w:rPr>
          <w:rFonts w:asciiTheme="majorBidi" w:hAnsiTheme="majorBidi" w:cstheme="majorBidi"/>
          <w:color w:val="000000"/>
          <w:highlight w:val="white"/>
        </w:rPr>
        <w:t xml:space="preserve">(1-2): 231-238. </w:t>
      </w:r>
      <w:hyperlink r:id="rId57">
        <w:r w:rsidRPr="00B248A6">
          <w:rPr>
            <w:rFonts w:asciiTheme="majorBidi" w:hAnsiTheme="majorBidi" w:cstheme="majorBidi"/>
            <w:color w:val="000000"/>
            <w:highlight w:val="white"/>
            <w:u w:val="single"/>
          </w:rPr>
          <w:t>https://doi.org/10.1016/s0303-7207(02)00263-0</w:t>
        </w:r>
      </w:hyperlink>
    </w:p>
    <w:p w14:paraId="000000B4"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Chen, T., Wang, L. H., &amp; Farrar, W. L. Interleukin 6 activates androgen receptor-mediated gene expression through a signal transducer and activator of transcription 3-dependent pathway in LNCaP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cells. </w:t>
      </w:r>
      <w:r w:rsidRPr="00B248A6">
        <w:rPr>
          <w:rFonts w:asciiTheme="majorBidi" w:hAnsiTheme="majorBidi" w:cstheme="majorBidi"/>
          <w:color w:val="000000"/>
        </w:rPr>
        <w:t>Cancer research</w:t>
      </w:r>
      <w:r w:rsidRPr="00B248A6">
        <w:rPr>
          <w:rFonts w:asciiTheme="majorBidi" w:hAnsiTheme="majorBidi" w:cstheme="majorBidi"/>
          <w:color w:val="000000"/>
          <w:highlight w:val="white"/>
        </w:rPr>
        <w:t xml:space="preserve"> 2000; </w:t>
      </w:r>
      <w:r w:rsidRPr="00B248A6">
        <w:rPr>
          <w:rFonts w:asciiTheme="majorBidi" w:hAnsiTheme="majorBidi" w:cstheme="majorBidi"/>
          <w:color w:val="000000"/>
        </w:rPr>
        <w:t>60</w:t>
      </w:r>
      <w:r w:rsidRPr="00B248A6">
        <w:rPr>
          <w:rFonts w:asciiTheme="majorBidi" w:hAnsiTheme="majorBidi" w:cstheme="majorBidi"/>
          <w:color w:val="000000"/>
          <w:highlight w:val="white"/>
        </w:rPr>
        <w:t>(8): 2132-2135.</w:t>
      </w:r>
    </w:p>
    <w:p w14:paraId="000000B5"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Chun, J. Y., </w:t>
      </w:r>
      <w:proofErr w:type="spellStart"/>
      <w:r w:rsidRPr="00B248A6">
        <w:rPr>
          <w:rFonts w:asciiTheme="majorBidi" w:hAnsiTheme="majorBidi" w:cstheme="majorBidi"/>
          <w:color w:val="000000"/>
          <w:highlight w:val="white"/>
        </w:rPr>
        <w:t>Nadiminty</w:t>
      </w:r>
      <w:proofErr w:type="spellEnd"/>
      <w:r w:rsidRPr="00B248A6">
        <w:rPr>
          <w:rFonts w:asciiTheme="majorBidi" w:hAnsiTheme="majorBidi" w:cstheme="majorBidi"/>
          <w:color w:val="000000"/>
          <w:highlight w:val="white"/>
        </w:rPr>
        <w:t xml:space="preserve">, N., Dutt, S., et al. Interleukin-6 regulates androgen synthesis in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cells. </w:t>
      </w:r>
      <w:r w:rsidRPr="00B248A6">
        <w:rPr>
          <w:rFonts w:asciiTheme="majorBidi" w:hAnsiTheme="majorBidi" w:cstheme="majorBidi"/>
          <w:color w:val="000000"/>
        </w:rPr>
        <w:t xml:space="preserve">Clinical cancer </w:t>
      </w:r>
      <w:proofErr w:type="gramStart"/>
      <w:r w:rsidRPr="00B248A6">
        <w:rPr>
          <w:rFonts w:asciiTheme="majorBidi" w:hAnsiTheme="majorBidi" w:cstheme="majorBidi"/>
          <w:color w:val="000000"/>
        </w:rPr>
        <w:t>research :</w:t>
      </w:r>
      <w:proofErr w:type="gramEnd"/>
      <w:r w:rsidRPr="00B248A6">
        <w:rPr>
          <w:rFonts w:asciiTheme="majorBidi" w:hAnsiTheme="majorBidi" w:cstheme="majorBidi"/>
          <w:color w:val="000000"/>
        </w:rPr>
        <w:t xml:space="preserve"> an official journal of the American Association for Cancer Research</w:t>
      </w:r>
      <w:r w:rsidRPr="00B248A6">
        <w:rPr>
          <w:rFonts w:asciiTheme="majorBidi" w:hAnsiTheme="majorBidi" w:cstheme="majorBidi"/>
          <w:color w:val="000000"/>
          <w:highlight w:val="white"/>
        </w:rPr>
        <w:t xml:space="preserve"> 2009; </w:t>
      </w:r>
      <w:r w:rsidRPr="00B248A6">
        <w:rPr>
          <w:rFonts w:asciiTheme="majorBidi" w:hAnsiTheme="majorBidi" w:cstheme="majorBidi"/>
          <w:color w:val="000000"/>
        </w:rPr>
        <w:t>15</w:t>
      </w:r>
      <w:r w:rsidRPr="00B248A6">
        <w:rPr>
          <w:rFonts w:asciiTheme="majorBidi" w:hAnsiTheme="majorBidi" w:cstheme="majorBidi"/>
          <w:color w:val="000000"/>
          <w:highlight w:val="white"/>
        </w:rPr>
        <w:t xml:space="preserve">(15): 4815-4822. </w:t>
      </w:r>
      <w:hyperlink r:id="rId58">
        <w:r w:rsidRPr="00B248A6">
          <w:rPr>
            <w:rFonts w:asciiTheme="majorBidi" w:hAnsiTheme="majorBidi" w:cstheme="majorBidi"/>
            <w:color w:val="000000"/>
            <w:highlight w:val="white"/>
            <w:u w:val="single"/>
          </w:rPr>
          <w:t>https://doi.org/10.1158/1078-0432.CCR-09-0640</w:t>
        </w:r>
      </w:hyperlink>
    </w:p>
    <w:p w14:paraId="000000B6"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de Souza, L. D. S., Carrero Horta, I. P., de Souza Rosa, L., et al. Effect of the roasting levels of </w:t>
      </w:r>
      <w:r w:rsidRPr="00B248A6">
        <w:rPr>
          <w:rFonts w:asciiTheme="majorBidi" w:hAnsiTheme="majorBidi" w:cstheme="majorBidi"/>
          <w:color w:val="000000"/>
        </w:rPr>
        <w:t>Coffea arabica</w:t>
      </w:r>
      <w:r w:rsidRPr="00B248A6">
        <w:rPr>
          <w:rFonts w:asciiTheme="majorBidi" w:hAnsiTheme="majorBidi" w:cstheme="majorBidi"/>
          <w:color w:val="000000"/>
          <w:highlight w:val="white"/>
        </w:rPr>
        <w:t xml:space="preserve"> L. extracts on their potential antioxidant capacity and antiproliferative activity in human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cells. </w:t>
      </w:r>
      <w:r w:rsidRPr="00B248A6">
        <w:rPr>
          <w:rFonts w:asciiTheme="majorBidi" w:hAnsiTheme="majorBidi" w:cstheme="majorBidi"/>
          <w:color w:val="000000"/>
        </w:rPr>
        <w:t>RSC advances</w:t>
      </w:r>
      <w:r w:rsidRPr="00B248A6">
        <w:rPr>
          <w:rFonts w:asciiTheme="majorBidi" w:hAnsiTheme="majorBidi" w:cstheme="majorBidi"/>
          <w:color w:val="000000"/>
          <w:highlight w:val="white"/>
        </w:rPr>
        <w:t xml:space="preserve"> 2020; </w:t>
      </w:r>
      <w:r w:rsidRPr="00B248A6">
        <w:rPr>
          <w:rFonts w:asciiTheme="majorBidi" w:hAnsiTheme="majorBidi" w:cstheme="majorBidi"/>
          <w:color w:val="000000"/>
        </w:rPr>
        <w:t>10</w:t>
      </w:r>
      <w:r w:rsidRPr="00B248A6">
        <w:rPr>
          <w:rFonts w:asciiTheme="majorBidi" w:hAnsiTheme="majorBidi" w:cstheme="majorBidi"/>
          <w:color w:val="000000"/>
          <w:highlight w:val="white"/>
        </w:rPr>
        <w:t xml:space="preserve">(50): 30115-30126. </w:t>
      </w:r>
      <w:hyperlink r:id="rId59">
        <w:r w:rsidRPr="00B248A6">
          <w:rPr>
            <w:rFonts w:asciiTheme="majorBidi" w:hAnsiTheme="majorBidi" w:cstheme="majorBidi"/>
            <w:color w:val="000000"/>
            <w:highlight w:val="white"/>
            <w:u w:val="single"/>
          </w:rPr>
          <w:t>https://doi.org/10.1039/d0ra01179g</w:t>
        </w:r>
      </w:hyperlink>
    </w:p>
    <w:p w14:paraId="000000B7"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Emadi, R.C.; Kamangar, F. Coffee’s Impact on Health and Well-Being. </w:t>
      </w:r>
      <w:r w:rsidRPr="00B248A6">
        <w:rPr>
          <w:rFonts w:asciiTheme="majorBidi" w:hAnsiTheme="majorBidi" w:cstheme="majorBidi"/>
          <w:color w:val="000000"/>
        </w:rPr>
        <w:t>Nutrients</w:t>
      </w:r>
      <w:r w:rsidRPr="00B248A6">
        <w:rPr>
          <w:rFonts w:asciiTheme="majorBidi" w:hAnsiTheme="majorBidi" w:cstheme="majorBidi"/>
          <w:color w:val="000000"/>
          <w:highlight w:val="white"/>
        </w:rPr>
        <w:t> </w:t>
      </w:r>
      <w:r w:rsidRPr="00B248A6">
        <w:rPr>
          <w:rFonts w:asciiTheme="majorBidi" w:hAnsiTheme="majorBidi" w:cstheme="majorBidi"/>
          <w:b/>
          <w:bCs/>
          <w:color w:val="000000"/>
        </w:rPr>
        <w:t>2025</w:t>
      </w:r>
      <w:r w:rsidRPr="00B248A6">
        <w:rPr>
          <w:rFonts w:asciiTheme="majorBidi" w:hAnsiTheme="majorBidi" w:cstheme="majorBidi"/>
          <w:color w:val="000000"/>
          <w:highlight w:val="white"/>
        </w:rPr>
        <w:t>; </w:t>
      </w:r>
      <w:r w:rsidRPr="00B248A6">
        <w:rPr>
          <w:rFonts w:asciiTheme="majorBidi" w:hAnsiTheme="majorBidi" w:cstheme="majorBidi"/>
          <w:color w:val="000000"/>
        </w:rPr>
        <w:t>17</w:t>
      </w:r>
      <w:r w:rsidRPr="00B248A6">
        <w:rPr>
          <w:rFonts w:asciiTheme="majorBidi" w:hAnsiTheme="majorBidi" w:cstheme="majorBidi"/>
          <w:color w:val="000000"/>
          <w:highlight w:val="white"/>
        </w:rPr>
        <w:t xml:space="preserve">: 2558. </w:t>
      </w:r>
      <w:hyperlink r:id="rId60">
        <w:r w:rsidRPr="00B248A6">
          <w:rPr>
            <w:rFonts w:asciiTheme="majorBidi" w:hAnsiTheme="majorBidi" w:cstheme="majorBidi"/>
            <w:color w:val="000000"/>
            <w:highlight w:val="white"/>
            <w:u w:val="single"/>
          </w:rPr>
          <w:t>https://doi.org/10.3390/nu17152558</w:t>
        </w:r>
      </w:hyperlink>
    </w:p>
    <w:p w14:paraId="000000B8"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Wu, H., Wang, M. &amp; McDonald, A.C. Association between dietary intake and urinary concentrations of caffeine and caffeine metabolites and elevated serum prostate-specific antigen (PSA) among men at risk for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w:t>
      </w:r>
      <w:r w:rsidRPr="00B248A6">
        <w:rPr>
          <w:rFonts w:asciiTheme="majorBidi" w:hAnsiTheme="majorBidi" w:cstheme="majorBidi"/>
          <w:color w:val="000000"/>
        </w:rPr>
        <w:t>Cancer Causes Control</w:t>
      </w:r>
      <w:r w:rsidRPr="00B248A6">
        <w:rPr>
          <w:rFonts w:asciiTheme="majorBidi" w:hAnsiTheme="majorBidi" w:cstheme="majorBidi"/>
          <w:color w:val="000000"/>
          <w:highlight w:val="white"/>
        </w:rPr>
        <w:t xml:space="preserve"> 2025; </w:t>
      </w:r>
      <w:hyperlink r:id="rId61">
        <w:r w:rsidRPr="00B248A6">
          <w:rPr>
            <w:rFonts w:asciiTheme="majorBidi" w:hAnsiTheme="majorBidi" w:cstheme="majorBidi"/>
            <w:color w:val="000000"/>
            <w:highlight w:val="white"/>
            <w:u w:val="single"/>
          </w:rPr>
          <w:t>https://doi.org/10.1007/s10552-025-02015-1</w:t>
        </w:r>
      </w:hyperlink>
    </w:p>
    <w:p w14:paraId="000000B9"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Zheng, X., Cui, X. X., Huang, M. T., et al. Inhibition of progression of androgen-dependent prostate LNCaP tumors to androgen independence in SCID mice by oral caffeine and voluntary exercise. </w:t>
      </w:r>
      <w:r w:rsidRPr="00B248A6">
        <w:rPr>
          <w:rFonts w:asciiTheme="majorBidi" w:hAnsiTheme="majorBidi" w:cstheme="majorBidi"/>
          <w:color w:val="000000"/>
        </w:rPr>
        <w:t>Nutrition and cancer</w:t>
      </w:r>
      <w:r w:rsidRPr="00B248A6">
        <w:rPr>
          <w:rFonts w:asciiTheme="majorBidi" w:hAnsiTheme="majorBidi" w:cstheme="majorBidi"/>
          <w:color w:val="000000"/>
          <w:highlight w:val="white"/>
        </w:rPr>
        <w:t xml:space="preserve"> 2012; </w:t>
      </w:r>
      <w:r w:rsidRPr="00B248A6">
        <w:rPr>
          <w:rFonts w:asciiTheme="majorBidi" w:hAnsiTheme="majorBidi" w:cstheme="majorBidi"/>
          <w:color w:val="000000"/>
        </w:rPr>
        <w:t>64</w:t>
      </w:r>
      <w:r w:rsidRPr="00B248A6">
        <w:rPr>
          <w:rFonts w:asciiTheme="majorBidi" w:hAnsiTheme="majorBidi" w:cstheme="majorBidi"/>
          <w:color w:val="000000"/>
          <w:highlight w:val="white"/>
        </w:rPr>
        <w:t xml:space="preserve">(7): 1029-1037. </w:t>
      </w:r>
      <w:hyperlink r:id="rId62">
        <w:r w:rsidRPr="00B248A6">
          <w:rPr>
            <w:rFonts w:asciiTheme="majorBidi" w:hAnsiTheme="majorBidi" w:cstheme="majorBidi"/>
            <w:color w:val="000000"/>
            <w:highlight w:val="white"/>
            <w:u w:val="single"/>
          </w:rPr>
          <w:t>https://doi.org/10.1080/01635581.2012.716899</w:t>
        </w:r>
      </w:hyperlink>
    </w:p>
    <w:p w14:paraId="000000BA"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Institute of Medicine (US) Committee on Military Nutrition Research. Caffeine for the Sustainment of Mental Task Performance: Formulations for Military Operations. </w:t>
      </w:r>
      <w:r w:rsidRPr="00B248A6">
        <w:rPr>
          <w:rFonts w:asciiTheme="majorBidi" w:hAnsiTheme="majorBidi" w:cstheme="majorBidi"/>
          <w:color w:val="000000"/>
          <w:highlight w:val="white"/>
        </w:rPr>
        <w:lastRenderedPageBreak/>
        <w:t>Washington (DC): National Academies Press (US) Pharmacology of Caffeine 2001; 2.</w:t>
      </w:r>
      <w:r w:rsidRPr="00B248A6">
        <w:rPr>
          <w:rFonts w:asciiTheme="majorBidi" w:hAnsiTheme="majorBidi" w:cstheme="majorBidi"/>
          <w:color w:val="000000"/>
        </w:rPr>
        <w:t xml:space="preserve"> Available from: </w:t>
      </w:r>
      <w:hyperlink r:id="rId63">
        <w:r w:rsidRPr="00B248A6">
          <w:rPr>
            <w:rFonts w:asciiTheme="majorBidi" w:hAnsiTheme="majorBidi" w:cstheme="majorBidi"/>
            <w:color w:val="000000"/>
            <w:u w:val="single"/>
          </w:rPr>
          <w:t>https://www.ncbi.nlm.nih.gov/books/NBK223808/#</w:t>
        </w:r>
      </w:hyperlink>
    </w:p>
    <w:p w14:paraId="000000BB"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Chen, L., Xu, Y. X., Wang, Y. S., et al.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microenvironment: multidimensional regulation of immune cells, vascular system, stromal cells, and microbiota. </w:t>
      </w:r>
      <w:r w:rsidRPr="00B248A6">
        <w:rPr>
          <w:rFonts w:asciiTheme="majorBidi" w:hAnsiTheme="majorBidi" w:cstheme="majorBidi"/>
          <w:color w:val="000000"/>
        </w:rPr>
        <w:t>Molecular cancer</w:t>
      </w:r>
      <w:r w:rsidRPr="00B248A6">
        <w:rPr>
          <w:rFonts w:asciiTheme="majorBidi" w:hAnsiTheme="majorBidi" w:cstheme="majorBidi"/>
          <w:color w:val="000000"/>
          <w:highlight w:val="white"/>
        </w:rPr>
        <w:t xml:space="preserve"> 2024; </w:t>
      </w:r>
      <w:r w:rsidRPr="00B248A6">
        <w:rPr>
          <w:rFonts w:asciiTheme="majorBidi" w:hAnsiTheme="majorBidi" w:cstheme="majorBidi"/>
          <w:color w:val="000000"/>
        </w:rPr>
        <w:t>23</w:t>
      </w:r>
      <w:r w:rsidRPr="00B248A6">
        <w:rPr>
          <w:rFonts w:asciiTheme="majorBidi" w:hAnsiTheme="majorBidi" w:cstheme="majorBidi"/>
          <w:color w:val="000000"/>
          <w:highlight w:val="white"/>
        </w:rPr>
        <w:t xml:space="preserve">(1): 229. </w:t>
      </w:r>
      <w:hyperlink r:id="rId64">
        <w:r w:rsidRPr="00B248A6">
          <w:rPr>
            <w:rFonts w:asciiTheme="majorBidi" w:hAnsiTheme="majorBidi" w:cstheme="majorBidi"/>
            <w:color w:val="000000"/>
            <w:highlight w:val="white"/>
            <w:u w:val="single"/>
          </w:rPr>
          <w:t>https://doi.org/10.1186/s12943-024-02137-1</w:t>
        </w:r>
      </w:hyperlink>
    </w:p>
    <w:p w14:paraId="000000BC"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Zlotorynski, E. TZAP trims telomeres. </w:t>
      </w:r>
      <w:r w:rsidRPr="00B248A6">
        <w:rPr>
          <w:rFonts w:asciiTheme="majorBidi" w:hAnsiTheme="majorBidi" w:cstheme="majorBidi"/>
          <w:color w:val="000000"/>
        </w:rPr>
        <w:t>Nat Rev Mol Cell Biol</w:t>
      </w:r>
      <w:r w:rsidRPr="00B248A6">
        <w:rPr>
          <w:rFonts w:asciiTheme="majorBidi" w:hAnsiTheme="majorBidi" w:cstheme="majorBidi"/>
          <w:color w:val="000000"/>
          <w:highlight w:val="white"/>
        </w:rPr>
        <w:t xml:space="preserve"> 2017; </w:t>
      </w:r>
      <w:r w:rsidRPr="00B248A6">
        <w:rPr>
          <w:rFonts w:asciiTheme="majorBidi" w:hAnsiTheme="majorBidi" w:cstheme="majorBidi"/>
          <w:b/>
          <w:bCs/>
          <w:color w:val="000000"/>
        </w:rPr>
        <w:t>18</w:t>
      </w:r>
      <w:r w:rsidRPr="00B248A6">
        <w:rPr>
          <w:rFonts w:asciiTheme="majorBidi" w:hAnsiTheme="majorBidi" w:cstheme="majorBidi"/>
          <w:color w:val="000000"/>
          <w:highlight w:val="white"/>
        </w:rPr>
        <w:t xml:space="preserve">: 140. </w:t>
      </w:r>
      <w:hyperlink r:id="rId65">
        <w:r w:rsidRPr="00B248A6">
          <w:rPr>
            <w:rFonts w:asciiTheme="majorBidi" w:hAnsiTheme="majorBidi" w:cstheme="majorBidi"/>
            <w:color w:val="000000"/>
            <w:highlight w:val="white"/>
            <w:u w:val="single"/>
          </w:rPr>
          <w:t>https://doi.org/10.1038/nrm.2017.8</w:t>
        </w:r>
      </w:hyperlink>
    </w:p>
    <w:p w14:paraId="000000BD"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Amer, H.; Flanagan, K.L.; Kampan, N.C.; </w:t>
      </w:r>
      <w:proofErr w:type="spellStart"/>
      <w:r w:rsidRPr="00B248A6">
        <w:rPr>
          <w:rFonts w:asciiTheme="majorBidi" w:hAnsiTheme="majorBidi" w:cstheme="majorBidi"/>
          <w:color w:val="000000"/>
          <w:highlight w:val="white"/>
        </w:rPr>
        <w:t>Itsiopoulos</w:t>
      </w:r>
      <w:proofErr w:type="spellEnd"/>
      <w:r w:rsidRPr="00B248A6">
        <w:rPr>
          <w:rFonts w:asciiTheme="majorBidi" w:hAnsiTheme="majorBidi" w:cstheme="majorBidi"/>
          <w:color w:val="000000"/>
          <w:highlight w:val="white"/>
        </w:rPr>
        <w:t xml:space="preserve">, C.; Scott, C.L.; </w:t>
      </w:r>
      <w:proofErr w:type="spellStart"/>
      <w:r w:rsidRPr="00B248A6">
        <w:rPr>
          <w:rFonts w:asciiTheme="majorBidi" w:hAnsiTheme="majorBidi" w:cstheme="majorBidi"/>
          <w:color w:val="000000"/>
          <w:highlight w:val="white"/>
        </w:rPr>
        <w:t>Kartikasari</w:t>
      </w:r>
      <w:proofErr w:type="spellEnd"/>
      <w:r w:rsidRPr="00B248A6">
        <w:rPr>
          <w:rFonts w:asciiTheme="majorBidi" w:hAnsiTheme="majorBidi" w:cstheme="majorBidi"/>
          <w:color w:val="000000"/>
          <w:highlight w:val="white"/>
        </w:rPr>
        <w:t>, A.E.R.; Plebanski, M. Interleukin-6 Is a Crucial Factor in Shaping the Inflammatory Tumor Microenvironment in Ovarian Cancer and Determining Its Hot or Cold Nature with Diagnostic and Prognostic Utilities. </w:t>
      </w:r>
      <w:r w:rsidRPr="00B248A6">
        <w:rPr>
          <w:rFonts w:asciiTheme="majorBidi" w:hAnsiTheme="majorBidi" w:cstheme="majorBidi"/>
          <w:color w:val="000000"/>
        </w:rPr>
        <w:t>Cancers</w:t>
      </w:r>
      <w:r w:rsidRPr="00B248A6">
        <w:rPr>
          <w:rFonts w:asciiTheme="majorBidi" w:hAnsiTheme="majorBidi" w:cstheme="majorBidi"/>
          <w:color w:val="000000"/>
          <w:highlight w:val="white"/>
        </w:rPr>
        <w:t> </w:t>
      </w:r>
      <w:r w:rsidRPr="00B248A6">
        <w:rPr>
          <w:rFonts w:asciiTheme="majorBidi" w:hAnsiTheme="majorBidi" w:cstheme="majorBidi"/>
          <w:b/>
          <w:bCs/>
          <w:color w:val="000000"/>
        </w:rPr>
        <w:t>2025</w:t>
      </w:r>
      <w:r w:rsidRPr="00B248A6">
        <w:rPr>
          <w:rFonts w:asciiTheme="majorBidi" w:hAnsiTheme="majorBidi" w:cstheme="majorBidi"/>
          <w:color w:val="000000"/>
          <w:highlight w:val="white"/>
        </w:rPr>
        <w:t>; </w:t>
      </w:r>
      <w:r w:rsidRPr="00B248A6">
        <w:rPr>
          <w:rFonts w:asciiTheme="majorBidi" w:hAnsiTheme="majorBidi" w:cstheme="majorBidi"/>
          <w:color w:val="000000"/>
        </w:rPr>
        <w:t>17</w:t>
      </w:r>
      <w:r w:rsidRPr="00B248A6">
        <w:rPr>
          <w:rFonts w:asciiTheme="majorBidi" w:hAnsiTheme="majorBidi" w:cstheme="majorBidi"/>
          <w:color w:val="000000"/>
          <w:highlight w:val="white"/>
        </w:rPr>
        <w:t xml:space="preserve">: 1691. </w:t>
      </w:r>
      <w:hyperlink r:id="rId66">
        <w:r w:rsidRPr="00B248A6">
          <w:rPr>
            <w:rFonts w:asciiTheme="majorBidi" w:hAnsiTheme="majorBidi" w:cstheme="majorBidi"/>
            <w:color w:val="000000"/>
            <w:highlight w:val="white"/>
            <w:u w:val="single"/>
          </w:rPr>
          <w:t>https://doi.org/10.3390/cancers17101691</w:t>
        </w:r>
      </w:hyperlink>
    </w:p>
    <w:p w14:paraId="000000BE"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Sang, Y. B., Yang, H., Lee, W. S., et al. High Serum Levels of IL-6 Predict Poor Responses in Patients Treated with Pembrolizumab plus Axitinib for Advanced Renal Cell Carcinoma. </w:t>
      </w:r>
      <w:r w:rsidRPr="00B248A6">
        <w:rPr>
          <w:rFonts w:asciiTheme="majorBidi" w:hAnsiTheme="majorBidi" w:cstheme="majorBidi"/>
          <w:color w:val="000000"/>
        </w:rPr>
        <w:t>Cancers</w:t>
      </w:r>
      <w:r w:rsidRPr="00B248A6">
        <w:rPr>
          <w:rFonts w:asciiTheme="majorBidi" w:hAnsiTheme="majorBidi" w:cstheme="majorBidi"/>
          <w:color w:val="000000"/>
          <w:highlight w:val="white"/>
        </w:rPr>
        <w:t xml:space="preserve"> 2022; </w:t>
      </w:r>
      <w:r w:rsidRPr="00B248A6">
        <w:rPr>
          <w:rFonts w:asciiTheme="majorBidi" w:hAnsiTheme="majorBidi" w:cstheme="majorBidi"/>
          <w:color w:val="000000"/>
        </w:rPr>
        <w:t>14</w:t>
      </w:r>
      <w:r w:rsidRPr="00B248A6">
        <w:rPr>
          <w:rFonts w:asciiTheme="majorBidi" w:hAnsiTheme="majorBidi" w:cstheme="majorBidi"/>
          <w:color w:val="000000"/>
          <w:highlight w:val="white"/>
        </w:rPr>
        <w:t xml:space="preserve">(23): 5985. </w:t>
      </w:r>
      <w:hyperlink r:id="rId67">
        <w:r w:rsidRPr="00B248A6">
          <w:rPr>
            <w:rFonts w:asciiTheme="majorBidi" w:hAnsiTheme="majorBidi" w:cstheme="majorBidi"/>
            <w:color w:val="000000"/>
            <w:highlight w:val="white"/>
            <w:u w:val="single"/>
          </w:rPr>
          <w:t>https://doi.org/10.3390/cancers14235985</w:t>
        </w:r>
      </w:hyperlink>
    </w:p>
    <w:p w14:paraId="000000BF"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Garbers, C., Aparicio-Siegmund, S., &amp; Rose-John, S. The IL-6/gp130/STAT3 signaling axis: recent advances towards specific inhibition. </w:t>
      </w:r>
      <w:r w:rsidRPr="00B248A6">
        <w:rPr>
          <w:rFonts w:asciiTheme="majorBidi" w:hAnsiTheme="majorBidi" w:cstheme="majorBidi"/>
          <w:color w:val="000000"/>
        </w:rPr>
        <w:t>Current opinion in immunology</w:t>
      </w:r>
      <w:r w:rsidRPr="00B248A6">
        <w:rPr>
          <w:rFonts w:asciiTheme="majorBidi" w:hAnsiTheme="majorBidi" w:cstheme="majorBidi"/>
          <w:color w:val="000000"/>
          <w:highlight w:val="white"/>
        </w:rPr>
        <w:t xml:space="preserve"> 2015; </w:t>
      </w:r>
      <w:r w:rsidRPr="00B248A6">
        <w:rPr>
          <w:rFonts w:asciiTheme="majorBidi" w:hAnsiTheme="majorBidi" w:cstheme="majorBidi"/>
          <w:color w:val="000000"/>
        </w:rPr>
        <w:t>34</w:t>
      </w:r>
      <w:r w:rsidRPr="00B248A6">
        <w:rPr>
          <w:rFonts w:asciiTheme="majorBidi" w:hAnsiTheme="majorBidi" w:cstheme="majorBidi"/>
          <w:color w:val="000000"/>
          <w:highlight w:val="white"/>
        </w:rPr>
        <w:t xml:space="preserve">: 75-82. </w:t>
      </w:r>
      <w:hyperlink r:id="rId68">
        <w:r w:rsidRPr="00B248A6">
          <w:rPr>
            <w:rFonts w:asciiTheme="majorBidi" w:hAnsiTheme="majorBidi" w:cstheme="majorBidi"/>
            <w:color w:val="000000"/>
            <w:highlight w:val="white"/>
            <w:u w:val="single"/>
          </w:rPr>
          <w:t>https://doi.org/10.1016/j.coi.2015.02.008</w:t>
        </w:r>
      </w:hyperlink>
    </w:p>
    <w:p w14:paraId="000000C0"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proofErr w:type="spellStart"/>
      <w:r w:rsidRPr="00B248A6">
        <w:rPr>
          <w:rFonts w:asciiTheme="majorBidi" w:hAnsiTheme="majorBidi" w:cstheme="majorBidi"/>
          <w:color w:val="000000"/>
          <w:highlight w:val="white"/>
        </w:rPr>
        <w:t>Deichaite</w:t>
      </w:r>
      <w:proofErr w:type="spellEnd"/>
      <w:r w:rsidRPr="00B248A6">
        <w:rPr>
          <w:rFonts w:asciiTheme="majorBidi" w:hAnsiTheme="majorBidi" w:cstheme="majorBidi"/>
          <w:color w:val="000000"/>
          <w:highlight w:val="white"/>
        </w:rPr>
        <w:t>, I., Sears, T.J., Sutton, L. </w:t>
      </w:r>
      <w:r w:rsidRPr="00B248A6">
        <w:rPr>
          <w:rFonts w:asciiTheme="majorBidi" w:hAnsiTheme="majorBidi" w:cstheme="majorBidi"/>
          <w:color w:val="000000"/>
        </w:rPr>
        <w:t>et al.</w:t>
      </w:r>
      <w:r w:rsidRPr="00B248A6">
        <w:rPr>
          <w:rFonts w:asciiTheme="majorBidi" w:hAnsiTheme="majorBidi" w:cstheme="majorBidi"/>
          <w:color w:val="000000"/>
          <w:highlight w:val="white"/>
        </w:rPr>
        <w:t xml:space="preserve"> Differential regulation of TNFα and IL-6 expression contributes to immune evasion in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w:t>
      </w:r>
      <w:r w:rsidRPr="00B248A6">
        <w:rPr>
          <w:rFonts w:asciiTheme="majorBidi" w:hAnsiTheme="majorBidi" w:cstheme="majorBidi"/>
          <w:color w:val="000000"/>
        </w:rPr>
        <w:t xml:space="preserve">J </w:t>
      </w:r>
      <w:proofErr w:type="spellStart"/>
      <w:r w:rsidRPr="00B248A6">
        <w:rPr>
          <w:rFonts w:asciiTheme="majorBidi" w:hAnsiTheme="majorBidi" w:cstheme="majorBidi"/>
          <w:color w:val="000000"/>
        </w:rPr>
        <w:t>Transl</w:t>
      </w:r>
      <w:proofErr w:type="spellEnd"/>
      <w:r w:rsidRPr="00B248A6">
        <w:rPr>
          <w:rFonts w:asciiTheme="majorBidi" w:hAnsiTheme="majorBidi" w:cstheme="majorBidi"/>
          <w:color w:val="000000"/>
        </w:rPr>
        <w:t xml:space="preserve"> Med</w:t>
      </w:r>
      <w:r w:rsidRPr="00B248A6">
        <w:rPr>
          <w:rFonts w:asciiTheme="majorBidi" w:hAnsiTheme="majorBidi" w:cstheme="majorBidi"/>
          <w:color w:val="000000"/>
          <w:highlight w:val="white"/>
        </w:rPr>
        <w:t xml:space="preserve"> 2022; </w:t>
      </w:r>
      <w:r w:rsidRPr="00B248A6">
        <w:rPr>
          <w:rFonts w:asciiTheme="majorBidi" w:hAnsiTheme="majorBidi" w:cstheme="majorBidi"/>
          <w:b/>
          <w:bCs/>
          <w:color w:val="000000"/>
        </w:rPr>
        <w:t>20</w:t>
      </w:r>
      <w:r w:rsidRPr="00B248A6">
        <w:rPr>
          <w:rFonts w:asciiTheme="majorBidi" w:hAnsiTheme="majorBidi" w:cstheme="majorBidi"/>
          <w:color w:val="000000"/>
          <w:highlight w:val="white"/>
        </w:rPr>
        <w:t xml:space="preserve">: 527. </w:t>
      </w:r>
      <w:hyperlink r:id="rId69">
        <w:r w:rsidRPr="00B248A6">
          <w:rPr>
            <w:rFonts w:asciiTheme="majorBidi" w:hAnsiTheme="majorBidi" w:cstheme="majorBidi"/>
            <w:color w:val="000000"/>
            <w:highlight w:val="white"/>
            <w:u w:val="single"/>
          </w:rPr>
          <w:t>https://doi.org/10.1186/s12967-022-03731-x</w:t>
        </w:r>
      </w:hyperlink>
    </w:p>
    <w:p w14:paraId="000000C1"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Sitkovsky, M. V., Hatfield, S., Abbott, R., et al. Hostile, hypoxia-A2-adenosinergic tumor biology as the next barrier to overcome for tumor immunologists. </w:t>
      </w:r>
      <w:r w:rsidRPr="00B248A6">
        <w:rPr>
          <w:rFonts w:asciiTheme="majorBidi" w:hAnsiTheme="majorBidi" w:cstheme="majorBidi"/>
          <w:color w:val="000000"/>
        </w:rPr>
        <w:t>Cancer immunology research</w:t>
      </w:r>
      <w:r w:rsidRPr="00B248A6">
        <w:rPr>
          <w:rFonts w:asciiTheme="majorBidi" w:hAnsiTheme="majorBidi" w:cstheme="majorBidi"/>
          <w:color w:val="000000"/>
          <w:highlight w:val="white"/>
        </w:rPr>
        <w:t xml:space="preserve"> 2014; </w:t>
      </w:r>
      <w:r w:rsidRPr="00B248A6">
        <w:rPr>
          <w:rFonts w:asciiTheme="majorBidi" w:hAnsiTheme="majorBidi" w:cstheme="majorBidi"/>
          <w:color w:val="000000"/>
        </w:rPr>
        <w:t>2</w:t>
      </w:r>
      <w:r w:rsidRPr="00B248A6">
        <w:rPr>
          <w:rFonts w:asciiTheme="majorBidi" w:hAnsiTheme="majorBidi" w:cstheme="majorBidi"/>
          <w:color w:val="000000"/>
          <w:highlight w:val="white"/>
        </w:rPr>
        <w:t xml:space="preserve">(7): 598-605. </w:t>
      </w:r>
      <w:hyperlink r:id="rId70">
        <w:r w:rsidRPr="00B248A6">
          <w:rPr>
            <w:rFonts w:asciiTheme="majorBidi" w:hAnsiTheme="majorBidi" w:cstheme="majorBidi"/>
            <w:color w:val="000000"/>
            <w:highlight w:val="white"/>
            <w:u w:val="single"/>
          </w:rPr>
          <w:t>https://doi.org/10.1158/2326-6066.CIR-14-0075</w:t>
        </w:r>
      </w:hyperlink>
    </w:p>
    <w:p w14:paraId="000000C2"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Hatfield, S. M., &amp; </w:t>
      </w:r>
      <w:proofErr w:type="spellStart"/>
      <w:r w:rsidRPr="00B248A6">
        <w:rPr>
          <w:rFonts w:asciiTheme="majorBidi" w:hAnsiTheme="majorBidi" w:cstheme="majorBidi"/>
          <w:color w:val="000000"/>
          <w:highlight w:val="white"/>
        </w:rPr>
        <w:t>Sitkovsky</w:t>
      </w:r>
      <w:proofErr w:type="spellEnd"/>
      <w:r w:rsidRPr="00B248A6">
        <w:rPr>
          <w:rFonts w:asciiTheme="majorBidi" w:hAnsiTheme="majorBidi" w:cstheme="majorBidi"/>
          <w:color w:val="000000"/>
          <w:highlight w:val="white"/>
        </w:rPr>
        <w:t>, M. A2A adenosine receptor antagonists to weaken the hypoxia-HIF-1α driven immunosuppression and improve immunotherapies of cancer. </w:t>
      </w:r>
      <w:r w:rsidRPr="00B248A6">
        <w:rPr>
          <w:rFonts w:asciiTheme="majorBidi" w:hAnsiTheme="majorBidi" w:cstheme="majorBidi"/>
          <w:color w:val="000000"/>
        </w:rPr>
        <w:t>Current opinion in pharmacology</w:t>
      </w:r>
      <w:r w:rsidRPr="00B248A6">
        <w:rPr>
          <w:rFonts w:asciiTheme="majorBidi" w:hAnsiTheme="majorBidi" w:cstheme="majorBidi"/>
          <w:color w:val="000000"/>
          <w:highlight w:val="white"/>
        </w:rPr>
        <w:t xml:space="preserve"> 2016; </w:t>
      </w:r>
      <w:r w:rsidRPr="00B248A6">
        <w:rPr>
          <w:rFonts w:asciiTheme="majorBidi" w:hAnsiTheme="majorBidi" w:cstheme="majorBidi"/>
          <w:color w:val="000000"/>
        </w:rPr>
        <w:t>29</w:t>
      </w:r>
      <w:r w:rsidRPr="00B248A6">
        <w:rPr>
          <w:rFonts w:asciiTheme="majorBidi" w:hAnsiTheme="majorBidi" w:cstheme="majorBidi"/>
          <w:color w:val="000000"/>
          <w:highlight w:val="white"/>
        </w:rPr>
        <w:t xml:space="preserve">: 90-96. </w:t>
      </w:r>
      <w:hyperlink r:id="rId71">
        <w:r w:rsidRPr="00B248A6">
          <w:rPr>
            <w:rFonts w:asciiTheme="majorBidi" w:hAnsiTheme="majorBidi" w:cstheme="majorBidi"/>
            <w:color w:val="000000"/>
            <w:highlight w:val="white"/>
            <w:u w:val="single"/>
          </w:rPr>
          <w:t>https://doi.org/10.1016/j.coph.2016.06.009</w:t>
        </w:r>
      </w:hyperlink>
    </w:p>
    <w:p w14:paraId="000000C3"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Fong, L., Hotson, A., Powderly, J. D., </w:t>
      </w:r>
      <w:proofErr w:type="spellStart"/>
      <w:r w:rsidRPr="00B248A6">
        <w:rPr>
          <w:rFonts w:asciiTheme="majorBidi" w:hAnsiTheme="majorBidi" w:cstheme="majorBidi"/>
          <w:color w:val="000000"/>
          <w:highlight w:val="white"/>
        </w:rPr>
        <w:t>Sznol</w:t>
      </w:r>
      <w:proofErr w:type="spellEnd"/>
      <w:r w:rsidRPr="00B248A6">
        <w:rPr>
          <w:rFonts w:asciiTheme="majorBidi" w:hAnsiTheme="majorBidi" w:cstheme="majorBidi"/>
          <w:color w:val="000000"/>
          <w:highlight w:val="white"/>
        </w:rPr>
        <w:t>, M., et al. Adenosine 2A Receptor Blockade as an Immunotherapy for Treatment-Refractory Renal Cell Cancer. </w:t>
      </w:r>
      <w:r w:rsidRPr="00B248A6">
        <w:rPr>
          <w:rFonts w:asciiTheme="majorBidi" w:hAnsiTheme="majorBidi" w:cstheme="majorBidi"/>
          <w:color w:val="000000"/>
        </w:rPr>
        <w:t>Cancer discovery</w:t>
      </w:r>
      <w:r w:rsidRPr="00B248A6">
        <w:rPr>
          <w:rFonts w:asciiTheme="majorBidi" w:hAnsiTheme="majorBidi" w:cstheme="majorBidi"/>
          <w:color w:val="000000"/>
          <w:highlight w:val="white"/>
        </w:rPr>
        <w:t xml:space="preserve"> 2020; </w:t>
      </w:r>
      <w:r w:rsidRPr="00B248A6">
        <w:rPr>
          <w:rFonts w:asciiTheme="majorBidi" w:hAnsiTheme="majorBidi" w:cstheme="majorBidi"/>
          <w:color w:val="000000"/>
        </w:rPr>
        <w:t>10</w:t>
      </w:r>
      <w:r w:rsidRPr="00B248A6">
        <w:rPr>
          <w:rFonts w:asciiTheme="majorBidi" w:hAnsiTheme="majorBidi" w:cstheme="majorBidi"/>
          <w:color w:val="000000"/>
          <w:highlight w:val="white"/>
        </w:rPr>
        <w:t xml:space="preserve">(1): 40-53. </w:t>
      </w:r>
      <w:hyperlink r:id="rId72">
        <w:r w:rsidRPr="00B248A6">
          <w:rPr>
            <w:rFonts w:asciiTheme="majorBidi" w:hAnsiTheme="majorBidi" w:cstheme="majorBidi"/>
            <w:color w:val="000000"/>
            <w:highlight w:val="white"/>
            <w:u w:val="single"/>
          </w:rPr>
          <w:t>https://doi.org/10.1158/2159-8290.CD-19-0980</w:t>
        </w:r>
      </w:hyperlink>
    </w:p>
    <w:p w14:paraId="000000C4"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Beavis, P. A., </w:t>
      </w:r>
      <w:proofErr w:type="spellStart"/>
      <w:r w:rsidRPr="00B248A6">
        <w:rPr>
          <w:rFonts w:asciiTheme="majorBidi" w:hAnsiTheme="majorBidi" w:cstheme="majorBidi"/>
          <w:color w:val="000000"/>
          <w:highlight w:val="white"/>
        </w:rPr>
        <w:t>Milenkovski</w:t>
      </w:r>
      <w:proofErr w:type="spellEnd"/>
      <w:r w:rsidRPr="00B248A6">
        <w:rPr>
          <w:rFonts w:asciiTheme="majorBidi" w:hAnsiTheme="majorBidi" w:cstheme="majorBidi"/>
          <w:color w:val="000000"/>
          <w:highlight w:val="white"/>
        </w:rPr>
        <w:t>, N., Henderson, M. A., John, L. B., Allard, B., Loi, S., Kershaw, M. H., Stagg, J., &amp; Darcy, P. K. Adenosine Receptor 2A Blockade Increases the Efficacy of Anti-PD-1 through Enhanced Antitumor T-cell Responses. </w:t>
      </w:r>
      <w:r w:rsidRPr="00B248A6">
        <w:rPr>
          <w:rFonts w:asciiTheme="majorBidi" w:hAnsiTheme="majorBidi" w:cstheme="majorBidi"/>
          <w:color w:val="000000"/>
        </w:rPr>
        <w:t>Cancer immunology research</w:t>
      </w:r>
      <w:r w:rsidRPr="00B248A6">
        <w:rPr>
          <w:rFonts w:asciiTheme="majorBidi" w:hAnsiTheme="majorBidi" w:cstheme="majorBidi"/>
          <w:color w:val="000000"/>
          <w:highlight w:val="white"/>
        </w:rPr>
        <w:t xml:space="preserve"> 2015; </w:t>
      </w:r>
      <w:r w:rsidRPr="00B248A6">
        <w:rPr>
          <w:rFonts w:asciiTheme="majorBidi" w:hAnsiTheme="majorBidi" w:cstheme="majorBidi"/>
          <w:color w:val="000000"/>
        </w:rPr>
        <w:t>3</w:t>
      </w:r>
      <w:r w:rsidRPr="00B248A6">
        <w:rPr>
          <w:rFonts w:asciiTheme="majorBidi" w:hAnsiTheme="majorBidi" w:cstheme="majorBidi"/>
          <w:color w:val="000000"/>
          <w:highlight w:val="white"/>
        </w:rPr>
        <w:t xml:space="preserve">(5): 506-517. </w:t>
      </w:r>
      <w:hyperlink r:id="rId73">
        <w:r w:rsidRPr="00B248A6">
          <w:rPr>
            <w:rFonts w:asciiTheme="majorBidi" w:hAnsiTheme="majorBidi" w:cstheme="majorBidi"/>
            <w:color w:val="000000"/>
            <w:highlight w:val="white"/>
            <w:u w:val="single"/>
          </w:rPr>
          <w:t>https://doi.org/10.1158/2326-6066.CIR-14-0211</w:t>
        </w:r>
      </w:hyperlink>
    </w:p>
    <w:p w14:paraId="000000C5"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Venkata Charan Tej, G. N., </w:t>
      </w:r>
      <w:proofErr w:type="spellStart"/>
      <w:r w:rsidRPr="00B248A6">
        <w:rPr>
          <w:rFonts w:asciiTheme="majorBidi" w:hAnsiTheme="majorBidi" w:cstheme="majorBidi"/>
          <w:color w:val="000000"/>
          <w:highlight w:val="white"/>
        </w:rPr>
        <w:t>Neogi</w:t>
      </w:r>
      <w:proofErr w:type="spellEnd"/>
      <w:r w:rsidRPr="00B248A6">
        <w:rPr>
          <w:rFonts w:asciiTheme="majorBidi" w:hAnsiTheme="majorBidi" w:cstheme="majorBidi"/>
          <w:color w:val="000000"/>
          <w:highlight w:val="white"/>
        </w:rPr>
        <w:t>, K., et al. Caffeine-enhanced anti-tumor immune response through decreased expression of PD1 on infiltrated cytotoxic T lymphocytes. </w:t>
      </w:r>
      <w:r w:rsidRPr="00B248A6">
        <w:rPr>
          <w:rFonts w:asciiTheme="majorBidi" w:hAnsiTheme="majorBidi" w:cstheme="majorBidi"/>
          <w:color w:val="000000"/>
        </w:rPr>
        <w:t>European journal of pharmacology</w:t>
      </w:r>
      <w:r w:rsidRPr="00B248A6">
        <w:rPr>
          <w:rFonts w:asciiTheme="majorBidi" w:hAnsiTheme="majorBidi" w:cstheme="majorBidi"/>
          <w:color w:val="000000"/>
          <w:highlight w:val="white"/>
        </w:rPr>
        <w:t xml:space="preserve"> 2019; </w:t>
      </w:r>
      <w:r w:rsidRPr="00B248A6">
        <w:rPr>
          <w:rFonts w:asciiTheme="majorBidi" w:hAnsiTheme="majorBidi" w:cstheme="majorBidi"/>
          <w:color w:val="000000"/>
        </w:rPr>
        <w:t>859</w:t>
      </w:r>
      <w:r w:rsidRPr="00B248A6">
        <w:rPr>
          <w:rFonts w:asciiTheme="majorBidi" w:hAnsiTheme="majorBidi" w:cstheme="majorBidi"/>
          <w:color w:val="000000"/>
          <w:highlight w:val="white"/>
        </w:rPr>
        <w:t xml:space="preserve">: 172538. </w:t>
      </w:r>
      <w:hyperlink r:id="rId74">
        <w:r w:rsidRPr="00B248A6">
          <w:rPr>
            <w:rFonts w:asciiTheme="majorBidi" w:hAnsiTheme="majorBidi" w:cstheme="majorBidi"/>
            <w:color w:val="000000"/>
            <w:highlight w:val="white"/>
            <w:u w:val="single"/>
          </w:rPr>
          <w:t>https://doi.org/10.1016/j.ejphar.2019.172538</w:t>
        </w:r>
      </w:hyperlink>
    </w:p>
    <w:p w14:paraId="000000C6"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Kumar, N., </w:t>
      </w:r>
      <w:proofErr w:type="spellStart"/>
      <w:r w:rsidRPr="00B248A6">
        <w:rPr>
          <w:rFonts w:asciiTheme="majorBidi" w:hAnsiTheme="majorBidi" w:cstheme="majorBidi"/>
          <w:color w:val="000000"/>
          <w:highlight w:val="white"/>
        </w:rPr>
        <w:t>Goldminz</w:t>
      </w:r>
      <w:proofErr w:type="spellEnd"/>
      <w:r w:rsidRPr="00B248A6">
        <w:rPr>
          <w:rFonts w:asciiTheme="majorBidi" w:hAnsiTheme="majorBidi" w:cstheme="majorBidi"/>
          <w:color w:val="000000"/>
          <w:highlight w:val="white"/>
        </w:rPr>
        <w:t>, A. M. Phosphodiesterase 4-targeted treatments for autoimmune diseases. </w:t>
      </w:r>
      <w:r w:rsidRPr="00B248A6">
        <w:rPr>
          <w:rFonts w:asciiTheme="majorBidi" w:hAnsiTheme="majorBidi" w:cstheme="majorBidi"/>
          <w:color w:val="000000"/>
        </w:rPr>
        <w:t>BMC medicine</w:t>
      </w:r>
      <w:r w:rsidRPr="00B248A6">
        <w:rPr>
          <w:rFonts w:asciiTheme="majorBidi" w:hAnsiTheme="majorBidi" w:cstheme="majorBidi"/>
          <w:color w:val="000000"/>
          <w:highlight w:val="white"/>
        </w:rPr>
        <w:t xml:space="preserve"> 2013; </w:t>
      </w:r>
      <w:r w:rsidRPr="00B248A6">
        <w:rPr>
          <w:rFonts w:asciiTheme="majorBidi" w:hAnsiTheme="majorBidi" w:cstheme="majorBidi"/>
          <w:color w:val="000000"/>
        </w:rPr>
        <w:t>11</w:t>
      </w:r>
      <w:r w:rsidRPr="00B248A6">
        <w:rPr>
          <w:rFonts w:asciiTheme="majorBidi" w:hAnsiTheme="majorBidi" w:cstheme="majorBidi"/>
          <w:color w:val="000000"/>
          <w:highlight w:val="white"/>
        </w:rPr>
        <w:t xml:space="preserve">: 96. </w:t>
      </w:r>
      <w:hyperlink r:id="rId75">
        <w:r w:rsidRPr="00B248A6">
          <w:rPr>
            <w:rFonts w:asciiTheme="majorBidi" w:hAnsiTheme="majorBidi" w:cstheme="majorBidi"/>
            <w:color w:val="000000"/>
            <w:highlight w:val="white"/>
            <w:u w:val="single"/>
          </w:rPr>
          <w:t>https://doi.org/10.1186/1741-7015-11-96</w:t>
        </w:r>
      </w:hyperlink>
    </w:p>
    <w:p w14:paraId="000000C7"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proofErr w:type="spellStart"/>
      <w:r w:rsidRPr="00B248A6">
        <w:rPr>
          <w:rFonts w:asciiTheme="majorBidi" w:hAnsiTheme="majorBidi" w:cstheme="majorBidi"/>
          <w:color w:val="000000"/>
          <w:highlight w:val="white"/>
        </w:rPr>
        <w:t>Rembiałkowska</w:t>
      </w:r>
      <w:proofErr w:type="spellEnd"/>
      <w:r w:rsidRPr="00B248A6">
        <w:rPr>
          <w:rFonts w:asciiTheme="majorBidi" w:hAnsiTheme="majorBidi" w:cstheme="majorBidi"/>
          <w:color w:val="000000"/>
          <w:highlight w:val="white"/>
        </w:rPr>
        <w:t xml:space="preserve">, N., </w:t>
      </w:r>
      <w:proofErr w:type="spellStart"/>
      <w:r w:rsidRPr="00B248A6">
        <w:rPr>
          <w:rFonts w:asciiTheme="majorBidi" w:hAnsiTheme="majorBidi" w:cstheme="majorBidi"/>
          <w:color w:val="000000"/>
          <w:highlight w:val="white"/>
        </w:rPr>
        <w:t>Demiy</w:t>
      </w:r>
      <w:proofErr w:type="spellEnd"/>
      <w:r w:rsidRPr="00B248A6">
        <w:rPr>
          <w:rFonts w:asciiTheme="majorBidi" w:hAnsiTheme="majorBidi" w:cstheme="majorBidi"/>
          <w:color w:val="000000"/>
          <w:highlight w:val="white"/>
        </w:rPr>
        <w:t>, A. Caffeine as a Modulator in Oncology: Mechanisms of Action and Potential for Adjuvant Therapy. </w:t>
      </w:r>
      <w:r w:rsidRPr="00B248A6">
        <w:rPr>
          <w:rFonts w:asciiTheme="majorBidi" w:hAnsiTheme="majorBidi" w:cstheme="majorBidi"/>
          <w:color w:val="000000"/>
        </w:rPr>
        <w:t>Int. J. Mol. Sci.</w:t>
      </w:r>
      <w:r w:rsidRPr="00B248A6">
        <w:rPr>
          <w:rFonts w:asciiTheme="majorBidi" w:hAnsiTheme="majorBidi" w:cstheme="majorBidi"/>
          <w:color w:val="000000"/>
          <w:highlight w:val="white"/>
        </w:rPr>
        <w:t> </w:t>
      </w:r>
      <w:r w:rsidRPr="00B248A6">
        <w:rPr>
          <w:rFonts w:asciiTheme="majorBidi" w:hAnsiTheme="majorBidi" w:cstheme="majorBidi"/>
          <w:b/>
          <w:bCs/>
          <w:color w:val="000000"/>
        </w:rPr>
        <w:t>2025</w:t>
      </w:r>
      <w:r w:rsidRPr="00B248A6">
        <w:rPr>
          <w:rFonts w:asciiTheme="majorBidi" w:hAnsiTheme="majorBidi" w:cstheme="majorBidi"/>
          <w:color w:val="000000"/>
          <w:highlight w:val="white"/>
        </w:rPr>
        <w:t>; </w:t>
      </w:r>
      <w:r w:rsidRPr="00B248A6">
        <w:rPr>
          <w:rFonts w:asciiTheme="majorBidi" w:hAnsiTheme="majorBidi" w:cstheme="majorBidi"/>
          <w:color w:val="000000"/>
        </w:rPr>
        <w:t>26</w:t>
      </w:r>
      <w:r w:rsidRPr="00B248A6">
        <w:rPr>
          <w:rFonts w:asciiTheme="majorBidi" w:hAnsiTheme="majorBidi" w:cstheme="majorBidi"/>
          <w:color w:val="000000"/>
          <w:highlight w:val="white"/>
        </w:rPr>
        <w:t xml:space="preserve">: 6252. </w:t>
      </w:r>
      <w:hyperlink r:id="rId76">
        <w:r w:rsidRPr="00B248A6">
          <w:rPr>
            <w:rFonts w:asciiTheme="majorBidi" w:hAnsiTheme="majorBidi" w:cstheme="majorBidi"/>
            <w:color w:val="000000"/>
            <w:highlight w:val="white"/>
            <w:u w:val="single"/>
          </w:rPr>
          <w:t>https://doi.org/10.3390/ijms26136252</w:t>
        </w:r>
      </w:hyperlink>
    </w:p>
    <w:p w14:paraId="000000C8"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lastRenderedPageBreak/>
        <w:t xml:space="preserve">Feng, K., Liu, C., et al. Emerging proteins involved in castration-resistant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via the AR-dependent and AR-independent pathways (Review). </w:t>
      </w:r>
      <w:r w:rsidRPr="00B248A6">
        <w:rPr>
          <w:rFonts w:asciiTheme="majorBidi" w:hAnsiTheme="majorBidi" w:cstheme="majorBidi"/>
          <w:color w:val="000000"/>
        </w:rPr>
        <w:t>International journal of oncology</w:t>
      </w:r>
      <w:r w:rsidRPr="00B248A6">
        <w:rPr>
          <w:rFonts w:asciiTheme="majorBidi" w:hAnsiTheme="majorBidi" w:cstheme="majorBidi"/>
          <w:color w:val="000000"/>
          <w:highlight w:val="white"/>
        </w:rPr>
        <w:t xml:space="preserve"> 2023; </w:t>
      </w:r>
      <w:r w:rsidRPr="00B248A6">
        <w:rPr>
          <w:rFonts w:asciiTheme="majorBidi" w:hAnsiTheme="majorBidi" w:cstheme="majorBidi"/>
          <w:color w:val="000000"/>
        </w:rPr>
        <w:t>63</w:t>
      </w:r>
      <w:r w:rsidRPr="00B248A6">
        <w:rPr>
          <w:rFonts w:asciiTheme="majorBidi" w:hAnsiTheme="majorBidi" w:cstheme="majorBidi"/>
          <w:color w:val="000000"/>
          <w:highlight w:val="white"/>
        </w:rPr>
        <w:t xml:space="preserve">(5): 127. </w:t>
      </w:r>
      <w:hyperlink r:id="rId77">
        <w:r w:rsidRPr="00B248A6">
          <w:rPr>
            <w:rFonts w:asciiTheme="majorBidi" w:hAnsiTheme="majorBidi" w:cstheme="majorBidi"/>
            <w:color w:val="000000"/>
            <w:highlight w:val="white"/>
            <w:u w:val="single"/>
          </w:rPr>
          <w:t>https://doi.org/10.3892/ijo.2023.5575</w:t>
        </w:r>
      </w:hyperlink>
    </w:p>
    <w:p w14:paraId="000000C9"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Naqash, A. R., McCallen, J. D., Mi, E., </w:t>
      </w:r>
      <w:proofErr w:type="spellStart"/>
      <w:r w:rsidRPr="00B248A6">
        <w:rPr>
          <w:rFonts w:asciiTheme="majorBidi" w:hAnsiTheme="majorBidi" w:cstheme="majorBidi"/>
          <w:color w:val="000000"/>
          <w:highlight w:val="white"/>
        </w:rPr>
        <w:t>Iivanainen</w:t>
      </w:r>
      <w:proofErr w:type="spellEnd"/>
      <w:r w:rsidRPr="00B248A6">
        <w:rPr>
          <w:rFonts w:asciiTheme="majorBidi" w:hAnsiTheme="majorBidi" w:cstheme="majorBidi"/>
          <w:color w:val="000000"/>
          <w:highlight w:val="white"/>
        </w:rPr>
        <w:t>, S., et al. Increased interleukin-6/C-reactive protein levels are associated with the upregulation of the adenosine pathway and serve as potential markers of therapeutic resistance to immune checkpoint inhibitor-based therapies in non-small cell lung cancer. </w:t>
      </w:r>
      <w:r w:rsidRPr="00B248A6">
        <w:rPr>
          <w:rFonts w:asciiTheme="majorBidi" w:hAnsiTheme="majorBidi" w:cstheme="majorBidi"/>
          <w:color w:val="000000"/>
        </w:rPr>
        <w:t>Journal for immunotherapy of cancer</w:t>
      </w:r>
      <w:r w:rsidRPr="00B248A6">
        <w:rPr>
          <w:rFonts w:asciiTheme="majorBidi" w:hAnsiTheme="majorBidi" w:cstheme="majorBidi"/>
          <w:color w:val="000000"/>
          <w:highlight w:val="white"/>
        </w:rPr>
        <w:t xml:space="preserve"> 2023; </w:t>
      </w:r>
      <w:r w:rsidRPr="00B248A6">
        <w:rPr>
          <w:rFonts w:asciiTheme="majorBidi" w:hAnsiTheme="majorBidi" w:cstheme="majorBidi"/>
          <w:color w:val="000000"/>
        </w:rPr>
        <w:t>11</w:t>
      </w:r>
      <w:r w:rsidRPr="00B248A6">
        <w:rPr>
          <w:rFonts w:asciiTheme="majorBidi" w:hAnsiTheme="majorBidi" w:cstheme="majorBidi"/>
          <w:color w:val="000000"/>
          <w:highlight w:val="white"/>
        </w:rPr>
        <w:t xml:space="preserve">(10): e007310. </w:t>
      </w:r>
      <w:hyperlink r:id="rId78">
        <w:r w:rsidRPr="00B248A6">
          <w:rPr>
            <w:rFonts w:asciiTheme="majorBidi" w:hAnsiTheme="majorBidi" w:cstheme="majorBidi"/>
            <w:color w:val="000000"/>
            <w:highlight w:val="white"/>
            <w:u w:val="single"/>
          </w:rPr>
          <w:t>https://doi.org/10.1136/jitc-2023-007310</w:t>
        </w:r>
      </w:hyperlink>
    </w:p>
    <w:p w14:paraId="000000CA"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Rodas, L., Martinez, S., Aguilo, A., &amp; Tauler, P. Caffeine supplementation induces higher IL-6 and IL-10 plasma levels in response to a treadmill exercise test. </w:t>
      </w:r>
      <w:r w:rsidRPr="00B248A6">
        <w:rPr>
          <w:rFonts w:asciiTheme="majorBidi" w:hAnsiTheme="majorBidi" w:cstheme="majorBidi"/>
          <w:color w:val="000000"/>
        </w:rPr>
        <w:t>Journal of the International Society of Sports Nutrition</w:t>
      </w:r>
      <w:r w:rsidRPr="00B248A6">
        <w:rPr>
          <w:rFonts w:asciiTheme="majorBidi" w:hAnsiTheme="majorBidi" w:cstheme="majorBidi"/>
          <w:color w:val="000000"/>
          <w:highlight w:val="white"/>
        </w:rPr>
        <w:t xml:space="preserve"> 2020; </w:t>
      </w:r>
      <w:r w:rsidRPr="00B248A6">
        <w:rPr>
          <w:rFonts w:asciiTheme="majorBidi" w:hAnsiTheme="majorBidi" w:cstheme="majorBidi"/>
          <w:color w:val="000000"/>
        </w:rPr>
        <w:t>17</w:t>
      </w:r>
      <w:r w:rsidRPr="00B248A6">
        <w:rPr>
          <w:rFonts w:asciiTheme="majorBidi" w:hAnsiTheme="majorBidi" w:cstheme="majorBidi"/>
          <w:color w:val="000000"/>
          <w:highlight w:val="white"/>
        </w:rPr>
        <w:t xml:space="preserve">(1): 47. </w:t>
      </w:r>
      <w:hyperlink r:id="rId79">
        <w:r w:rsidRPr="00B248A6">
          <w:rPr>
            <w:rFonts w:asciiTheme="majorBidi" w:hAnsiTheme="majorBidi" w:cstheme="majorBidi"/>
            <w:color w:val="000000"/>
            <w:highlight w:val="white"/>
            <w:u w:val="single"/>
          </w:rPr>
          <w:t>https://doi.org/10.1186/s12970-020-00375-4</w:t>
        </w:r>
      </w:hyperlink>
    </w:p>
    <w:p w14:paraId="000000CB"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Sternberg, C., </w:t>
      </w:r>
      <w:proofErr w:type="spellStart"/>
      <w:r w:rsidRPr="00B248A6">
        <w:rPr>
          <w:rFonts w:asciiTheme="majorBidi" w:hAnsiTheme="majorBidi" w:cstheme="majorBidi"/>
          <w:color w:val="000000"/>
          <w:highlight w:val="white"/>
        </w:rPr>
        <w:t>Raigel</w:t>
      </w:r>
      <w:proofErr w:type="spellEnd"/>
      <w:r w:rsidRPr="00B248A6">
        <w:rPr>
          <w:rFonts w:asciiTheme="majorBidi" w:hAnsiTheme="majorBidi" w:cstheme="majorBidi"/>
          <w:color w:val="000000"/>
          <w:highlight w:val="white"/>
        </w:rPr>
        <w:t>, M., Limberger, T. </w:t>
      </w:r>
      <w:r w:rsidRPr="00B248A6">
        <w:rPr>
          <w:rFonts w:asciiTheme="majorBidi" w:hAnsiTheme="majorBidi" w:cstheme="majorBidi"/>
          <w:color w:val="000000"/>
        </w:rPr>
        <w:t>et al.</w:t>
      </w:r>
      <w:r w:rsidRPr="00B248A6">
        <w:rPr>
          <w:rFonts w:asciiTheme="majorBidi" w:hAnsiTheme="majorBidi" w:cstheme="majorBidi"/>
          <w:color w:val="000000"/>
          <w:highlight w:val="white"/>
        </w:rPr>
        <w:t xml:space="preserve"> Cell-autonomous IL6ST activation suppresses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development via STAT3/ARF/p53-driven senescence and confers an immune-active tumor microenvironment. </w:t>
      </w:r>
      <w:r w:rsidRPr="00B248A6">
        <w:rPr>
          <w:rFonts w:asciiTheme="majorBidi" w:hAnsiTheme="majorBidi" w:cstheme="majorBidi"/>
          <w:color w:val="000000"/>
        </w:rPr>
        <w:t>Mol Cancer</w:t>
      </w:r>
      <w:r w:rsidRPr="00B248A6">
        <w:rPr>
          <w:rFonts w:asciiTheme="majorBidi" w:hAnsiTheme="majorBidi" w:cstheme="majorBidi"/>
          <w:color w:val="000000"/>
          <w:highlight w:val="white"/>
        </w:rPr>
        <w:t xml:space="preserve"> 2024; </w:t>
      </w:r>
      <w:r w:rsidRPr="00B248A6">
        <w:rPr>
          <w:rFonts w:asciiTheme="majorBidi" w:hAnsiTheme="majorBidi" w:cstheme="majorBidi"/>
          <w:b/>
          <w:bCs/>
          <w:color w:val="000000"/>
        </w:rPr>
        <w:t>23</w:t>
      </w:r>
      <w:r w:rsidRPr="00B248A6">
        <w:rPr>
          <w:rFonts w:asciiTheme="majorBidi" w:hAnsiTheme="majorBidi" w:cstheme="majorBidi"/>
          <w:color w:val="000000"/>
          <w:highlight w:val="white"/>
        </w:rPr>
        <w:t xml:space="preserve">: 245. </w:t>
      </w:r>
      <w:hyperlink r:id="rId80">
        <w:r w:rsidRPr="00B248A6">
          <w:rPr>
            <w:rFonts w:asciiTheme="majorBidi" w:hAnsiTheme="majorBidi" w:cstheme="majorBidi"/>
            <w:color w:val="000000"/>
            <w:highlight w:val="white"/>
            <w:u w:val="single"/>
          </w:rPr>
          <w:t>https://doi.org/10.1186/s12943-024-02114-8</w:t>
        </w:r>
      </w:hyperlink>
    </w:p>
    <w:p w14:paraId="000000CC"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Wilson, K. M., Kasperzyk, J. L., et al. Coffee consumption and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risk and progression in the Health Professionals Follow-up Study. </w:t>
      </w:r>
      <w:r w:rsidRPr="00B248A6">
        <w:rPr>
          <w:rFonts w:asciiTheme="majorBidi" w:hAnsiTheme="majorBidi" w:cstheme="majorBidi"/>
          <w:color w:val="000000"/>
        </w:rPr>
        <w:t>Journal of the National Cancer Institute</w:t>
      </w:r>
      <w:r w:rsidRPr="00B248A6">
        <w:rPr>
          <w:rFonts w:asciiTheme="majorBidi" w:hAnsiTheme="majorBidi" w:cstheme="majorBidi"/>
          <w:color w:val="000000"/>
          <w:highlight w:val="white"/>
        </w:rPr>
        <w:t xml:space="preserve"> 2011; </w:t>
      </w:r>
      <w:r w:rsidRPr="00B248A6">
        <w:rPr>
          <w:rFonts w:asciiTheme="majorBidi" w:hAnsiTheme="majorBidi" w:cstheme="majorBidi"/>
          <w:color w:val="000000"/>
        </w:rPr>
        <w:t>103</w:t>
      </w:r>
      <w:r w:rsidRPr="00B248A6">
        <w:rPr>
          <w:rFonts w:asciiTheme="majorBidi" w:hAnsiTheme="majorBidi" w:cstheme="majorBidi"/>
          <w:color w:val="000000"/>
          <w:highlight w:val="white"/>
        </w:rPr>
        <w:t xml:space="preserve">(11): 876-884. </w:t>
      </w:r>
      <w:hyperlink r:id="rId81">
        <w:r w:rsidRPr="00B248A6">
          <w:rPr>
            <w:rFonts w:asciiTheme="majorBidi" w:hAnsiTheme="majorBidi" w:cstheme="majorBidi"/>
            <w:color w:val="000000"/>
            <w:highlight w:val="white"/>
            <w:u w:val="single"/>
          </w:rPr>
          <w:t>https://doi.org/10.1093/jnci/djr151</w:t>
        </w:r>
      </w:hyperlink>
    </w:p>
    <w:p w14:paraId="000000CD"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Sen, A., Papadimitriou, N., </w:t>
      </w:r>
      <w:proofErr w:type="spellStart"/>
      <w:r w:rsidRPr="00B248A6">
        <w:rPr>
          <w:rFonts w:asciiTheme="majorBidi" w:hAnsiTheme="majorBidi" w:cstheme="majorBidi"/>
          <w:color w:val="000000"/>
          <w:highlight w:val="white"/>
        </w:rPr>
        <w:t>Lagiou</w:t>
      </w:r>
      <w:proofErr w:type="spellEnd"/>
      <w:r w:rsidRPr="00B248A6">
        <w:rPr>
          <w:rFonts w:asciiTheme="majorBidi" w:hAnsiTheme="majorBidi" w:cstheme="majorBidi"/>
          <w:color w:val="000000"/>
          <w:highlight w:val="white"/>
        </w:rPr>
        <w:t>, P., Perez-</w:t>
      </w:r>
      <w:proofErr w:type="spellStart"/>
      <w:r w:rsidRPr="00B248A6">
        <w:rPr>
          <w:rFonts w:asciiTheme="majorBidi" w:hAnsiTheme="majorBidi" w:cstheme="majorBidi"/>
          <w:color w:val="000000"/>
          <w:highlight w:val="white"/>
        </w:rPr>
        <w:t>Cornago</w:t>
      </w:r>
      <w:proofErr w:type="spellEnd"/>
      <w:r w:rsidRPr="00B248A6">
        <w:rPr>
          <w:rFonts w:asciiTheme="majorBidi" w:hAnsiTheme="majorBidi" w:cstheme="majorBidi"/>
          <w:color w:val="000000"/>
          <w:highlight w:val="white"/>
        </w:rPr>
        <w:t xml:space="preserve">, A., et al. Coffee and tea consumption and risk of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in the European Prospective Investigation into Cancer and Nutrition. </w:t>
      </w:r>
      <w:r w:rsidRPr="00B248A6">
        <w:rPr>
          <w:rFonts w:asciiTheme="majorBidi" w:hAnsiTheme="majorBidi" w:cstheme="majorBidi"/>
          <w:color w:val="000000"/>
        </w:rPr>
        <w:t>International journal of cancer</w:t>
      </w:r>
      <w:r w:rsidRPr="00B248A6">
        <w:rPr>
          <w:rFonts w:asciiTheme="majorBidi" w:hAnsiTheme="majorBidi" w:cstheme="majorBidi"/>
          <w:color w:val="000000"/>
          <w:highlight w:val="white"/>
        </w:rPr>
        <w:t xml:space="preserve"> 2019; </w:t>
      </w:r>
      <w:r w:rsidRPr="00B248A6">
        <w:rPr>
          <w:rFonts w:asciiTheme="majorBidi" w:hAnsiTheme="majorBidi" w:cstheme="majorBidi"/>
          <w:color w:val="000000"/>
        </w:rPr>
        <w:t>144</w:t>
      </w:r>
      <w:r w:rsidRPr="00B248A6">
        <w:rPr>
          <w:rFonts w:asciiTheme="majorBidi" w:hAnsiTheme="majorBidi" w:cstheme="majorBidi"/>
          <w:color w:val="000000"/>
          <w:highlight w:val="white"/>
        </w:rPr>
        <w:t xml:space="preserve">(2): 240-250. </w:t>
      </w:r>
      <w:hyperlink r:id="rId82">
        <w:r w:rsidRPr="00B248A6">
          <w:rPr>
            <w:rFonts w:asciiTheme="majorBidi" w:hAnsiTheme="majorBidi" w:cstheme="majorBidi"/>
            <w:color w:val="000000"/>
            <w:highlight w:val="white"/>
            <w:u w:val="single"/>
          </w:rPr>
          <w:t>https://doi.org/10.1002/ijc.31634</w:t>
        </w:r>
      </w:hyperlink>
    </w:p>
    <w:p w14:paraId="000000CE"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Bosire, C., Stampfer, M. J. Coffee consumption and the risk of overall and fatal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in the NIH-AARP Diet and Health Study. </w:t>
      </w:r>
      <w:r w:rsidRPr="00B248A6">
        <w:rPr>
          <w:rFonts w:asciiTheme="majorBidi" w:hAnsiTheme="majorBidi" w:cstheme="majorBidi"/>
          <w:color w:val="000000"/>
        </w:rPr>
        <w:t>Cancer causes &amp; control: CCC</w:t>
      </w:r>
      <w:r w:rsidRPr="00B248A6">
        <w:rPr>
          <w:rFonts w:asciiTheme="majorBidi" w:hAnsiTheme="majorBidi" w:cstheme="majorBidi"/>
          <w:color w:val="000000"/>
          <w:highlight w:val="white"/>
        </w:rPr>
        <w:t xml:space="preserve"> 2013; </w:t>
      </w:r>
      <w:r w:rsidRPr="00B248A6">
        <w:rPr>
          <w:rFonts w:asciiTheme="majorBidi" w:hAnsiTheme="majorBidi" w:cstheme="majorBidi"/>
          <w:color w:val="000000"/>
        </w:rPr>
        <w:t>24</w:t>
      </w:r>
      <w:r w:rsidRPr="00B248A6">
        <w:rPr>
          <w:rFonts w:asciiTheme="majorBidi" w:hAnsiTheme="majorBidi" w:cstheme="majorBidi"/>
          <w:color w:val="000000"/>
          <w:highlight w:val="white"/>
        </w:rPr>
        <w:t xml:space="preserve">(8): 1527-1534. </w:t>
      </w:r>
      <w:hyperlink r:id="rId83">
        <w:r w:rsidRPr="00B248A6">
          <w:rPr>
            <w:rFonts w:asciiTheme="majorBidi" w:hAnsiTheme="majorBidi" w:cstheme="majorBidi"/>
            <w:color w:val="000000"/>
            <w:highlight w:val="white"/>
            <w:u w:val="single"/>
          </w:rPr>
          <w:t>https://doi.org/10.1007/s10552-013-0229-6</w:t>
        </w:r>
      </w:hyperlink>
    </w:p>
    <w:p w14:paraId="000000CF"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Wang, M., Jian, Z. Coffee Consumption and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Risk: Results from National Health and Nutrition Examination Survey 1999-2010 and Mendelian Randomization Analyses. </w:t>
      </w:r>
      <w:r w:rsidRPr="00B248A6">
        <w:rPr>
          <w:rFonts w:asciiTheme="majorBidi" w:hAnsiTheme="majorBidi" w:cstheme="majorBidi"/>
          <w:color w:val="000000"/>
        </w:rPr>
        <w:t xml:space="preserve">Nutrients </w:t>
      </w:r>
      <w:r w:rsidRPr="00B248A6">
        <w:rPr>
          <w:rFonts w:asciiTheme="majorBidi" w:hAnsiTheme="majorBidi" w:cstheme="majorBidi"/>
          <w:b/>
          <w:bCs/>
          <w:color w:val="000000"/>
        </w:rPr>
        <w:t>2021</w:t>
      </w:r>
      <w:r w:rsidRPr="00B248A6">
        <w:rPr>
          <w:rFonts w:asciiTheme="majorBidi" w:hAnsiTheme="majorBidi" w:cstheme="majorBidi"/>
          <w:color w:val="000000"/>
          <w:highlight w:val="white"/>
        </w:rPr>
        <w:t>; </w:t>
      </w:r>
      <w:r w:rsidRPr="00B248A6">
        <w:rPr>
          <w:rFonts w:asciiTheme="majorBidi" w:hAnsiTheme="majorBidi" w:cstheme="majorBidi"/>
          <w:color w:val="000000"/>
        </w:rPr>
        <w:t>13</w:t>
      </w:r>
      <w:r w:rsidRPr="00B248A6">
        <w:rPr>
          <w:rFonts w:asciiTheme="majorBidi" w:hAnsiTheme="majorBidi" w:cstheme="majorBidi"/>
          <w:color w:val="000000"/>
          <w:highlight w:val="white"/>
        </w:rPr>
        <w:t xml:space="preserve">: 2317. </w:t>
      </w:r>
      <w:hyperlink r:id="rId84">
        <w:r w:rsidRPr="00B248A6">
          <w:rPr>
            <w:rFonts w:asciiTheme="majorBidi" w:hAnsiTheme="majorBidi" w:cstheme="majorBidi"/>
            <w:color w:val="000000"/>
            <w:highlight w:val="white"/>
            <w:u w:val="single"/>
          </w:rPr>
          <w:t>https://doi.org/10.3390/nu13072317</w:t>
        </w:r>
      </w:hyperlink>
    </w:p>
    <w:p w14:paraId="000000D0" w14:textId="77777777" w:rsidR="00B11C56" w:rsidRPr="00B248A6" w:rsidRDefault="00000000" w:rsidP="002353F7">
      <w:pPr>
        <w:numPr>
          <w:ilvl w:val="0"/>
          <w:numId w:val="1"/>
        </w:numPr>
        <w:pBdr>
          <w:top w:val="nil"/>
          <w:left w:val="nil"/>
          <w:bottom w:val="nil"/>
          <w:right w:val="nil"/>
          <w:between w:val="nil"/>
        </w:pBdr>
        <w:rPr>
          <w:rFonts w:asciiTheme="majorBidi" w:hAnsiTheme="majorBidi" w:cstheme="majorBidi"/>
          <w:color w:val="000000"/>
        </w:rPr>
      </w:pPr>
      <w:r w:rsidRPr="00B248A6">
        <w:rPr>
          <w:rFonts w:asciiTheme="majorBidi" w:hAnsiTheme="majorBidi" w:cstheme="majorBidi"/>
          <w:color w:val="000000"/>
          <w:highlight w:val="white"/>
        </w:rPr>
        <w:t xml:space="preserve">Taylor, A. E., Martin, R. M., </w:t>
      </w:r>
      <w:proofErr w:type="spellStart"/>
      <w:r w:rsidRPr="00B248A6">
        <w:rPr>
          <w:rFonts w:asciiTheme="majorBidi" w:hAnsiTheme="majorBidi" w:cstheme="majorBidi"/>
          <w:color w:val="000000"/>
          <w:highlight w:val="white"/>
        </w:rPr>
        <w:t>Geybels</w:t>
      </w:r>
      <w:proofErr w:type="spellEnd"/>
      <w:r w:rsidRPr="00B248A6">
        <w:rPr>
          <w:rFonts w:asciiTheme="majorBidi" w:hAnsiTheme="majorBidi" w:cstheme="majorBidi"/>
          <w:color w:val="000000"/>
          <w:highlight w:val="white"/>
        </w:rPr>
        <w:t xml:space="preserve">, M. S., et al. Investigating the possible causal role of coffee consumption with </w:t>
      </w:r>
      <w:proofErr w:type="spellStart"/>
      <w:r w:rsidRPr="00B248A6">
        <w:rPr>
          <w:rFonts w:asciiTheme="majorBidi" w:hAnsiTheme="majorBidi" w:cstheme="majorBidi"/>
          <w:color w:val="000000"/>
          <w:highlight w:val="white"/>
        </w:rPr>
        <w:t>PCa</w:t>
      </w:r>
      <w:proofErr w:type="spellEnd"/>
      <w:r w:rsidRPr="00B248A6">
        <w:rPr>
          <w:rFonts w:asciiTheme="majorBidi" w:hAnsiTheme="majorBidi" w:cstheme="majorBidi"/>
          <w:color w:val="000000"/>
          <w:highlight w:val="white"/>
        </w:rPr>
        <w:t xml:space="preserve"> risk and progression using Mendelian randomization analysis. </w:t>
      </w:r>
      <w:r w:rsidRPr="00B248A6">
        <w:rPr>
          <w:rFonts w:asciiTheme="majorBidi" w:hAnsiTheme="majorBidi" w:cstheme="majorBidi"/>
          <w:color w:val="000000"/>
        </w:rPr>
        <w:t>International journal of cancer</w:t>
      </w:r>
      <w:r w:rsidRPr="00B248A6">
        <w:rPr>
          <w:rFonts w:asciiTheme="majorBidi" w:hAnsiTheme="majorBidi" w:cstheme="majorBidi"/>
          <w:color w:val="000000"/>
          <w:highlight w:val="white"/>
        </w:rPr>
        <w:t xml:space="preserve"> 2017; </w:t>
      </w:r>
      <w:r w:rsidRPr="00B248A6">
        <w:rPr>
          <w:rFonts w:asciiTheme="majorBidi" w:hAnsiTheme="majorBidi" w:cstheme="majorBidi"/>
          <w:color w:val="000000"/>
        </w:rPr>
        <w:t>140</w:t>
      </w:r>
      <w:r w:rsidRPr="00B248A6">
        <w:rPr>
          <w:rFonts w:asciiTheme="majorBidi" w:hAnsiTheme="majorBidi" w:cstheme="majorBidi"/>
          <w:color w:val="000000"/>
          <w:highlight w:val="white"/>
        </w:rPr>
        <w:t xml:space="preserve">(2): 322-328. </w:t>
      </w:r>
      <w:hyperlink r:id="rId85">
        <w:r w:rsidRPr="00B248A6">
          <w:rPr>
            <w:rFonts w:asciiTheme="majorBidi" w:hAnsiTheme="majorBidi" w:cstheme="majorBidi"/>
            <w:color w:val="000000"/>
            <w:highlight w:val="white"/>
            <w:u w:val="single"/>
          </w:rPr>
          <w:t>https://doi.org/10.1002/ijc.30462</w:t>
        </w:r>
      </w:hyperlink>
    </w:p>
    <w:p w14:paraId="000000D1" w14:textId="77777777" w:rsidR="00B11C56" w:rsidRPr="00B248A6" w:rsidRDefault="00B11C56" w:rsidP="002353F7">
      <w:pPr>
        <w:spacing w:before="280"/>
        <w:rPr>
          <w:rFonts w:asciiTheme="majorBidi" w:hAnsiTheme="majorBidi" w:cstheme="majorBidi"/>
        </w:rPr>
      </w:pPr>
    </w:p>
    <w:p w14:paraId="000000D2" w14:textId="77777777" w:rsidR="00B11C56" w:rsidRPr="00B248A6" w:rsidRDefault="00000000" w:rsidP="002353F7">
      <w:pPr>
        <w:spacing w:before="280"/>
        <w:rPr>
          <w:rFonts w:asciiTheme="majorBidi" w:hAnsiTheme="majorBidi" w:cstheme="majorBidi"/>
        </w:rPr>
      </w:pPr>
      <w:r w:rsidRPr="00B248A6">
        <w:rPr>
          <w:rFonts w:asciiTheme="majorBidi" w:hAnsiTheme="majorBidi" w:cstheme="majorBidi"/>
          <w:b/>
          <w:bCs/>
        </w:rPr>
        <w:t>Figure 1.</w:t>
      </w:r>
      <w:r w:rsidRPr="00B248A6">
        <w:rPr>
          <w:rFonts w:asciiTheme="majorBidi" w:hAnsiTheme="majorBidi" w:cstheme="majorBidi"/>
        </w:rPr>
        <w:t xml:space="preserve"> Proposed Hypothesis-Driven Interaction Between Caffeine, Adenosine Signaling, IL-6/STAT3 Activity, and AR Pathways in </w:t>
      </w:r>
      <w:proofErr w:type="spellStart"/>
      <w:r w:rsidRPr="00B248A6">
        <w:rPr>
          <w:rFonts w:asciiTheme="majorBidi" w:hAnsiTheme="majorBidi" w:cstheme="majorBidi"/>
        </w:rPr>
        <w:t>PCa</w:t>
      </w:r>
      <w:proofErr w:type="spellEnd"/>
      <w:r w:rsidRPr="00B248A6">
        <w:rPr>
          <w:rFonts w:asciiTheme="majorBidi" w:hAnsiTheme="majorBidi" w:cstheme="majorBidi"/>
        </w:rPr>
        <w:t>.</w:t>
      </w:r>
    </w:p>
    <w:p w14:paraId="000000D3" w14:textId="77777777" w:rsidR="00B11C56" w:rsidRPr="00B248A6" w:rsidRDefault="00000000" w:rsidP="002353F7">
      <w:pPr>
        <w:spacing w:before="280"/>
        <w:rPr>
          <w:rFonts w:asciiTheme="majorBidi" w:hAnsiTheme="majorBidi" w:cstheme="majorBidi"/>
        </w:rPr>
      </w:pPr>
      <w:r w:rsidRPr="00B248A6">
        <w:rPr>
          <w:rFonts w:asciiTheme="majorBidi" w:hAnsiTheme="majorBidi" w:cstheme="majorBidi"/>
        </w:rPr>
        <w:t xml:space="preserve">Schematic representation of a proposed biologic framework linking caffeine-mediated adenosine receptor antagonism with inflammatory and AR-associated signaling pathways in </w:t>
      </w:r>
      <w:proofErr w:type="spellStart"/>
      <w:r w:rsidRPr="00B248A6">
        <w:rPr>
          <w:rFonts w:asciiTheme="majorBidi" w:hAnsiTheme="majorBidi" w:cstheme="majorBidi"/>
        </w:rPr>
        <w:t>PCa</w:t>
      </w:r>
      <w:proofErr w:type="spellEnd"/>
      <w:r w:rsidRPr="00B248A6">
        <w:rPr>
          <w:rFonts w:asciiTheme="majorBidi" w:hAnsiTheme="majorBidi" w:cstheme="majorBidi"/>
        </w:rPr>
        <w:t xml:space="preserve">. Hypoxia and metabolic stress within the TME promote extracellular adenosine accumulation through CD39/CD73-mediated ATP hydrolysis. Adenosine signaling through A2A and A2B receptors increases cAMP/PKA activity, suppresses cytotoxic immune-cell responses, and may contribute indirectly to inflammatory and AR-related signaling. Experimental studies suggest that caffeine can antagonize adenosine receptor signaling at physiologically achievable micromolar </w:t>
      </w:r>
      <w:r w:rsidRPr="00B248A6">
        <w:rPr>
          <w:rFonts w:asciiTheme="majorBidi" w:hAnsiTheme="majorBidi" w:cstheme="majorBidi"/>
        </w:rPr>
        <w:lastRenderedPageBreak/>
        <w:t xml:space="preserve">concentrations; however, direct mechanistic evidence linking caffeine to a complete IL-6 → STAT3 → AR signaling cascade in </w:t>
      </w:r>
      <w:proofErr w:type="spellStart"/>
      <w:r w:rsidRPr="00B248A6">
        <w:rPr>
          <w:rFonts w:asciiTheme="majorBidi" w:hAnsiTheme="majorBidi" w:cstheme="majorBidi"/>
        </w:rPr>
        <w:t>PCa</w:t>
      </w:r>
      <w:proofErr w:type="spellEnd"/>
      <w:r w:rsidRPr="00B248A6">
        <w:rPr>
          <w:rFonts w:asciiTheme="majorBidi" w:hAnsiTheme="majorBidi" w:cstheme="majorBidi"/>
        </w:rPr>
        <w:t xml:space="preserve"> remains incomplete. The figure is intended as a hypothesis-supported conceptual model rather than an established mechanistic pathway. Created with BioRender.com.</w:t>
      </w:r>
    </w:p>
    <w:p w14:paraId="000000D4" w14:textId="77777777" w:rsidR="00B11C56" w:rsidRPr="00B248A6" w:rsidRDefault="00B11C56" w:rsidP="002353F7">
      <w:pPr>
        <w:spacing w:before="280"/>
        <w:rPr>
          <w:rFonts w:asciiTheme="majorBidi" w:hAnsiTheme="majorBidi" w:cstheme="majorBidi"/>
        </w:rPr>
      </w:pPr>
    </w:p>
    <w:p w14:paraId="000000D5" w14:textId="77777777" w:rsidR="00B11C56" w:rsidRPr="00B248A6" w:rsidRDefault="00000000" w:rsidP="002353F7">
      <w:pPr>
        <w:spacing w:before="280"/>
        <w:rPr>
          <w:rFonts w:asciiTheme="majorBidi" w:hAnsiTheme="majorBidi" w:cstheme="majorBidi"/>
        </w:rPr>
      </w:pPr>
      <w:bookmarkStart w:id="0" w:name="_heading=h.ntcagifhds1" w:colFirst="0" w:colLast="0"/>
      <w:bookmarkEnd w:id="0"/>
      <w:r w:rsidRPr="00B248A6">
        <w:rPr>
          <w:rFonts w:asciiTheme="majorBidi" w:hAnsiTheme="majorBidi" w:cstheme="majorBidi"/>
          <w:b/>
          <w:bCs/>
        </w:rPr>
        <w:t>Figure 2.</w:t>
      </w:r>
      <w:r w:rsidRPr="00B248A6">
        <w:rPr>
          <w:rFonts w:asciiTheme="majorBidi" w:hAnsiTheme="majorBidi" w:cstheme="majorBidi"/>
        </w:rPr>
        <w:t xml:space="preserve"> Proposed Model of Adenosine-Mediated Immune Suppression and Potential Sites of Caffeine-Related Modulation in the Prostate Tumor Microenvironment.</w:t>
      </w:r>
    </w:p>
    <w:p w14:paraId="000000D6" w14:textId="77777777" w:rsidR="00B11C56" w:rsidRPr="00B248A6" w:rsidRDefault="00000000" w:rsidP="002353F7">
      <w:pPr>
        <w:spacing w:before="280"/>
        <w:rPr>
          <w:rFonts w:asciiTheme="majorBidi" w:hAnsiTheme="majorBidi" w:cstheme="majorBidi"/>
        </w:rPr>
      </w:pPr>
      <w:r w:rsidRPr="00B248A6">
        <w:rPr>
          <w:rFonts w:asciiTheme="majorBidi" w:hAnsiTheme="majorBidi" w:cstheme="majorBidi"/>
        </w:rPr>
        <w:t>Proposed model illustrating adenosine-mediated immune suppression and potential sites of caffeine-related modulation within the prostate TME. A2A and A2B receptor activation increases cAMP/PKA signaling, suppresses cytotoxic immune-cell function, promotes Treg and MDSC activity, and enhances immune checkpoint expression. Caffeine-mediated antagonism of adenosine receptors is presented as a hypothesis-supported modulatory mechanism rather than a validated therapeutic pathway. Created with BioRender.com.</w:t>
      </w:r>
    </w:p>
    <w:sectPr w:rsidR="00B11C56" w:rsidRPr="00B248A6">
      <w:headerReference w:type="default" r:id="rId86"/>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20FE0" w14:textId="77777777" w:rsidR="00176D0A" w:rsidRDefault="00176D0A">
      <w:r>
        <w:separator/>
      </w:r>
    </w:p>
  </w:endnote>
  <w:endnote w:type="continuationSeparator" w:id="0">
    <w:p w14:paraId="666B0CBA" w14:textId="77777777" w:rsidR="00176D0A" w:rsidRDefault="00176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BD86B98D-3694-44CA-A2D4-AD8F85CD2E86}"/>
    <w:embedBold r:id="rId2" w:fontKey="{0F8448E3-45B8-4519-BB25-35DA92C28EB0}"/>
    <w:embedItalic r:id="rId3" w:fontKey="{B12D84E3-DF6C-415F-BD5E-27BE3DAC8A7D}"/>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BB684FD7-4788-4C3E-867C-DF6D758D17D9}"/>
  </w:font>
  <w:font w:name="Cardo">
    <w:charset w:val="00"/>
    <w:family w:val="auto"/>
    <w:pitch w:val="default"/>
    <w:embedRegular r:id="rId5" w:fontKey="{CD00B847-BB41-4575-BD78-6D0B23B3863F}"/>
  </w:font>
  <w:font w:name="Gungsuh">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embedRegular r:id="rId6" w:fontKey="{AF482318-386D-424A-BB86-9A8A763FC798}"/>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EEAF5" w14:textId="77777777" w:rsidR="00176D0A" w:rsidRDefault="00176D0A">
      <w:r>
        <w:separator/>
      </w:r>
    </w:p>
  </w:footnote>
  <w:footnote w:type="continuationSeparator" w:id="0">
    <w:p w14:paraId="4E82B275" w14:textId="77777777" w:rsidR="00176D0A" w:rsidRDefault="00176D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D7" w14:textId="6FA42F9B" w:rsidR="00B11C56" w:rsidRDefault="00000000">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2353F7">
      <w:rPr>
        <w:noProof/>
        <w:color w:val="000000"/>
      </w:rPr>
      <w:t>1</w:t>
    </w:r>
    <w:r>
      <w:rPr>
        <w:color w:val="000000"/>
      </w:rPr>
      <w:fldChar w:fldCharType="end"/>
    </w:r>
  </w:p>
  <w:p w14:paraId="000000D8" w14:textId="77777777" w:rsidR="00B11C56" w:rsidRDefault="00B11C56">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B864A6"/>
    <w:multiLevelType w:val="multilevel"/>
    <w:tmpl w:val="A2B68D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972797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56"/>
    <w:rsid w:val="00176D0A"/>
    <w:rsid w:val="002353F7"/>
    <w:rsid w:val="003934CF"/>
    <w:rsid w:val="003D3240"/>
    <w:rsid w:val="00986D9D"/>
    <w:rsid w:val="00B11C56"/>
    <w:rsid w:val="00B248A6"/>
    <w:rsid w:val="00BC1544"/>
    <w:rsid w:val="00C25F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2E6B0"/>
  <w15:docId w15:val="{AC2B51C7-907D-4297-A4C3-C5F728019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semiHidden/>
    <w:unhideWhenUsed/>
    <w:qFormat/>
    <w:pPr>
      <w:keepNext/>
      <w:keepLines/>
      <w:spacing w:before="40"/>
      <w:outlineLvl w:val="2"/>
    </w:pPr>
    <w:rPr>
      <w:color w:val="1F3864"/>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111/add.13298" TargetMode="External"/><Relationship Id="rId21" Type="http://schemas.openxmlformats.org/officeDocument/2006/relationships/hyperlink" Target="https://doi.org/10.1002/ijc.30720" TargetMode="External"/><Relationship Id="rId42" Type="http://schemas.openxmlformats.org/officeDocument/2006/relationships/hyperlink" Target="https://doi.org/10.1038/nrc.2017.86" TargetMode="External"/><Relationship Id="rId47" Type="http://schemas.openxmlformats.org/officeDocument/2006/relationships/hyperlink" Target="https://doi.org/10.1073/pnas.0605251103" TargetMode="External"/><Relationship Id="rId63" Type="http://schemas.openxmlformats.org/officeDocument/2006/relationships/hyperlink" Target="https://www.ncbi.nlm.nih.gov/books/NBK223808/" TargetMode="External"/><Relationship Id="rId68" Type="http://schemas.openxmlformats.org/officeDocument/2006/relationships/hyperlink" Target="https://doi.org/10.1016/j.coi.2015.02.008" TargetMode="External"/><Relationship Id="rId84" Type="http://schemas.openxmlformats.org/officeDocument/2006/relationships/hyperlink" Target="https://doi.org/10.3390/nu13072317" TargetMode="External"/><Relationship Id="rId16" Type="http://schemas.openxmlformats.org/officeDocument/2006/relationships/hyperlink" Target="https://doi.org/10.1038/onc.2016.206" TargetMode="External"/><Relationship Id="rId11" Type="http://schemas.openxmlformats.org/officeDocument/2006/relationships/hyperlink" Target="https://doi.org/10.1038/onc.2013.206" TargetMode="External"/><Relationship Id="rId32" Type="http://schemas.openxmlformats.org/officeDocument/2006/relationships/hyperlink" Target="https://doi.org/10.3390/beverages5020037" TargetMode="External"/><Relationship Id="rId37" Type="http://schemas.openxmlformats.org/officeDocument/2006/relationships/hyperlink" Target="https://doi.org/10.1161/01.cir.99.19.2499" TargetMode="External"/><Relationship Id="rId53" Type="http://schemas.openxmlformats.org/officeDocument/2006/relationships/hyperlink" Target="https://doi.org/10.3389/fimmu.2021.754196" TargetMode="External"/><Relationship Id="rId58" Type="http://schemas.openxmlformats.org/officeDocument/2006/relationships/hyperlink" Target="https://doi.org/10.1158/1078-0432.CCR-09-0640" TargetMode="External"/><Relationship Id="rId74" Type="http://schemas.openxmlformats.org/officeDocument/2006/relationships/hyperlink" Target="https://doi.org/10.1016/j.ejphar.2019.172538" TargetMode="External"/><Relationship Id="rId79" Type="http://schemas.openxmlformats.org/officeDocument/2006/relationships/hyperlink" Target="https://doi.org/10.1186/s12970-020-00375-4" TargetMode="External"/><Relationship Id="rId5" Type="http://schemas.openxmlformats.org/officeDocument/2006/relationships/webSettings" Target="webSettings.xml"/><Relationship Id="rId19" Type="http://schemas.openxmlformats.org/officeDocument/2006/relationships/hyperlink" Target="https://doi.org/10.1002/mds.28897" TargetMode="External"/><Relationship Id="rId14" Type="http://schemas.openxmlformats.org/officeDocument/2006/relationships/hyperlink" Target="https://doi.org/10.1093/intimm/dxaa078" TargetMode="External"/><Relationship Id="rId22" Type="http://schemas.openxmlformats.org/officeDocument/2006/relationships/hyperlink" Target="https://doi.org/10.1136/bmjopen-2020-038902" TargetMode="External"/><Relationship Id="rId27" Type="http://schemas.openxmlformats.org/officeDocument/2006/relationships/hyperlink" Target="https://doi.org/10.1002/ams2.985" TargetMode="External"/><Relationship Id="rId30" Type="http://schemas.openxmlformats.org/officeDocument/2006/relationships/hyperlink" Target="https://doi.org/10.1186/s12967-024-05737-z" TargetMode="External"/><Relationship Id="rId35" Type="http://schemas.openxmlformats.org/officeDocument/2006/relationships/hyperlink" Target="https://pmc.ncbi.nlm.nih.gov/articles/PMC4373791/" TargetMode="External"/><Relationship Id="rId43" Type="http://schemas.openxmlformats.org/officeDocument/2006/relationships/hyperlink" Target="https://doi.org/10.3390/uro2020010" TargetMode="External"/><Relationship Id="rId48" Type="http://schemas.openxmlformats.org/officeDocument/2006/relationships/hyperlink" Target="https://doi.org/10.3389/fimmu.2012.00190" TargetMode="External"/><Relationship Id="rId56" Type="http://schemas.openxmlformats.org/officeDocument/2006/relationships/hyperlink" Target="https://doi.org/10.1016/j.parkreldis.2020.10.024" TargetMode="External"/><Relationship Id="rId64" Type="http://schemas.openxmlformats.org/officeDocument/2006/relationships/hyperlink" Target="https://doi.org/10.1186/s12943-024-02137-1" TargetMode="External"/><Relationship Id="rId69" Type="http://schemas.openxmlformats.org/officeDocument/2006/relationships/hyperlink" Target="https://doi.org/10.1186/s12967-022-03731-x" TargetMode="External"/><Relationship Id="rId77" Type="http://schemas.openxmlformats.org/officeDocument/2006/relationships/hyperlink" Target="https://doi.org/10.3892/ijo.2023.5575" TargetMode="External"/><Relationship Id="rId8" Type="http://schemas.openxmlformats.org/officeDocument/2006/relationships/hyperlink" Target="mailto:eghanem@ndu.edu.lb" TargetMode="External"/><Relationship Id="rId51" Type="http://schemas.openxmlformats.org/officeDocument/2006/relationships/hyperlink" Target="https://doi.org/10.4161/onci.27989" TargetMode="External"/><Relationship Id="rId72" Type="http://schemas.openxmlformats.org/officeDocument/2006/relationships/hyperlink" Target="https://doi.org/10.1158/2159-8290.CD-19-0980" TargetMode="External"/><Relationship Id="rId80" Type="http://schemas.openxmlformats.org/officeDocument/2006/relationships/hyperlink" Target="https://doi.org/10.1186/s12943-024-02114-8" TargetMode="External"/><Relationship Id="rId85" Type="http://schemas.openxmlformats.org/officeDocument/2006/relationships/hyperlink" Target="https://doi.org/10.1002/ijc.30462" TargetMode="External"/><Relationship Id="rId3" Type="http://schemas.openxmlformats.org/officeDocument/2006/relationships/styles" Target="styles.xml"/><Relationship Id="rId12" Type="http://schemas.openxmlformats.org/officeDocument/2006/relationships/hyperlink" Target="https://doi.org/10.1038/s41392-022-01042-7" TargetMode="External"/><Relationship Id="rId17" Type="http://schemas.openxmlformats.org/officeDocument/2006/relationships/hyperlink" Target="https://doi.org/10.3389/fimmu.2022.837230" TargetMode="External"/><Relationship Id="rId25" Type="http://schemas.openxmlformats.org/officeDocument/2006/relationships/hyperlink" Target="https://doi.org/10.3389/fpsyt.2017.00080" TargetMode="External"/><Relationship Id="rId33" Type="http://schemas.openxmlformats.org/officeDocument/2006/relationships/hyperlink" Target="https://doi.org/10.3390/ijms25168905" TargetMode="External"/><Relationship Id="rId38" Type="http://schemas.openxmlformats.org/officeDocument/2006/relationships/hyperlink" Target="https://doi.org/10.3390/nu13093088" TargetMode="External"/><Relationship Id="rId46" Type="http://schemas.openxmlformats.org/officeDocument/2006/relationships/hyperlink" Target="https://doi.org/10.1126/scitranslmed.aaa1260" TargetMode="External"/><Relationship Id="rId59" Type="http://schemas.openxmlformats.org/officeDocument/2006/relationships/hyperlink" Target="https://doi.org/10.1039/d0ra01179g" TargetMode="External"/><Relationship Id="rId67" Type="http://schemas.openxmlformats.org/officeDocument/2006/relationships/hyperlink" Target="https://doi.org/10.3390/cancers14235985" TargetMode="External"/><Relationship Id="rId20" Type="http://schemas.openxmlformats.org/officeDocument/2006/relationships/hyperlink" Target="https://doi.org/10.1155/2022/3254420" TargetMode="External"/><Relationship Id="rId41" Type="http://schemas.openxmlformats.org/officeDocument/2006/relationships/hyperlink" Target="https://doi.org/10.1038/s41571-020-0382-2" TargetMode="External"/><Relationship Id="rId54" Type="http://schemas.openxmlformats.org/officeDocument/2006/relationships/hyperlink" Target="https://doi.org/10.1182/blood-2011-07-366781" TargetMode="External"/><Relationship Id="rId62" Type="http://schemas.openxmlformats.org/officeDocument/2006/relationships/hyperlink" Target="https://doi.org/10.1080/01635581.2012.716899" TargetMode="External"/><Relationship Id="rId70" Type="http://schemas.openxmlformats.org/officeDocument/2006/relationships/hyperlink" Target="https://doi.org/10.1158/2326-6066.CIR-14-0075" TargetMode="External"/><Relationship Id="rId75" Type="http://schemas.openxmlformats.org/officeDocument/2006/relationships/hyperlink" Target="https://doi.org/10.1186/1741-7015-11-96" TargetMode="External"/><Relationship Id="rId83" Type="http://schemas.openxmlformats.org/officeDocument/2006/relationships/hyperlink" Target="https://doi.org/10.1007/s10552-013-0229-6"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2147/JIR.S484962" TargetMode="External"/><Relationship Id="rId23" Type="http://schemas.openxmlformats.org/officeDocument/2006/relationships/hyperlink" Target="https://www.ncbi.nlm.nih.gov/books/NBK223808/?utm_source=chatgpt.com" TargetMode="External"/><Relationship Id="rId28" Type="http://schemas.openxmlformats.org/officeDocument/2006/relationships/hyperlink" Target="https://doi.org/10.5830/CVJA-2016-021" TargetMode="External"/><Relationship Id="rId36" Type="http://schemas.openxmlformats.org/officeDocument/2006/relationships/hyperlink" Target="https://doi.org/10.1016/j.ejmcr.2024.100138" TargetMode="External"/><Relationship Id="rId49" Type="http://schemas.openxmlformats.org/officeDocument/2006/relationships/hyperlink" Target="https://doi.org/10.3389/fimmu.2022.978377" TargetMode="External"/><Relationship Id="rId57" Type="http://schemas.openxmlformats.org/officeDocument/2006/relationships/hyperlink" Target="https://doi.org/10.1016/s0303-7207(02)00263-0" TargetMode="External"/><Relationship Id="rId10" Type="http://schemas.openxmlformats.org/officeDocument/2006/relationships/hyperlink" Target="https://doi.org/10.3322/caac.21660" TargetMode="External"/><Relationship Id="rId31" Type="http://schemas.openxmlformats.org/officeDocument/2006/relationships/hyperlink" Target="https://doi.org/10.1097/FPC.0b013e3283505d5e" TargetMode="External"/><Relationship Id="rId44" Type="http://schemas.openxmlformats.org/officeDocument/2006/relationships/hyperlink" Target="https://doi.org/10.1186/s40425-018-0360-8" TargetMode="External"/><Relationship Id="rId52" Type="http://schemas.openxmlformats.org/officeDocument/2006/relationships/hyperlink" Target="https://doi.org/10.1007/s11302-012-9350-3" TargetMode="External"/><Relationship Id="rId60" Type="http://schemas.openxmlformats.org/officeDocument/2006/relationships/hyperlink" Target="https://doi.org/10.3390/nu17152558" TargetMode="External"/><Relationship Id="rId65" Type="http://schemas.openxmlformats.org/officeDocument/2006/relationships/hyperlink" Target="https://doi.org/10.1038/nrm.2017.8" TargetMode="External"/><Relationship Id="rId73" Type="http://schemas.openxmlformats.org/officeDocument/2006/relationships/hyperlink" Target="https://doi.org/10.1158/2326-6066.CIR-14-0211" TargetMode="External"/><Relationship Id="rId78" Type="http://schemas.openxmlformats.org/officeDocument/2006/relationships/hyperlink" Target="https://doi.org/10.1136/jitc-2023-007310" TargetMode="External"/><Relationship Id="rId81" Type="http://schemas.openxmlformats.org/officeDocument/2006/relationships/hyperlink" Target="https://doi.org/10.1093/jnci/djr151" TargetMode="External"/><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4740/wjon1191" TargetMode="External"/><Relationship Id="rId13" Type="http://schemas.openxmlformats.org/officeDocument/2006/relationships/hyperlink" Target="https://doi.org/10.3390/cancers12102984" TargetMode="External"/><Relationship Id="rId18" Type="http://schemas.openxmlformats.org/officeDocument/2006/relationships/hyperlink" Target="https://doi.org/10.3390/ijms26136252" TargetMode="External"/><Relationship Id="rId39" Type="http://schemas.openxmlformats.org/officeDocument/2006/relationships/hyperlink" Target="https://doi.org/10.3390/ph16081067" TargetMode="External"/><Relationship Id="rId34" Type="http://schemas.openxmlformats.org/officeDocument/2006/relationships/hyperlink" Target="https://doi.org/10.3389/fmolb.2021.673170" TargetMode="External"/><Relationship Id="rId50" Type="http://schemas.openxmlformats.org/officeDocument/2006/relationships/hyperlink" Target="https://doi.org/10.1093/intimm/dxt045" TargetMode="External"/><Relationship Id="rId55" Type="http://schemas.openxmlformats.org/officeDocument/2006/relationships/hyperlink" Target="https://doi.org/10.3389/fimmu.2024.1455469" TargetMode="External"/><Relationship Id="rId76" Type="http://schemas.openxmlformats.org/officeDocument/2006/relationships/hyperlink" Target="https://doi.org/10.3390/ijms26136252" TargetMode="External"/><Relationship Id="rId7" Type="http://schemas.openxmlformats.org/officeDocument/2006/relationships/endnotes" Target="endnotes.xml"/><Relationship Id="rId71" Type="http://schemas.openxmlformats.org/officeDocument/2006/relationships/hyperlink" Target="https://doi.org/10.1016/j.coph.2016.06.009" TargetMode="External"/><Relationship Id="rId2" Type="http://schemas.openxmlformats.org/officeDocument/2006/relationships/numbering" Target="numbering.xml"/><Relationship Id="rId29" Type="http://schemas.openxmlformats.org/officeDocument/2006/relationships/hyperlink" Target="https://doi.org/10.1124/pr.117.014407" TargetMode="External"/><Relationship Id="rId24" Type="http://schemas.openxmlformats.org/officeDocument/2006/relationships/hyperlink" Target="https://doi.org/10.3389/fphar.2021.752826" TargetMode="External"/><Relationship Id="rId40" Type="http://schemas.openxmlformats.org/officeDocument/2006/relationships/hyperlink" Target="https://doi.org/10.1016/j.euo.2022.07.008" TargetMode="External"/><Relationship Id="rId45" Type="http://schemas.openxmlformats.org/officeDocument/2006/relationships/hyperlink" Target="https://doi.org/10.1158/0008-5472.CAN-13-3581" TargetMode="External"/><Relationship Id="rId66" Type="http://schemas.openxmlformats.org/officeDocument/2006/relationships/hyperlink" Target="https://doi.org/10.3390/cancers17101691" TargetMode="External"/><Relationship Id="rId87" Type="http://schemas.openxmlformats.org/officeDocument/2006/relationships/fontTable" Target="fontTable.xml"/><Relationship Id="rId61" Type="http://schemas.openxmlformats.org/officeDocument/2006/relationships/hyperlink" Target="https://doi.org/10.1007/s10552-025-02015-1" TargetMode="External"/><Relationship Id="rId82" Type="http://schemas.openxmlformats.org/officeDocument/2006/relationships/hyperlink" Target="https://doi.org/10.1002/ijc.3163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Phrb6dc92KQwHEqEGTz48/EatA==">CgMxLjAaIwoBMBIeChwIB0IYCg9UaW1lcyBOZXcgUm9tYW4SBUNhcmRvGiMKATESHgocCAdCGAoPVGltZXMgTmV3IFJvbWFuEgVDYXJkbxojCgEyEh4KHAgHQhgKD1RpbWVzIE5ldyBSb21hbhIFQ2FyZG8aJQoBMxIgCh4IB0IaCg9UaW1lcyBOZXcgUm9tYW4SB0d1bmdzdWgyDWgubnRjYWdpZmhkczE4AHIhMTF2bkd3eTRUX0dnU0h5YU9seFdJZC15MHNYYWc3WGFG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7191</Words>
  <Characters>40992</Characters>
  <Application>Microsoft Office Word</Application>
  <DocSecurity>0</DocSecurity>
  <Lines>341</Lines>
  <Paragraphs>96</Paragraphs>
  <ScaleCrop>false</ScaleCrop>
  <Company/>
  <LinksUpToDate>false</LinksUpToDate>
  <CharactersWithSpaces>48087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Esther Ghanem</cp:lastModifiedBy>
  <cp:revision>7</cp:revision>
  <dcterms:created xsi:type="dcterms:W3CDTF">2026-06-29T11:36:00Z</dcterms:created>
  <dcterms:modified xsi:type="dcterms:W3CDTF">2026-06-29T11:51:00Z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F4F39887C4184C65B1B6D7CC0868CA3F_12</vt:lpwstr>
  </property>
</Properties>
</file>