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3C832" w14:textId="77777777" w:rsidR="008F0917" w:rsidRDefault="008F0917" w:rsidP="00385DFD">
      <w:pPr>
        <w:spacing w:after="280" w:line="360" w:lineRule="auto"/>
        <w:jc w:val="center"/>
        <w:rPr>
          <w:rFonts w:ascii="Times New Roman" w:hAnsi="Times New Roman" w:cs="Times New Roman"/>
          <w:b/>
          <w:bCs/>
          <w:sz w:val="28"/>
          <w:szCs w:val="28"/>
        </w:rPr>
      </w:pPr>
      <w:r>
        <w:rPr>
          <w:rFonts w:ascii="Times New Roman" w:hAnsi="Times New Roman" w:cs="Times New Roman"/>
          <w:b/>
          <w:bCs/>
          <w:sz w:val="28"/>
          <w:szCs w:val="28"/>
        </w:rPr>
        <w:t>Mango Price Prediction using Hybrid Machine Learning with Explainability: Evidence from Maharashtra APMC Markets</w:t>
      </w:r>
    </w:p>
    <w:p w14:paraId="098F1B88" w14:textId="77777777" w:rsidR="00975984" w:rsidRDefault="00975984" w:rsidP="00975984">
      <w:pPr>
        <w:pStyle w:val="Heading1"/>
        <w:spacing w:line="360" w:lineRule="auto"/>
        <w:jc w:val="both"/>
        <w:rPr>
          <w:rFonts w:ascii="Times New Roman" w:hAnsi="Times New Roman" w:cs="Times New Roman"/>
          <w:b w:val="0"/>
          <w:bCs w:val="0"/>
          <w:color w:val="000000" w:themeColor="text1"/>
          <w:sz w:val="28"/>
          <w:szCs w:val="28"/>
        </w:rPr>
      </w:pPr>
      <w:r w:rsidRPr="00B26D35">
        <w:rPr>
          <w:rFonts w:ascii="Times New Roman" w:hAnsi="Times New Roman" w:cs="Times New Roman"/>
          <w:color w:val="000000" w:themeColor="text1"/>
          <w:sz w:val="28"/>
          <w:szCs w:val="28"/>
        </w:rPr>
        <w:t>Preface</w:t>
      </w:r>
    </w:p>
    <w:p w14:paraId="521FDAD1" w14:textId="77777777" w:rsidR="00975984" w:rsidRDefault="00975984" w:rsidP="00975984">
      <w:pPr>
        <w:spacing w:line="360" w:lineRule="auto"/>
        <w:jc w:val="both"/>
        <w:rPr>
          <w:rFonts w:ascii="Times New Roman" w:hAnsi="Times New Roman" w:cs="Times New Roman"/>
        </w:rPr>
      </w:pPr>
      <w:r w:rsidRPr="00723559">
        <w:rPr>
          <w:rFonts w:ascii="Times New Roman" w:hAnsi="Times New Roman" w:cs="Times New Roman"/>
        </w:rPr>
        <w:t>This project report outlines the effort done for Mango Price Prediction using Hybrid Machine Learning with Explainability using data from Maharashtra APMC market. The objective of the study is to investigate the feasibility of using past market data for predicting the next modal price of the mango in a real-world, leakage-free setting. The study not only focuses on achieving accurate predictions but also investigates if the obtained results can be explained using appropriate measures and visualizations.</w:t>
      </w:r>
    </w:p>
    <w:p w14:paraId="2B1A566C" w14:textId="77777777" w:rsidR="00975984" w:rsidRDefault="00975984" w:rsidP="00975984">
      <w:pPr>
        <w:spacing w:line="360" w:lineRule="auto"/>
        <w:jc w:val="both"/>
        <w:rPr>
          <w:rFonts w:ascii="Times New Roman" w:hAnsi="Times New Roman" w:cs="Times New Roman"/>
        </w:rPr>
      </w:pPr>
      <w:r w:rsidRPr="00723559">
        <w:rPr>
          <w:rFonts w:ascii="Times New Roman" w:hAnsi="Times New Roman" w:cs="Times New Roman"/>
        </w:rPr>
        <w:t>In the course of developing this project, it was established that the real-world agricultural market data is not ideal for time-series analysis. There are some gaps in reporting, abrupt price surges, market-specificity, seasonality, and variations in arrivals. As a result of these problems, the project was crafted in such a way that no future data influenced the process of feature generation, training, and testing.</w:t>
      </w:r>
    </w:p>
    <w:p w14:paraId="2C72468D" w14:textId="77777777" w:rsidR="00975984" w:rsidRPr="00723559" w:rsidRDefault="00975984" w:rsidP="00975984">
      <w:pPr>
        <w:spacing w:line="360" w:lineRule="auto"/>
        <w:jc w:val="both"/>
        <w:rPr>
          <w:rFonts w:ascii="Times New Roman" w:hAnsi="Times New Roman" w:cs="Times New Roman"/>
        </w:rPr>
      </w:pPr>
      <w:r w:rsidRPr="00723559">
        <w:rPr>
          <w:rFonts w:ascii="Times New Roman" w:hAnsi="Times New Roman" w:cs="Times New Roman"/>
        </w:rPr>
        <w:t xml:space="preserve">Initially, the research involved decision-tree based machine learning techniques like Gradient Boosting, Random Forest, and </w:t>
      </w:r>
      <w:proofErr w:type="spellStart"/>
      <w:r w:rsidRPr="00723559">
        <w:rPr>
          <w:rFonts w:ascii="Times New Roman" w:hAnsi="Times New Roman" w:cs="Times New Roman"/>
        </w:rPr>
        <w:t>XGBoost</w:t>
      </w:r>
      <w:proofErr w:type="spellEnd"/>
      <w:r w:rsidRPr="00723559">
        <w:rPr>
          <w:rFonts w:ascii="Times New Roman" w:hAnsi="Times New Roman" w:cs="Times New Roman"/>
        </w:rPr>
        <w:t xml:space="preserve">, along with a hybrid approach and SHAP for explainability. Further, the project was expanded with the inclusion of an LSTM/Sequence Learning Benchmark in order to examine if recent price pattern data could help improve predictions in eligible markets. Because of potential instability in raw LSTM predictions in the case of non-steady APMC data, robust forms were considered. The current report involves </w:t>
      </w:r>
      <w:proofErr w:type="spellStart"/>
      <w:r w:rsidRPr="00723559">
        <w:rPr>
          <w:rFonts w:ascii="Times New Roman" w:hAnsi="Times New Roman" w:cs="Times New Roman"/>
        </w:rPr>
        <w:t>LSTM_Hybrid</w:t>
      </w:r>
      <w:proofErr w:type="spellEnd"/>
      <w:r w:rsidRPr="00723559">
        <w:rPr>
          <w:rFonts w:ascii="Times New Roman" w:hAnsi="Times New Roman" w:cs="Times New Roman"/>
        </w:rPr>
        <w:t xml:space="preserve"> (optimized for MAE) and LSTM_Hybrid_R2 (optimized for R2).</w:t>
      </w:r>
    </w:p>
    <w:p w14:paraId="3709567B" w14:textId="77777777" w:rsidR="00975984" w:rsidRDefault="00975984" w:rsidP="00975984">
      <w:pPr>
        <w:spacing w:line="360" w:lineRule="auto"/>
        <w:jc w:val="both"/>
        <w:rPr>
          <w:rFonts w:ascii="Times New Roman" w:hAnsi="Times New Roman" w:cs="Times New Roman"/>
        </w:rPr>
      </w:pPr>
      <w:r w:rsidRPr="00723559">
        <w:rPr>
          <w:rFonts w:ascii="Times New Roman" w:hAnsi="Times New Roman" w:cs="Times New Roman"/>
        </w:rPr>
        <w:t xml:space="preserve">In addition, the dashboard was enhanced to display the results of the LSTM model on a market-wise basis as well as to provide 7-day, 15-day, and 30-day LSTM-based future forecasting scenarios. In this case, to demonstrate the report, </w:t>
      </w:r>
      <w:proofErr w:type="spellStart"/>
      <w:r w:rsidRPr="00723559">
        <w:rPr>
          <w:rFonts w:ascii="Times New Roman" w:hAnsi="Times New Roman" w:cs="Times New Roman"/>
        </w:rPr>
        <w:t>Amarawati</w:t>
      </w:r>
      <w:proofErr w:type="spellEnd"/>
      <w:r w:rsidRPr="00723559">
        <w:rPr>
          <w:rFonts w:ascii="Times New Roman" w:hAnsi="Times New Roman" w:cs="Times New Roman"/>
        </w:rPr>
        <w:t xml:space="preserve"> APMC was chosen due to its balanced LSTM results. This additional information provided by the dashboard is supposed to demonstrate that LSTM could help with the forecasting in certain markets; however, it is supposed to be used as a part of the scenario.</w:t>
      </w:r>
    </w:p>
    <w:p w14:paraId="7C477C8E" w14:textId="77777777" w:rsidR="00975984" w:rsidRDefault="00975984" w:rsidP="00975984">
      <w:pPr>
        <w:spacing w:line="360" w:lineRule="auto"/>
        <w:jc w:val="both"/>
        <w:rPr>
          <w:rFonts w:ascii="Times New Roman" w:hAnsi="Times New Roman" w:cs="Times New Roman"/>
        </w:rPr>
      </w:pPr>
      <w:r w:rsidRPr="00723559">
        <w:rPr>
          <w:rFonts w:ascii="Times New Roman" w:hAnsi="Times New Roman" w:cs="Times New Roman"/>
        </w:rPr>
        <w:t xml:space="preserve">In summary, the project enabled me to see the entire cycle of developing a forecasting system based on data from the market: cleaning, feature creation, </w:t>
      </w:r>
      <w:proofErr w:type="spellStart"/>
      <w:r w:rsidRPr="00723559">
        <w:rPr>
          <w:rFonts w:ascii="Times New Roman" w:hAnsi="Times New Roman" w:cs="Times New Roman"/>
        </w:rPr>
        <w:t>modeling</w:t>
      </w:r>
      <w:proofErr w:type="spellEnd"/>
      <w:r w:rsidRPr="00723559">
        <w:rPr>
          <w:rFonts w:ascii="Times New Roman" w:hAnsi="Times New Roman" w:cs="Times New Roman"/>
        </w:rPr>
        <w:t xml:space="preserve">, chronological testing, explaining the models, and communicating using dashboards. The project also taught me that when forecasting agricultural prices, we must evaluate our model not based on just one </w:t>
      </w:r>
      <w:r w:rsidRPr="00723559">
        <w:rPr>
          <w:rFonts w:ascii="Times New Roman" w:hAnsi="Times New Roman" w:cs="Times New Roman"/>
        </w:rPr>
        <w:lastRenderedPageBreak/>
        <w:t>measure, but based on the whole picture of MAE, RMSE, percentage errors, R2, residuals, and explainability.</w:t>
      </w:r>
    </w:p>
    <w:p w14:paraId="5D82458D" w14:textId="77777777" w:rsidR="00975984" w:rsidRPr="00723559" w:rsidRDefault="00975984" w:rsidP="00975984">
      <w:pPr>
        <w:spacing w:line="360" w:lineRule="auto"/>
        <w:jc w:val="both"/>
        <w:rPr>
          <w:rFonts w:ascii="Times New Roman" w:hAnsi="Times New Roman" w:cs="Times New Roman"/>
        </w:rPr>
      </w:pPr>
      <w:r>
        <w:rPr>
          <w:rFonts w:ascii="Times New Roman" w:hAnsi="Times New Roman" w:cs="Times New Roman"/>
          <w:b/>
          <w:bCs/>
          <w:color w:val="000000" w:themeColor="text1"/>
          <w:sz w:val="28"/>
          <w:szCs w:val="28"/>
        </w:rPr>
        <w:t>Chapter 1: Introduction</w:t>
      </w:r>
    </w:p>
    <w:p w14:paraId="69B316B3" w14:textId="77777777" w:rsidR="00975984" w:rsidRPr="00295436" w:rsidRDefault="00975984" w:rsidP="00975984">
      <w:pPr>
        <w:pStyle w:val="Heading2"/>
        <w:spacing w:line="360" w:lineRule="auto"/>
        <w:jc w:val="both"/>
        <w:rPr>
          <w:rFonts w:ascii="Times New Roman" w:hAnsi="Times New Roman" w:cs="Times New Roman"/>
          <w:b w:val="0"/>
          <w:bCs w:val="0"/>
          <w:color w:val="000000" w:themeColor="text1"/>
        </w:rPr>
      </w:pPr>
      <w:r w:rsidRPr="00295436">
        <w:rPr>
          <w:rFonts w:ascii="Times New Roman" w:hAnsi="Times New Roman" w:cs="Times New Roman"/>
          <w:color w:val="000000" w:themeColor="text1"/>
        </w:rPr>
        <w:t>1.1 Introduction</w:t>
      </w:r>
    </w:p>
    <w:p w14:paraId="167AC11F" w14:textId="77777777" w:rsidR="00975984" w:rsidRPr="00975984"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975984">
        <w:rPr>
          <w:rFonts w:ascii="Times New Roman" w:hAnsi="Times New Roman" w:cs="Times New Roman"/>
          <w:b w:val="0"/>
          <w:bCs w:val="0"/>
          <w:color w:val="000000" w:themeColor="text1"/>
          <w:sz w:val="24"/>
          <w:szCs w:val="24"/>
        </w:rPr>
        <w:t>Agriculture-based employment is one of the major sources of income for Indians, and the stability of markets is of great importance for the economic condition of farmers and market players. As far as horticulture is concerned, one of the most curious products is a mango, whose cost is determined by its ripeness, the demand in this area, the conditions of transportation, and trading traditions. The specifics of all these factors differ from one market to another, that is why the costs of mangoes differ much among markets and even within the time period [11], [12].</w:t>
      </w:r>
    </w:p>
    <w:p w14:paraId="7E4F91E8" w14:textId="77777777" w:rsidR="00975984" w:rsidRPr="00975984"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975984">
        <w:rPr>
          <w:rFonts w:ascii="Times New Roman" w:hAnsi="Times New Roman" w:cs="Times New Roman"/>
          <w:b w:val="0"/>
          <w:bCs w:val="0"/>
          <w:color w:val="000000" w:themeColor="text1"/>
          <w:sz w:val="24"/>
          <w:szCs w:val="24"/>
        </w:rPr>
        <w:t xml:space="preserve">The structure of markets in Maharashtra is presented by the APMC (Agricultural Produce Market Committee), which is a market structure providing the possibility of purchase of mangoes by buyers and wholesalers. The information gathered through markets presents the data about the number of arrivals and min, max, and median prices on the day of reporting. While these statistics present the outcomes of work in markets, they do not give any predictability of prices. All the markets have different periods of reporting, history depth, and price levels. It should be considered when dealing with this kind of data, especially since the </w:t>
      </w:r>
      <w:proofErr w:type="spellStart"/>
      <w:r w:rsidRPr="00975984">
        <w:rPr>
          <w:rFonts w:ascii="Times New Roman" w:hAnsi="Times New Roman" w:cs="Times New Roman"/>
          <w:b w:val="0"/>
          <w:bCs w:val="0"/>
          <w:color w:val="000000" w:themeColor="text1"/>
          <w:sz w:val="24"/>
          <w:szCs w:val="24"/>
        </w:rPr>
        <w:t>behavior</w:t>
      </w:r>
      <w:proofErr w:type="spellEnd"/>
      <w:r w:rsidRPr="00975984">
        <w:rPr>
          <w:rFonts w:ascii="Times New Roman" w:hAnsi="Times New Roman" w:cs="Times New Roman"/>
          <w:b w:val="0"/>
          <w:bCs w:val="0"/>
          <w:color w:val="000000" w:themeColor="text1"/>
          <w:sz w:val="24"/>
          <w:szCs w:val="24"/>
        </w:rPr>
        <w:t xml:space="preserve"> of arrivals may contain useful signals for agricultural price </w:t>
      </w:r>
      <w:proofErr w:type="spellStart"/>
      <w:r w:rsidRPr="00975984">
        <w:rPr>
          <w:rFonts w:ascii="Times New Roman" w:hAnsi="Times New Roman" w:cs="Times New Roman"/>
          <w:b w:val="0"/>
          <w:bCs w:val="0"/>
          <w:color w:val="000000" w:themeColor="text1"/>
          <w:sz w:val="24"/>
          <w:szCs w:val="24"/>
        </w:rPr>
        <w:t>modeling</w:t>
      </w:r>
      <w:proofErr w:type="spellEnd"/>
      <w:r w:rsidRPr="00975984">
        <w:rPr>
          <w:rFonts w:ascii="Times New Roman" w:hAnsi="Times New Roman" w:cs="Times New Roman"/>
          <w:b w:val="0"/>
          <w:bCs w:val="0"/>
          <w:color w:val="000000" w:themeColor="text1"/>
          <w:sz w:val="24"/>
          <w:szCs w:val="24"/>
        </w:rPr>
        <w:t xml:space="preserve"> [18].</w:t>
      </w:r>
    </w:p>
    <w:p w14:paraId="4D9D74B4" w14:textId="77777777" w:rsidR="00975984" w:rsidRPr="00975984" w:rsidRDefault="00975984" w:rsidP="00975984">
      <w:pPr>
        <w:spacing w:line="360" w:lineRule="auto"/>
        <w:jc w:val="both"/>
        <w:rPr>
          <w:rFonts w:ascii="Times New Roman" w:hAnsi="Times New Roman" w:cs="Times New Roman"/>
        </w:rPr>
      </w:pPr>
      <w:r w:rsidRPr="00975984">
        <w:rPr>
          <w:rFonts w:ascii="Times New Roman" w:hAnsi="Times New Roman" w:cs="Times New Roman"/>
        </w:rPr>
        <w:t>The project aims at solving the problem of predicting the next observed modal price of mangoes in each of the APMC markets using data that was already available prior to the observation. The application of machine learning is highly appropriate in this case as machine learning can learn multiple features simultaneously in the presence of non-linear dynamics. The fundamental concept of the project lies in the focus on both the precision of prediction and the rigour of evaluation [2], [3].</w:t>
      </w:r>
    </w:p>
    <w:p w14:paraId="2C930E4F" w14:textId="77777777" w:rsidR="00975984" w:rsidRPr="00975984" w:rsidRDefault="00975984" w:rsidP="00975984">
      <w:pPr>
        <w:spacing w:line="360" w:lineRule="auto"/>
        <w:jc w:val="both"/>
        <w:rPr>
          <w:rFonts w:ascii="Times New Roman" w:hAnsi="Times New Roman" w:cs="Times New Roman"/>
        </w:rPr>
      </w:pPr>
      <w:r w:rsidRPr="00975984">
        <w:rPr>
          <w:rFonts w:ascii="Times New Roman" w:hAnsi="Times New Roman" w:cs="Times New Roman"/>
        </w:rPr>
        <w:t xml:space="preserve">Price forecasting is important not just from a technical perspective in the agricultural market context; but farmers, traders, wholesalers, and market committees rely on accurate price information for their decisions regarding harvesting, transportation, storing, and selling their crops. For mangoes, in particular, it becomes even more relevant as the product is seasonal and the timing of its arrival at the market is very crucial. Even a slight delay in its arrival, an increase in supply or any change in the demand can impact the modal price at the APMC market. The </w:t>
      </w:r>
      <w:r w:rsidRPr="00975984">
        <w:rPr>
          <w:rFonts w:ascii="Times New Roman" w:hAnsi="Times New Roman" w:cs="Times New Roman"/>
        </w:rPr>
        <w:lastRenderedPageBreak/>
        <w:t>literature on forecasting agricultural commodities through machine learning reveals that machine learning can prove helpful in such scenarios but the results would depend heavily on the data structure [11], [12].</w:t>
      </w:r>
    </w:p>
    <w:p w14:paraId="2098BC46" w14:textId="77777777" w:rsidR="00975984" w:rsidRPr="00975984"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975984">
        <w:rPr>
          <w:rFonts w:ascii="Times New Roman" w:hAnsi="Times New Roman" w:cs="Times New Roman"/>
          <w:b w:val="0"/>
          <w:bCs w:val="0"/>
          <w:color w:val="000000" w:themeColor="text1"/>
          <w:sz w:val="24"/>
          <w:szCs w:val="24"/>
        </w:rPr>
        <w:t>However, the dataset taken for this project, consisting of the APMC Market reports from Maharashtra, is the actual market data and not an ideal experimental dataset. It may be less ideal than an experimental data set in many ways, but it will be more practical and challenging. Some markets make frequent entries, while some other markets have large gaps between the entries. There may be some markets where the price moves steadily, while there are some other markets with drastic spikes owing to seasonality, quality differences, local demands, and supply problems. Therefore, the project will not take all the data points to be the same daily time series.</w:t>
      </w:r>
    </w:p>
    <w:p w14:paraId="1E7B9F86" w14:textId="77777777" w:rsidR="00975984" w:rsidRPr="00975984" w:rsidRDefault="00975984" w:rsidP="00975984">
      <w:pPr>
        <w:spacing w:line="360" w:lineRule="auto"/>
        <w:jc w:val="both"/>
        <w:rPr>
          <w:rFonts w:ascii="Times New Roman" w:eastAsiaTheme="majorEastAsia" w:hAnsi="Times New Roman" w:cs="Times New Roman"/>
          <w:color w:val="000000" w:themeColor="text1"/>
        </w:rPr>
      </w:pPr>
      <w:r w:rsidRPr="00975984">
        <w:rPr>
          <w:rFonts w:ascii="Times New Roman" w:eastAsiaTheme="majorEastAsia" w:hAnsi="Times New Roman" w:cs="Times New Roman"/>
          <w:color w:val="000000" w:themeColor="text1"/>
        </w:rPr>
        <w:t>One of the problems that must be addressed when forecasting prices is data leakage. When using future values to construct features and select models, the achieved accuracy will seem much higher than it is actually going to be in practice. In order not to deal with this problem, the current study uses the leakage-proof approach. The lag features, rolling statistics, arrival statistics, and calendar features are computed based on the previous observations only. Also, the data are divided into train and test sets chronologically, which ensures that the test set stays untouched while building the model. Time-aware validation is critical for forecasting tasks as random division may lead to incorrect results [2], [3].</w:t>
      </w:r>
    </w:p>
    <w:p w14:paraId="07A3A635" w14:textId="77777777" w:rsidR="00975984" w:rsidRPr="00975984" w:rsidRDefault="00975984" w:rsidP="00975984">
      <w:pPr>
        <w:spacing w:line="360" w:lineRule="auto"/>
        <w:jc w:val="both"/>
        <w:rPr>
          <w:rFonts w:ascii="Times New Roman" w:eastAsiaTheme="majorEastAsia" w:hAnsi="Times New Roman" w:cs="Times New Roman"/>
          <w:color w:val="000000" w:themeColor="text1"/>
        </w:rPr>
      </w:pPr>
      <w:r w:rsidRPr="00975984">
        <w:rPr>
          <w:rFonts w:ascii="Times New Roman" w:eastAsiaTheme="majorEastAsia" w:hAnsi="Times New Roman" w:cs="Times New Roman"/>
          <w:color w:val="000000" w:themeColor="text1"/>
        </w:rPr>
        <w:t xml:space="preserve">The modelling component of the project adopts multiple modelling techniques instead of using just one type of algorithm. The Gradient Boosting, Random Forest and </w:t>
      </w:r>
      <w:proofErr w:type="spellStart"/>
      <w:r w:rsidRPr="00975984">
        <w:rPr>
          <w:rFonts w:ascii="Times New Roman" w:eastAsiaTheme="majorEastAsia" w:hAnsi="Times New Roman" w:cs="Times New Roman"/>
          <w:color w:val="000000" w:themeColor="text1"/>
        </w:rPr>
        <w:t>XGBoost</w:t>
      </w:r>
      <w:proofErr w:type="spellEnd"/>
      <w:r w:rsidRPr="00975984">
        <w:rPr>
          <w:rFonts w:ascii="Times New Roman" w:eastAsiaTheme="majorEastAsia" w:hAnsi="Times New Roman" w:cs="Times New Roman"/>
          <w:color w:val="000000" w:themeColor="text1"/>
        </w:rPr>
        <w:t xml:space="preserve"> models were used since tree-based models tend to perform well with tabular data exhibiting non-linearity [4]-[6]. In addition, the models will be able to capture the interaction effects of price history, arrival amount and seasonality among other market-related factors. The inclusion of a persistence benchmark is because in agricultural forecasting in the short term, the last known price is often hard to beat. Therefore, inclusion of the benchmark makes for an honest comparison without the project overstating its improvement.</w:t>
      </w:r>
    </w:p>
    <w:p w14:paraId="2C2C0085" w14:textId="77777777" w:rsidR="00975984" w:rsidRPr="00975984" w:rsidRDefault="00975984" w:rsidP="00975984">
      <w:pPr>
        <w:spacing w:line="360" w:lineRule="auto"/>
        <w:jc w:val="both"/>
        <w:rPr>
          <w:rFonts w:ascii="Times New Roman" w:eastAsiaTheme="majorEastAsia" w:hAnsi="Times New Roman" w:cs="Times New Roman"/>
          <w:color w:val="000000" w:themeColor="text1"/>
        </w:rPr>
      </w:pPr>
      <w:r w:rsidRPr="00975984">
        <w:rPr>
          <w:rFonts w:ascii="Times New Roman" w:eastAsiaTheme="majorEastAsia" w:hAnsi="Times New Roman" w:cs="Times New Roman"/>
          <w:color w:val="000000" w:themeColor="text1"/>
        </w:rPr>
        <w:t xml:space="preserve">A subsequent development of this project included LSTM or sequence-learning benchmark. LSTM is an algorithm designed for learning from ordered data; it is commonly used in sequence modelling problems [7]. In this case, however, there is no ordering in the dataset: the data on markets is unstructured and each individual market has too small </w:t>
      </w:r>
      <w:proofErr w:type="gramStart"/>
      <w:r w:rsidRPr="00975984">
        <w:rPr>
          <w:rFonts w:ascii="Times New Roman" w:eastAsiaTheme="majorEastAsia" w:hAnsi="Times New Roman" w:cs="Times New Roman"/>
          <w:color w:val="000000" w:themeColor="text1"/>
        </w:rPr>
        <w:t>amount</w:t>
      </w:r>
      <w:proofErr w:type="gramEnd"/>
      <w:r w:rsidRPr="00975984">
        <w:rPr>
          <w:rFonts w:ascii="Times New Roman" w:eastAsiaTheme="majorEastAsia" w:hAnsi="Times New Roman" w:cs="Times New Roman"/>
          <w:color w:val="000000" w:themeColor="text1"/>
        </w:rPr>
        <w:t xml:space="preserve"> of records. Consequently, the proposed LSTM is not supposed to replace the hybrid model as a universal solution. On the contrary, LSTM serves as a benchmark to investigate whether short sequence </w:t>
      </w:r>
      <w:r w:rsidRPr="00975984">
        <w:rPr>
          <w:rFonts w:ascii="Times New Roman" w:eastAsiaTheme="majorEastAsia" w:hAnsi="Times New Roman" w:cs="Times New Roman"/>
          <w:color w:val="000000" w:themeColor="text1"/>
        </w:rPr>
        <w:lastRenderedPageBreak/>
        <w:t xml:space="preserve">of previous reports helps to predict future values of selected markets. The results have proven that the careful contribution of LSTM into the hybrid model is beneficial only for selected markets, for example </w:t>
      </w:r>
      <w:proofErr w:type="spellStart"/>
      <w:r w:rsidRPr="00975984">
        <w:rPr>
          <w:rFonts w:ascii="Times New Roman" w:eastAsiaTheme="majorEastAsia" w:hAnsi="Times New Roman" w:cs="Times New Roman"/>
          <w:color w:val="000000" w:themeColor="text1"/>
        </w:rPr>
        <w:t>Amarawati</w:t>
      </w:r>
      <w:proofErr w:type="spellEnd"/>
      <w:r w:rsidRPr="00975984">
        <w:rPr>
          <w:rFonts w:ascii="Times New Roman" w:eastAsiaTheme="majorEastAsia" w:hAnsi="Times New Roman" w:cs="Times New Roman"/>
          <w:color w:val="000000" w:themeColor="text1"/>
        </w:rPr>
        <w:t>, whereas other markets benefit from persistence or hybrid tree-based models. This result is quite natural when it comes to agriculture forecasting, where deep learning does not always exceed simpler and ensemble methods in their performance [14], [15].</w:t>
      </w:r>
    </w:p>
    <w:p w14:paraId="2F1CA9D0" w14:textId="77777777" w:rsidR="00975984" w:rsidRPr="00975984"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975984">
        <w:rPr>
          <w:rFonts w:ascii="Times New Roman" w:hAnsi="Times New Roman" w:cs="Times New Roman"/>
          <w:b w:val="0"/>
          <w:bCs w:val="0"/>
          <w:color w:val="000000" w:themeColor="text1"/>
          <w:sz w:val="24"/>
          <w:szCs w:val="24"/>
        </w:rPr>
        <w:t xml:space="preserve">Another key aspect of this research is explainability. A price prediction system is supposed to deliver not only a prediction value but also insights into why that value has been predicted. For this purpose, the SHAP method has been applied to </w:t>
      </w:r>
      <w:proofErr w:type="spellStart"/>
      <w:r w:rsidRPr="00975984">
        <w:rPr>
          <w:rFonts w:ascii="Times New Roman" w:hAnsi="Times New Roman" w:cs="Times New Roman"/>
          <w:b w:val="0"/>
          <w:bCs w:val="0"/>
          <w:color w:val="000000" w:themeColor="text1"/>
          <w:sz w:val="24"/>
          <w:szCs w:val="24"/>
        </w:rPr>
        <w:t>analyze</w:t>
      </w:r>
      <w:proofErr w:type="spellEnd"/>
      <w:r w:rsidRPr="00975984">
        <w:rPr>
          <w:rFonts w:ascii="Times New Roman" w:hAnsi="Times New Roman" w:cs="Times New Roman"/>
          <w:b w:val="0"/>
          <w:bCs w:val="0"/>
          <w:color w:val="000000" w:themeColor="text1"/>
          <w:sz w:val="24"/>
          <w:szCs w:val="24"/>
        </w:rPr>
        <w:t xml:space="preserve"> the </w:t>
      </w:r>
      <w:proofErr w:type="spellStart"/>
      <w:r w:rsidRPr="00975984">
        <w:rPr>
          <w:rFonts w:ascii="Times New Roman" w:hAnsi="Times New Roman" w:cs="Times New Roman"/>
          <w:b w:val="0"/>
          <w:bCs w:val="0"/>
          <w:color w:val="000000" w:themeColor="text1"/>
          <w:sz w:val="24"/>
          <w:szCs w:val="24"/>
        </w:rPr>
        <w:t>XGBoost</w:t>
      </w:r>
      <w:proofErr w:type="spellEnd"/>
      <w:r w:rsidRPr="00975984">
        <w:rPr>
          <w:rFonts w:ascii="Times New Roman" w:hAnsi="Times New Roman" w:cs="Times New Roman"/>
          <w:b w:val="0"/>
          <w:bCs w:val="0"/>
          <w:color w:val="000000" w:themeColor="text1"/>
          <w:sz w:val="24"/>
          <w:szCs w:val="24"/>
        </w:rPr>
        <w:t xml:space="preserve"> model component and determine the most influential features [9]. The use of explainable models becomes crucial in an agricultural context where users would be more likely to trust predictions that consider recent </w:t>
      </w:r>
      <w:proofErr w:type="spellStart"/>
      <w:r w:rsidRPr="00975984">
        <w:rPr>
          <w:rFonts w:ascii="Times New Roman" w:hAnsi="Times New Roman" w:cs="Times New Roman"/>
          <w:b w:val="0"/>
          <w:bCs w:val="0"/>
          <w:color w:val="000000" w:themeColor="text1"/>
          <w:sz w:val="24"/>
          <w:szCs w:val="24"/>
        </w:rPr>
        <w:t>behavior</w:t>
      </w:r>
      <w:proofErr w:type="spellEnd"/>
      <w:r w:rsidRPr="00975984">
        <w:rPr>
          <w:rFonts w:ascii="Times New Roman" w:hAnsi="Times New Roman" w:cs="Times New Roman"/>
          <w:b w:val="0"/>
          <w:bCs w:val="0"/>
          <w:color w:val="000000" w:themeColor="text1"/>
          <w:sz w:val="24"/>
          <w:szCs w:val="24"/>
        </w:rPr>
        <w:t xml:space="preserve"> of the price, movements in arrivals, and seasons [16]. The final </w:t>
      </w:r>
      <w:proofErr w:type="spellStart"/>
      <w:r w:rsidRPr="00975984">
        <w:rPr>
          <w:rFonts w:ascii="Times New Roman" w:hAnsi="Times New Roman" w:cs="Times New Roman"/>
          <w:b w:val="0"/>
          <w:bCs w:val="0"/>
          <w:color w:val="000000" w:themeColor="text1"/>
          <w:sz w:val="24"/>
          <w:szCs w:val="24"/>
        </w:rPr>
        <w:t>Streamlit</w:t>
      </w:r>
      <w:proofErr w:type="spellEnd"/>
      <w:r w:rsidRPr="00975984">
        <w:rPr>
          <w:rFonts w:ascii="Times New Roman" w:hAnsi="Times New Roman" w:cs="Times New Roman"/>
          <w:b w:val="0"/>
          <w:bCs w:val="0"/>
          <w:color w:val="000000" w:themeColor="text1"/>
          <w:sz w:val="24"/>
          <w:szCs w:val="24"/>
        </w:rPr>
        <w:t xml:space="preserve"> dashboard combines all these aspects with data exploration, forecasting, comparison of models, LSTM benchmarking, and explanation.</w:t>
      </w:r>
    </w:p>
    <w:p w14:paraId="79AB4C94" w14:textId="77777777" w:rsidR="00975984" w:rsidRPr="00975984" w:rsidRDefault="00975984" w:rsidP="00975984">
      <w:pPr>
        <w:spacing w:before="80" w:after="80" w:line="360" w:lineRule="auto"/>
        <w:jc w:val="both"/>
        <w:rPr>
          <w:rFonts w:ascii="Times New Roman" w:hAnsi="Times New Roman" w:cs="Times New Roman"/>
        </w:rPr>
      </w:pPr>
      <w:r w:rsidRPr="00975984">
        <w:rPr>
          <w:rFonts w:ascii="Times New Roman" w:hAnsi="Times New Roman" w:cs="Times New Roman"/>
        </w:rPr>
        <w:t xml:space="preserve">Keywords: mango price forecasting, Maharashtra APMC, machine learning, gradient boosting, </w:t>
      </w:r>
      <w:proofErr w:type="spellStart"/>
      <w:r w:rsidRPr="00975984">
        <w:rPr>
          <w:rFonts w:ascii="Times New Roman" w:hAnsi="Times New Roman" w:cs="Times New Roman"/>
        </w:rPr>
        <w:t>XGBoost</w:t>
      </w:r>
      <w:proofErr w:type="spellEnd"/>
      <w:r w:rsidRPr="00975984">
        <w:rPr>
          <w:rFonts w:ascii="Times New Roman" w:hAnsi="Times New Roman" w:cs="Times New Roman"/>
        </w:rPr>
        <w:t xml:space="preserve">, SHAP explainability, leakage-safe feature engineering, LSTM, agricultural price prediction, ensemble model, </w:t>
      </w:r>
      <w:proofErr w:type="spellStart"/>
      <w:r w:rsidRPr="00975984">
        <w:rPr>
          <w:rFonts w:ascii="Times New Roman" w:hAnsi="Times New Roman" w:cs="Times New Roman"/>
        </w:rPr>
        <w:t>Streamlit</w:t>
      </w:r>
      <w:proofErr w:type="spellEnd"/>
      <w:r w:rsidRPr="00975984">
        <w:rPr>
          <w:rFonts w:ascii="Times New Roman" w:hAnsi="Times New Roman" w:cs="Times New Roman"/>
        </w:rPr>
        <w:t xml:space="preserve"> dashboard</w:t>
      </w:r>
    </w:p>
    <w:p w14:paraId="3BA5B690" w14:textId="77777777" w:rsidR="00975984" w:rsidRPr="00975984" w:rsidRDefault="00975984" w:rsidP="00975984">
      <w:pPr>
        <w:pStyle w:val="Heading2"/>
        <w:spacing w:line="360" w:lineRule="auto"/>
        <w:jc w:val="both"/>
        <w:rPr>
          <w:rFonts w:ascii="Times New Roman" w:hAnsi="Times New Roman" w:cs="Times New Roman"/>
          <w:b w:val="0"/>
          <w:bCs w:val="0"/>
          <w:color w:val="000000" w:themeColor="text1"/>
        </w:rPr>
      </w:pPr>
      <w:r w:rsidRPr="00975984">
        <w:rPr>
          <w:rFonts w:ascii="Times New Roman" w:hAnsi="Times New Roman" w:cs="Times New Roman"/>
          <w:b w:val="0"/>
          <w:bCs w:val="0"/>
          <w:color w:val="000000" w:themeColor="text1"/>
        </w:rPr>
        <w:t>1.2 Problem Statement</w:t>
      </w:r>
    </w:p>
    <w:p w14:paraId="5F598242" w14:textId="77777777" w:rsidR="00975984" w:rsidRPr="00975984" w:rsidRDefault="00975984" w:rsidP="00975984">
      <w:pPr>
        <w:spacing w:line="360" w:lineRule="auto"/>
        <w:jc w:val="both"/>
        <w:rPr>
          <w:rFonts w:ascii="Times New Roman" w:hAnsi="Times New Roman" w:cs="Times New Roman"/>
          <w:color w:val="000000" w:themeColor="text1"/>
        </w:rPr>
      </w:pPr>
      <w:r w:rsidRPr="00975984">
        <w:rPr>
          <w:rFonts w:ascii="Times New Roman" w:hAnsi="Times New Roman" w:cs="Times New Roman"/>
          <w:color w:val="000000" w:themeColor="text1"/>
        </w:rPr>
        <w:t>Agricultural commodity prices are subject to change based on seasonality, weather, demand, logistics, and market fluctuations within various regions. As a seasonal fruit, mango prices can be particularly sensitive to such influences. Such fluctuations in prices pose a problem for producers and buyers in making decisions regarding where and how to sell without proper knowledge of future price movements.</w:t>
      </w:r>
    </w:p>
    <w:p w14:paraId="07E716EA" w14:textId="77777777" w:rsidR="00975984" w:rsidRPr="00975984" w:rsidRDefault="00975984" w:rsidP="00975984">
      <w:pPr>
        <w:spacing w:line="360" w:lineRule="auto"/>
        <w:jc w:val="both"/>
        <w:rPr>
          <w:rFonts w:ascii="Times New Roman" w:hAnsi="Times New Roman" w:cs="Times New Roman"/>
          <w:color w:val="000000" w:themeColor="text1"/>
        </w:rPr>
      </w:pPr>
      <w:r w:rsidRPr="00975984">
        <w:rPr>
          <w:rFonts w:ascii="Times New Roman" w:hAnsi="Times New Roman" w:cs="Times New Roman"/>
          <w:color w:val="000000" w:themeColor="text1"/>
        </w:rPr>
        <w:t>The particular issue that is being addressed is the prediction of the next observation of modal price of mango at the Maharashtra APMC markets solely based on historical data. Since price data are ordered in time, it is important that the approach to building a predictive model is done carefully in order to avoid leaking future prices into the training process and hence produce overfitted models that will not work under real-world circumstances.</w:t>
      </w:r>
    </w:p>
    <w:p w14:paraId="170C0CD3" w14:textId="77777777" w:rsidR="00975984" w:rsidRDefault="00975984" w:rsidP="00975984">
      <w:pPr>
        <w:pStyle w:val="Heading2"/>
        <w:spacing w:line="360" w:lineRule="auto"/>
        <w:jc w:val="both"/>
        <w:rPr>
          <w:rFonts w:ascii="Times New Roman" w:hAnsi="Times New Roman" w:cs="Times New Roman"/>
          <w:color w:val="000000" w:themeColor="text1"/>
        </w:rPr>
      </w:pPr>
    </w:p>
    <w:p w14:paraId="7EFF6149" w14:textId="77777777" w:rsidR="00975984" w:rsidRDefault="00975984" w:rsidP="00975984">
      <w:pPr>
        <w:pStyle w:val="Heading2"/>
        <w:spacing w:line="360" w:lineRule="auto"/>
        <w:jc w:val="both"/>
        <w:rPr>
          <w:rFonts w:ascii="Times New Roman" w:hAnsi="Times New Roman" w:cs="Times New Roman"/>
          <w:color w:val="000000" w:themeColor="text1"/>
        </w:rPr>
      </w:pPr>
    </w:p>
    <w:p w14:paraId="4766C8ED" w14:textId="4454A9B5" w:rsidR="00975984" w:rsidRPr="00295436" w:rsidRDefault="00975984" w:rsidP="00975984">
      <w:pPr>
        <w:pStyle w:val="Heading2"/>
        <w:spacing w:line="360" w:lineRule="auto"/>
        <w:jc w:val="both"/>
        <w:rPr>
          <w:rFonts w:ascii="Times New Roman" w:hAnsi="Times New Roman" w:cs="Times New Roman"/>
          <w:b w:val="0"/>
          <w:bCs w:val="0"/>
          <w:color w:val="000000" w:themeColor="text1"/>
        </w:rPr>
      </w:pPr>
      <w:r w:rsidRPr="00295436">
        <w:rPr>
          <w:rFonts w:ascii="Times New Roman" w:hAnsi="Times New Roman" w:cs="Times New Roman"/>
          <w:color w:val="000000" w:themeColor="text1"/>
        </w:rPr>
        <w:lastRenderedPageBreak/>
        <w:t>1.3 Objectives</w:t>
      </w:r>
    </w:p>
    <w:p w14:paraId="4D371599"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The project was designed to achieve the following:</w:t>
      </w:r>
    </w:p>
    <w:p w14:paraId="55445ED4"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Examine historical mango price patterns in Maharashtra APMC markets.</w:t>
      </w:r>
    </w:p>
    <w:p w14:paraId="3AF6D976"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Preprocess the raw data to address quality issues and prepare it for analysis.</w:t>
      </w:r>
    </w:p>
    <w:p w14:paraId="2B0153AB"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Conduct exploratory data analysis to characterise seasonal trends, market-level variation, reporting patterns, and price distribution.</w:t>
      </w:r>
    </w:p>
    <w:p w14:paraId="6CF38BC1"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Build a machine learning-based forecasting system for next-observation modal price prediction.</w:t>
      </w:r>
    </w:p>
    <w:p w14:paraId="564553A3"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Engineer features from historical data only, ensuring no future information enters the training process.</w:t>
      </w:r>
    </w:p>
    <w:p w14:paraId="3CA67D0A"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Compare the performance of multiple machine learning models against a simple persistence baseline.</w:t>
      </w:r>
    </w:p>
    <w:p w14:paraId="5A17C6E4"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 xml:space="preserve">Evaluate models using MAE, RMSE, MAPE, </w:t>
      </w:r>
      <w:proofErr w:type="spellStart"/>
      <w:r w:rsidRPr="00BB3856">
        <w:rPr>
          <w:rFonts w:ascii="Times New Roman" w:hAnsi="Times New Roman" w:cs="Times New Roman"/>
        </w:rPr>
        <w:t>sMAPE</w:t>
      </w:r>
      <w:proofErr w:type="spellEnd"/>
      <w:r w:rsidRPr="00BB3856">
        <w:rPr>
          <w:rFonts w:ascii="Times New Roman" w:hAnsi="Times New Roman" w:cs="Times New Roman"/>
        </w:rPr>
        <w:t>, and R².</w:t>
      </w:r>
    </w:p>
    <w:p w14:paraId="5D3605FF" w14:textId="77777777" w:rsidR="00975984" w:rsidRPr="006D5115" w:rsidRDefault="00975984" w:rsidP="00975984">
      <w:pPr>
        <w:pStyle w:val="ListParagraph"/>
        <w:numPr>
          <w:ilvl w:val="0"/>
          <w:numId w:val="2"/>
        </w:numPr>
        <w:spacing w:before="40" w:after="40" w:line="360" w:lineRule="auto"/>
        <w:jc w:val="both"/>
        <w:rPr>
          <w:rFonts w:ascii="Times New Roman" w:hAnsi="Times New Roman" w:cs="Times New Roman"/>
        </w:rPr>
      </w:pPr>
      <w:r w:rsidRPr="006D5115">
        <w:rPr>
          <w:rFonts w:ascii="Times New Roman" w:hAnsi="Times New Roman" w:cs="Times New Roman"/>
        </w:rPr>
        <w:t>Apply SHAP-based explainability techniques to interpret what drives each prediction.</w:t>
      </w:r>
    </w:p>
    <w:p w14:paraId="7C90FA6C" w14:textId="77777777" w:rsidR="00975984" w:rsidRPr="006D5115" w:rsidRDefault="00975984" w:rsidP="00975984">
      <w:pPr>
        <w:pStyle w:val="ListParagraph"/>
        <w:spacing w:line="360" w:lineRule="auto"/>
        <w:rPr>
          <w:rFonts w:ascii="Times New Roman" w:hAnsi="Times New Roman" w:cs="Times New Roman"/>
        </w:rPr>
      </w:pPr>
      <w:r w:rsidRPr="006D5115">
        <w:rPr>
          <w:rFonts w:ascii="Times New Roman" w:hAnsi="Times New Roman" w:cs="Times New Roman"/>
        </w:rPr>
        <w:t>Evaluate an LSTM/sequence-learning benchmark across eligible high-coverage markets and compare its guarded hybrid contribution with persistence and machine-learning baselines.</w:t>
      </w:r>
    </w:p>
    <w:p w14:paraId="60E40BED" w14:textId="77777777" w:rsidR="00975984" w:rsidRPr="006D5115" w:rsidRDefault="00975984" w:rsidP="00975984">
      <w:pPr>
        <w:pStyle w:val="ListParagraph"/>
        <w:numPr>
          <w:ilvl w:val="0"/>
          <w:numId w:val="2"/>
        </w:numPr>
        <w:spacing w:before="40" w:after="40" w:line="360" w:lineRule="auto"/>
        <w:jc w:val="both"/>
        <w:rPr>
          <w:rFonts w:ascii="Times New Roman" w:hAnsi="Times New Roman" w:cs="Times New Roman"/>
        </w:rPr>
      </w:pPr>
      <w:r w:rsidRPr="006D5115">
        <w:rPr>
          <w:rFonts w:ascii="Times New Roman" w:hAnsi="Times New Roman" w:cs="Times New Roman"/>
        </w:rPr>
        <w:t xml:space="preserve">Develop an interactive </w:t>
      </w:r>
      <w:proofErr w:type="spellStart"/>
      <w:r w:rsidRPr="006D5115">
        <w:rPr>
          <w:rFonts w:ascii="Times New Roman" w:hAnsi="Times New Roman" w:cs="Times New Roman"/>
        </w:rPr>
        <w:t>Streamlit</w:t>
      </w:r>
      <w:proofErr w:type="spellEnd"/>
      <w:r w:rsidRPr="006D5115">
        <w:rPr>
          <w:rFonts w:ascii="Times New Roman" w:hAnsi="Times New Roman" w:cs="Times New Roman"/>
        </w:rPr>
        <w:t xml:space="preserve"> dashboard that brings together market exploration, forecasting, model comparison, and explainability.</w:t>
      </w:r>
    </w:p>
    <w:p w14:paraId="27AA6555" w14:textId="77777777" w:rsidR="00975984" w:rsidRPr="006D5115" w:rsidRDefault="00975984" w:rsidP="00975984">
      <w:pPr>
        <w:spacing w:before="40" w:after="40" w:line="360" w:lineRule="auto"/>
        <w:ind w:left="360"/>
        <w:jc w:val="both"/>
        <w:rPr>
          <w:rFonts w:ascii="Times New Roman" w:hAnsi="Times New Roman" w:cs="Times New Roman"/>
        </w:rPr>
      </w:pPr>
    </w:p>
    <w:p w14:paraId="4EFE2660" w14:textId="77777777" w:rsidR="00975984" w:rsidRPr="00E2606C" w:rsidRDefault="00975984" w:rsidP="00975984">
      <w:pPr>
        <w:spacing w:before="40" w:after="40" w:line="360" w:lineRule="auto"/>
        <w:jc w:val="both"/>
        <w:rPr>
          <w:rFonts w:ascii="Times New Roman" w:hAnsi="Times New Roman" w:cs="Times New Roman"/>
          <w:b/>
          <w:bCs/>
          <w:color w:val="000000" w:themeColor="text1"/>
          <w:sz w:val="28"/>
          <w:szCs w:val="28"/>
        </w:rPr>
      </w:pPr>
    </w:p>
    <w:p w14:paraId="07130912"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004FA300"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0A2CF7F7"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7A3184B6"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58BD3B5C"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6E9B0FB6"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4DB6AA69"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73B44A32"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227AEE6F" w14:textId="77777777" w:rsidR="00975984" w:rsidRDefault="00975984" w:rsidP="00975984">
      <w:pPr>
        <w:spacing w:before="40" w:after="40" w:line="360" w:lineRule="auto"/>
        <w:jc w:val="both"/>
        <w:rPr>
          <w:rFonts w:ascii="Times New Roman" w:hAnsi="Times New Roman" w:cs="Times New Roman"/>
          <w:b/>
          <w:bCs/>
          <w:color w:val="000000" w:themeColor="text1"/>
          <w:sz w:val="28"/>
          <w:szCs w:val="28"/>
        </w:rPr>
      </w:pPr>
    </w:p>
    <w:p w14:paraId="324F02FF" w14:textId="26443A3D" w:rsidR="00975984" w:rsidRPr="00E2606C" w:rsidRDefault="00975984" w:rsidP="00975984">
      <w:pPr>
        <w:spacing w:before="40" w:after="40"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sz w:val="28"/>
          <w:szCs w:val="28"/>
        </w:rPr>
        <w:lastRenderedPageBreak/>
        <w:t>Chapter 2: Literature Review</w:t>
      </w:r>
    </w:p>
    <w:p w14:paraId="1C32D20C"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The literature relevant to this project comes from two closely related streams: forecasting methodology and explainable machine learning for structured data. Because published work that matches the exact combination of Maharashtra APMC mango prices, irregular reporting intervals, and leakage-safe next-report prediction is limited, the present study is positioned primarily against established forecasting and machine-learning foundations.</w:t>
      </w:r>
    </w:p>
    <w:p w14:paraId="64B0CEEE"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Classical forecasting research emphasises that time order must be preserved during evaluation and that forecast quality should be judged through more than one metric. This is particularly important in agricultural price series, where volatility, skewness, and sudden jumps can make one metric look favourable while masking weakness on another.</w:t>
      </w:r>
    </w:p>
    <w:p w14:paraId="6DFF5F9E" w14:textId="77777777" w:rsidR="00975984"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 xml:space="preserve">For model construction, ensemble tree methods such as Gradient Boosting, Random Forest, and </w:t>
      </w:r>
      <w:proofErr w:type="spellStart"/>
      <w:r w:rsidRPr="00BB3856">
        <w:rPr>
          <w:rFonts w:ascii="Times New Roman" w:hAnsi="Times New Roman" w:cs="Times New Roman"/>
        </w:rPr>
        <w:t>XGBoost</w:t>
      </w:r>
      <w:proofErr w:type="spellEnd"/>
      <w:r w:rsidRPr="00BB3856">
        <w:rPr>
          <w:rFonts w:ascii="Times New Roman" w:hAnsi="Times New Roman" w:cs="Times New Roman"/>
        </w:rPr>
        <w:t xml:space="preserve"> are well suited to heterogeneous tabular data because they capture nonlinear relationships without imposing strong parametric assumptions. Deep sequential models such as LSTM and Transformer architectures are also relevant to forecasting research, but they generally benefit from more regular and larger sequential datasets than the one used in this study.</w:t>
      </w:r>
    </w:p>
    <w:p w14:paraId="79042476" w14:textId="77777777" w:rsidR="00975984" w:rsidRPr="00BB3856" w:rsidRDefault="00975984" w:rsidP="00975984">
      <w:pPr>
        <w:spacing w:before="80" w:after="120" w:line="360" w:lineRule="auto"/>
        <w:jc w:val="both"/>
        <w:rPr>
          <w:rFonts w:ascii="Times New Roman" w:hAnsi="Times New Roman" w:cs="Times New Roman"/>
        </w:rPr>
      </w:pPr>
      <w:r w:rsidRPr="00EE64B2">
        <w:rPr>
          <w:rFonts w:ascii="Times New Roman" w:hAnsi="Times New Roman" w:cs="Times New Roman"/>
        </w:rPr>
        <w:t xml:space="preserve">Another example of such a market context could be seen in Tamil Nadu, where agricultural marketing regulations have a high regard for market information, market statistics, research and market surveys [21]. This would be helpful in the current case study since the markets of fruit and vegetables in Tamil Nadu would encounter similar practical problems as those seen in Maharashtra APMC data like seasonality in arrivals, price fluctuations in short term, difference in markets, and the requirement of price information that would be comprehensible to farmers and traders. Therefore, the market context in Tamil Nadu helps justify the decision to </w:t>
      </w:r>
      <w:proofErr w:type="spellStart"/>
      <w:r w:rsidRPr="00EE64B2">
        <w:rPr>
          <w:rFonts w:ascii="Times New Roman" w:hAnsi="Times New Roman" w:cs="Times New Roman"/>
        </w:rPr>
        <w:t>analyze</w:t>
      </w:r>
      <w:proofErr w:type="spellEnd"/>
      <w:r w:rsidRPr="00EE64B2">
        <w:rPr>
          <w:rFonts w:ascii="Times New Roman" w:hAnsi="Times New Roman" w:cs="Times New Roman"/>
        </w:rPr>
        <w:t xml:space="preserve"> models on a market-wise basis rather than expecting one general pattern for all markets of the state. At the same time, it emphasizes the necessity of a </w:t>
      </w:r>
      <w:proofErr w:type="gramStart"/>
      <w:r w:rsidRPr="00EE64B2">
        <w:rPr>
          <w:rFonts w:ascii="Times New Roman" w:hAnsi="Times New Roman" w:cs="Times New Roman"/>
        </w:rPr>
        <w:t>dashboard based</w:t>
      </w:r>
      <w:proofErr w:type="gramEnd"/>
      <w:r w:rsidRPr="00EE64B2">
        <w:rPr>
          <w:rFonts w:ascii="Times New Roman" w:hAnsi="Times New Roman" w:cs="Times New Roman"/>
        </w:rPr>
        <w:t xml:space="preserve"> output since price forecasting is only helpful if one can examine the market and check model errors.</w:t>
      </w:r>
    </w:p>
    <w:tbl>
      <w:tblPr>
        <w:tblStyle w:val="TableGridLight"/>
        <w:tblW w:w="8784" w:type="dxa"/>
        <w:tblLayout w:type="fixed"/>
        <w:tblLook w:val="04A0" w:firstRow="1" w:lastRow="0" w:firstColumn="1" w:lastColumn="0" w:noHBand="0" w:noVBand="1"/>
      </w:tblPr>
      <w:tblGrid>
        <w:gridCol w:w="594"/>
        <w:gridCol w:w="1580"/>
        <w:gridCol w:w="1560"/>
        <w:gridCol w:w="1533"/>
        <w:gridCol w:w="3517"/>
      </w:tblGrid>
      <w:tr w:rsidR="00975984" w:rsidRPr="00BB3856" w14:paraId="48A0688A" w14:textId="77777777" w:rsidTr="004B548A">
        <w:tc>
          <w:tcPr>
            <w:tcW w:w="594" w:type="dxa"/>
          </w:tcPr>
          <w:p w14:paraId="2EF7AAA5"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b/>
                <w:bCs/>
              </w:rPr>
              <w:t>Sr. No.</w:t>
            </w:r>
          </w:p>
        </w:tc>
        <w:tc>
          <w:tcPr>
            <w:tcW w:w="1580" w:type="dxa"/>
          </w:tcPr>
          <w:p w14:paraId="6E5A4572"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b/>
                <w:bCs/>
              </w:rPr>
              <w:t>Author(s) / Year</w:t>
            </w:r>
          </w:p>
        </w:tc>
        <w:tc>
          <w:tcPr>
            <w:tcW w:w="1560" w:type="dxa"/>
          </w:tcPr>
          <w:p w14:paraId="18270786"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b/>
                <w:bCs/>
              </w:rPr>
              <w:t>Domain / Dataset</w:t>
            </w:r>
          </w:p>
        </w:tc>
        <w:tc>
          <w:tcPr>
            <w:tcW w:w="1533" w:type="dxa"/>
          </w:tcPr>
          <w:p w14:paraId="2C5862BE"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b/>
                <w:bCs/>
              </w:rPr>
              <w:t>Method</w:t>
            </w:r>
          </w:p>
        </w:tc>
        <w:tc>
          <w:tcPr>
            <w:tcW w:w="3517" w:type="dxa"/>
          </w:tcPr>
          <w:p w14:paraId="55D0DC4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b/>
                <w:bCs/>
              </w:rPr>
              <w:t>Key Finding</w:t>
            </w:r>
          </w:p>
        </w:tc>
      </w:tr>
      <w:tr w:rsidR="00975984" w:rsidRPr="00BB3856" w14:paraId="40B05A4F" w14:textId="77777777" w:rsidTr="004B548A">
        <w:tc>
          <w:tcPr>
            <w:tcW w:w="594" w:type="dxa"/>
          </w:tcPr>
          <w:p w14:paraId="4CD7458E"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1</w:t>
            </w:r>
          </w:p>
        </w:tc>
        <w:tc>
          <w:tcPr>
            <w:tcW w:w="1580" w:type="dxa"/>
          </w:tcPr>
          <w:p w14:paraId="7994471A"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Kumar et al., 2023</w:t>
            </w:r>
          </w:p>
        </w:tc>
        <w:tc>
          <w:tcPr>
            <w:tcW w:w="1560" w:type="dxa"/>
          </w:tcPr>
          <w:p w14:paraId="4878AD93"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Agricultural commodity price forecasting</w:t>
            </w:r>
          </w:p>
        </w:tc>
        <w:tc>
          <w:tcPr>
            <w:tcW w:w="1533" w:type="dxa"/>
          </w:tcPr>
          <w:p w14:paraId="58A7C76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ML review</w:t>
            </w:r>
          </w:p>
        </w:tc>
        <w:tc>
          <w:tcPr>
            <w:tcW w:w="3517" w:type="dxa"/>
          </w:tcPr>
          <w:p w14:paraId="379A976F"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Surveyed major ML methods, key challenges, and emerging research directions in agricultural price prediction</w:t>
            </w:r>
          </w:p>
        </w:tc>
      </w:tr>
      <w:tr w:rsidR="00975984" w:rsidRPr="00BB3856" w14:paraId="361731D6" w14:textId="77777777" w:rsidTr="004B548A">
        <w:tc>
          <w:tcPr>
            <w:tcW w:w="594" w:type="dxa"/>
          </w:tcPr>
          <w:p w14:paraId="4885727F"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lastRenderedPageBreak/>
              <w:t>2</w:t>
            </w:r>
          </w:p>
        </w:tc>
        <w:tc>
          <w:tcPr>
            <w:tcW w:w="1580" w:type="dxa"/>
          </w:tcPr>
          <w:p w14:paraId="42865E42"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Majumdar et al., 2020</w:t>
            </w:r>
          </w:p>
        </w:tc>
        <w:tc>
          <w:tcPr>
            <w:tcW w:w="1560" w:type="dxa"/>
          </w:tcPr>
          <w:p w14:paraId="37DAE7F0"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Crop price forecasting, emerging economies</w:t>
            </w:r>
          </w:p>
        </w:tc>
        <w:tc>
          <w:tcPr>
            <w:tcW w:w="1533" w:type="dxa"/>
          </w:tcPr>
          <w:p w14:paraId="6400B37C"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Time-series with market and quality factors</w:t>
            </w:r>
          </w:p>
        </w:tc>
        <w:tc>
          <w:tcPr>
            <w:tcW w:w="3517" w:type="dxa"/>
          </w:tcPr>
          <w:p w14:paraId="09F278F6"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Data quality and chronological structure have strong effects on forecast reliability</w:t>
            </w:r>
          </w:p>
        </w:tc>
      </w:tr>
      <w:tr w:rsidR="00975984" w:rsidRPr="00BB3856" w14:paraId="4F379806" w14:textId="77777777" w:rsidTr="004B548A">
        <w:tc>
          <w:tcPr>
            <w:tcW w:w="594" w:type="dxa"/>
          </w:tcPr>
          <w:p w14:paraId="32DFA89F"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3</w:t>
            </w:r>
          </w:p>
        </w:tc>
        <w:tc>
          <w:tcPr>
            <w:tcW w:w="1580" w:type="dxa"/>
          </w:tcPr>
          <w:p w14:paraId="4954B959"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Saha et al., 2023</w:t>
            </w:r>
          </w:p>
        </w:tc>
        <w:tc>
          <w:tcPr>
            <w:tcW w:w="1560" w:type="dxa"/>
          </w:tcPr>
          <w:p w14:paraId="52576026"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Agricultural crop price prediction</w:t>
            </w:r>
          </w:p>
        </w:tc>
        <w:tc>
          <w:tcPr>
            <w:tcW w:w="1533" w:type="dxa"/>
          </w:tcPr>
          <w:p w14:paraId="7D108351"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Deep learning with spatial and temporal inputs</w:t>
            </w:r>
          </w:p>
        </w:tc>
        <w:tc>
          <w:tcPr>
            <w:tcW w:w="3517" w:type="dxa"/>
          </w:tcPr>
          <w:p w14:paraId="7D8AC1BE"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Combining spatial and temporal factors improves crop price prediction</w:t>
            </w:r>
          </w:p>
        </w:tc>
      </w:tr>
      <w:tr w:rsidR="00975984" w:rsidRPr="00BB3856" w14:paraId="28CA1A86" w14:textId="77777777" w:rsidTr="004B548A">
        <w:tc>
          <w:tcPr>
            <w:tcW w:w="594" w:type="dxa"/>
          </w:tcPr>
          <w:p w14:paraId="22CFFDB7"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4</w:t>
            </w:r>
          </w:p>
        </w:tc>
        <w:tc>
          <w:tcPr>
            <w:tcW w:w="1580" w:type="dxa"/>
          </w:tcPr>
          <w:p w14:paraId="20451FA9"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Rahman et al., 2021</w:t>
            </w:r>
          </w:p>
        </w:tc>
        <w:tc>
          <w:tcPr>
            <w:tcW w:w="1560" w:type="dxa"/>
          </w:tcPr>
          <w:p w14:paraId="16DC697E"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Agricultural commodity markets</w:t>
            </w:r>
          </w:p>
        </w:tc>
        <w:tc>
          <w:tcPr>
            <w:tcW w:w="1533" w:type="dxa"/>
          </w:tcPr>
          <w:p w14:paraId="20C7CB1C"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 xml:space="preserve">ARIMA, SVR, Prophet, </w:t>
            </w:r>
            <w:proofErr w:type="spellStart"/>
            <w:r w:rsidRPr="00BB3856">
              <w:rPr>
                <w:rFonts w:ascii="Times New Roman" w:hAnsi="Times New Roman" w:cs="Times New Roman"/>
              </w:rPr>
              <w:t>XGBoost</w:t>
            </w:r>
            <w:proofErr w:type="spellEnd"/>
            <w:r w:rsidRPr="00BB3856">
              <w:rPr>
                <w:rFonts w:ascii="Times New Roman" w:hAnsi="Times New Roman" w:cs="Times New Roman"/>
              </w:rPr>
              <w:t>, LSTM comparison</w:t>
            </w:r>
          </w:p>
        </w:tc>
        <w:tc>
          <w:tcPr>
            <w:tcW w:w="3517" w:type="dxa"/>
          </w:tcPr>
          <w:p w14:paraId="2BC7BDD3"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Comparative evaluation across methods shows no single algorithm universally dominates</w:t>
            </w:r>
          </w:p>
        </w:tc>
      </w:tr>
      <w:tr w:rsidR="00975984" w:rsidRPr="00BB3856" w14:paraId="68F94913" w14:textId="77777777" w:rsidTr="004B548A">
        <w:tc>
          <w:tcPr>
            <w:tcW w:w="594" w:type="dxa"/>
          </w:tcPr>
          <w:p w14:paraId="6C685C78"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5</w:t>
            </w:r>
          </w:p>
        </w:tc>
        <w:tc>
          <w:tcPr>
            <w:tcW w:w="1580" w:type="dxa"/>
          </w:tcPr>
          <w:p w14:paraId="7AB066F8"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Islam et al., 2026</w:t>
            </w:r>
          </w:p>
        </w:tc>
        <w:tc>
          <w:tcPr>
            <w:tcW w:w="1560" w:type="dxa"/>
          </w:tcPr>
          <w:p w14:paraId="5C6B3034"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Bangladeshi agricultural commodities</w:t>
            </w:r>
          </w:p>
        </w:tc>
        <w:tc>
          <w:tcPr>
            <w:tcW w:w="1533" w:type="dxa"/>
          </w:tcPr>
          <w:p w14:paraId="17251B53"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Classical and deep learning benchmark</w:t>
            </w:r>
          </w:p>
        </w:tc>
        <w:tc>
          <w:tcPr>
            <w:tcW w:w="3517" w:type="dxa"/>
          </w:tcPr>
          <w:p w14:paraId="0596103B"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Strong baselines remain competitive against more complex models on noisy price data</w:t>
            </w:r>
          </w:p>
        </w:tc>
      </w:tr>
      <w:tr w:rsidR="00975984" w:rsidRPr="00BB3856" w14:paraId="7FCF741B" w14:textId="77777777" w:rsidTr="004B548A">
        <w:tc>
          <w:tcPr>
            <w:tcW w:w="594" w:type="dxa"/>
          </w:tcPr>
          <w:p w14:paraId="3E754D19"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6</w:t>
            </w:r>
          </w:p>
        </w:tc>
        <w:tc>
          <w:tcPr>
            <w:tcW w:w="1580" w:type="dxa"/>
          </w:tcPr>
          <w:p w14:paraId="351B80D7"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AGRICAF Study, 2024</w:t>
            </w:r>
          </w:p>
        </w:tc>
        <w:tc>
          <w:tcPr>
            <w:tcW w:w="1560" w:type="dxa"/>
          </w:tcPr>
          <w:p w14:paraId="7B2A79E4"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Agricultural commodity forecasting</w:t>
            </w:r>
          </w:p>
        </w:tc>
        <w:tc>
          <w:tcPr>
            <w:tcW w:w="1533" w:type="dxa"/>
          </w:tcPr>
          <w:p w14:paraId="27930C1A"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Explainable machine learning</w:t>
            </w:r>
          </w:p>
        </w:tc>
        <w:tc>
          <w:tcPr>
            <w:tcW w:w="3517" w:type="dxa"/>
          </w:tcPr>
          <w:p w14:paraId="4F44070E"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Interpretability is important for forecasting systems intended for real-world agricultural use</w:t>
            </w:r>
          </w:p>
        </w:tc>
      </w:tr>
      <w:tr w:rsidR="00975984" w:rsidRPr="00BB3856" w14:paraId="108A6787" w14:textId="77777777" w:rsidTr="004B548A">
        <w:tc>
          <w:tcPr>
            <w:tcW w:w="594" w:type="dxa"/>
          </w:tcPr>
          <w:p w14:paraId="54A62FB6"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7</w:t>
            </w:r>
          </w:p>
        </w:tc>
        <w:tc>
          <w:tcPr>
            <w:tcW w:w="1580" w:type="dxa"/>
          </w:tcPr>
          <w:p w14:paraId="0681355C"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Shrestha et al., 2026</w:t>
            </w:r>
          </w:p>
        </w:tc>
        <w:tc>
          <w:tcPr>
            <w:tcW w:w="1560" w:type="dxa"/>
          </w:tcPr>
          <w:p w14:paraId="25E8AE8A"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Vegetable market prices</w:t>
            </w:r>
          </w:p>
        </w:tc>
        <w:tc>
          <w:tcPr>
            <w:tcW w:w="1533" w:type="dxa"/>
          </w:tcPr>
          <w:p w14:paraId="6A7CACBC"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Online stacking ensemble</w:t>
            </w:r>
          </w:p>
        </w:tc>
        <w:tc>
          <w:tcPr>
            <w:tcW w:w="3517" w:type="dxa"/>
          </w:tcPr>
          <w:p w14:paraId="4BFBA8E0"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Ensemble outputs provide stable multi-horizon forecasting performance</w:t>
            </w:r>
          </w:p>
        </w:tc>
      </w:tr>
      <w:tr w:rsidR="00975984" w:rsidRPr="00BB3856" w14:paraId="75E2E0AB" w14:textId="77777777" w:rsidTr="004B548A">
        <w:tc>
          <w:tcPr>
            <w:tcW w:w="594" w:type="dxa"/>
          </w:tcPr>
          <w:p w14:paraId="28B26AD4"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8</w:t>
            </w:r>
          </w:p>
        </w:tc>
        <w:tc>
          <w:tcPr>
            <w:tcW w:w="1580" w:type="dxa"/>
          </w:tcPr>
          <w:p w14:paraId="5FB9171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Kapoor et al., 2019</w:t>
            </w:r>
          </w:p>
        </w:tc>
        <w:tc>
          <w:tcPr>
            <w:tcW w:w="1560" w:type="dxa"/>
          </w:tcPr>
          <w:p w14:paraId="5AB8940B"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Agricultural commodity arrivals</w:t>
            </w:r>
          </w:p>
        </w:tc>
        <w:tc>
          <w:tcPr>
            <w:tcW w:w="1533" w:type="dxa"/>
          </w:tcPr>
          <w:p w14:paraId="76144209"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Regression with remote sensing</w:t>
            </w:r>
          </w:p>
        </w:tc>
        <w:tc>
          <w:tcPr>
            <w:tcW w:w="3517" w:type="dxa"/>
          </w:tcPr>
          <w:p w14:paraId="02363D86"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Arrival quantity information contributes meaningfully to market-level prediction</w:t>
            </w:r>
          </w:p>
        </w:tc>
      </w:tr>
      <w:tr w:rsidR="00975984" w:rsidRPr="00BB3856" w14:paraId="706310D2" w14:textId="77777777" w:rsidTr="004B548A">
        <w:tc>
          <w:tcPr>
            <w:tcW w:w="594" w:type="dxa"/>
          </w:tcPr>
          <w:p w14:paraId="1BD1F9A9"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9</w:t>
            </w:r>
          </w:p>
        </w:tc>
        <w:tc>
          <w:tcPr>
            <w:tcW w:w="1580" w:type="dxa"/>
          </w:tcPr>
          <w:p w14:paraId="61638469"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Chen and Guestrin, 2016</w:t>
            </w:r>
          </w:p>
        </w:tc>
        <w:tc>
          <w:tcPr>
            <w:tcW w:w="1560" w:type="dxa"/>
          </w:tcPr>
          <w:p w14:paraId="41DB9CF1"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General tabular prediction</w:t>
            </w:r>
          </w:p>
        </w:tc>
        <w:tc>
          <w:tcPr>
            <w:tcW w:w="1533" w:type="dxa"/>
          </w:tcPr>
          <w:p w14:paraId="21209980" w14:textId="77777777" w:rsidR="00975984" w:rsidRPr="00BB3856" w:rsidRDefault="00975984" w:rsidP="004B548A">
            <w:pPr>
              <w:spacing w:line="360" w:lineRule="auto"/>
              <w:jc w:val="both"/>
              <w:rPr>
                <w:rFonts w:ascii="Times New Roman" w:hAnsi="Times New Roman" w:cs="Times New Roman"/>
              </w:rPr>
            </w:pPr>
            <w:proofErr w:type="spellStart"/>
            <w:r w:rsidRPr="00BB3856">
              <w:rPr>
                <w:rFonts w:ascii="Times New Roman" w:hAnsi="Times New Roman" w:cs="Times New Roman"/>
              </w:rPr>
              <w:t>XGBoost</w:t>
            </w:r>
            <w:proofErr w:type="spellEnd"/>
          </w:p>
        </w:tc>
        <w:tc>
          <w:tcPr>
            <w:tcW w:w="3517" w:type="dxa"/>
          </w:tcPr>
          <w:p w14:paraId="7AAD9611"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Scalable gradient boosting with strong regression performance across domains</w:t>
            </w:r>
          </w:p>
        </w:tc>
      </w:tr>
      <w:tr w:rsidR="00975984" w:rsidRPr="00BB3856" w14:paraId="7652836D" w14:textId="77777777" w:rsidTr="004B548A">
        <w:tc>
          <w:tcPr>
            <w:tcW w:w="594" w:type="dxa"/>
          </w:tcPr>
          <w:p w14:paraId="238931D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10</w:t>
            </w:r>
          </w:p>
        </w:tc>
        <w:tc>
          <w:tcPr>
            <w:tcW w:w="1580" w:type="dxa"/>
          </w:tcPr>
          <w:p w14:paraId="614AC293"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Lundberg and Lee, 2017</w:t>
            </w:r>
          </w:p>
        </w:tc>
        <w:tc>
          <w:tcPr>
            <w:tcW w:w="1560" w:type="dxa"/>
          </w:tcPr>
          <w:p w14:paraId="0C1772B3"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Explainable AI</w:t>
            </w:r>
          </w:p>
        </w:tc>
        <w:tc>
          <w:tcPr>
            <w:tcW w:w="1533" w:type="dxa"/>
          </w:tcPr>
          <w:p w14:paraId="7A97E2B7"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SHAP</w:t>
            </w:r>
          </w:p>
        </w:tc>
        <w:tc>
          <w:tcPr>
            <w:tcW w:w="3517" w:type="dxa"/>
          </w:tcPr>
          <w:p w14:paraId="2FE16E55"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Unified game-theoretic framework for local and global model interpretation</w:t>
            </w:r>
          </w:p>
        </w:tc>
      </w:tr>
      <w:tr w:rsidR="00975984" w:rsidRPr="00BB3856" w14:paraId="7704E1CC" w14:textId="77777777" w:rsidTr="004B548A">
        <w:tc>
          <w:tcPr>
            <w:tcW w:w="594" w:type="dxa"/>
          </w:tcPr>
          <w:p w14:paraId="5688D08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lastRenderedPageBreak/>
              <w:t>11</w:t>
            </w:r>
          </w:p>
        </w:tc>
        <w:tc>
          <w:tcPr>
            <w:tcW w:w="1580" w:type="dxa"/>
          </w:tcPr>
          <w:p w14:paraId="59B5970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Vaswani et al., 2017</w:t>
            </w:r>
          </w:p>
        </w:tc>
        <w:tc>
          <w:tcPr>
            <w:tcW w:w="1560" w:type="dxa"/>
          </w:tcPr>
          <w:p w14:paraId="2670A1CB"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Sequence modelling</w:t>
            </w:r>
          </w:p>
        </w:tc>
        <w:tc>
          <w:tcPr>
            <w:tcW w:w="1533" w:type="dxa"/>
          </w:tcPr>
          <w:p w14:paraId="49FBBAF1"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Transformer</w:t>
            </w:r>
          </w:p>
        </w:tc>
        <w:tc>
          <w:tcPr>
            <w:tcW w:w="3517" w:type="dxa"/>
          </w:tcPr>
          <w:p w14:paraId="593F935B"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Attention mechanism enables effective sequence learning without recurrence</w:t>
            </w:r>
          </w:p>
        </w:tc>
      </w:tr>
      <w:tr w:rsidR="00975984" w:rsidRPr="00BB3856" w14:paraId="09F2D420" w14:textId="77777777" w:rsidTr="004B548A">
        <w:tc>
          <w:tcPr>
            <w:tcW w:w="594" w:type="dxa"/>
          </w:tcPr>
          <w:p w14:paraId="115743DA"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12</w:t>
            </w:r>
          </w:p>
        </w:tc>
        <w:tc>
          <w:tcPr>
            <w:tcW w:w="1580" w:type="dxa"/>
          </w:tcPr>
          <w:p w14:paraId="5BD2B5AB"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C-SHAP Study, 2025</w:t>
            </w:r>
          </w:p>
        </w:tc>
        <w:tc>
          <w:tcPr>
            <w:tcW w:w="1560" w:type="dxa"/>
          </w:tcPr>
          <w:p w14:paraId="3D905928"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Time-series forecasting explanation</w:t>
            </w:r>
          </w:p>
        </w:tc>
        <w:tc>
          <w:tcPr>
            <w:tcW w:w="1533" w:type="dxa"/>
          </w:tcPr>
          <w:p w14:paraId="65B92CEB"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Temporal SHAP</w:t>
            </w:r>
          </w:p>
        </w:tc>
        <w:tc>
          <w:tcPr>
            <w:tcW w:w="3517" w:type="dxa"/>
          </w:tcPr>
          <w:p w14:paraId="0BFD27F7"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Extends SHAP-based interpretation to capture temporal contribution patterns</w:t>
            </w:r>
          </w:p>
        </w:tc>
      </w:tr>
      <w:tr w:rsidR="00975984" w:rsidRPr="00BB3856" w14:paraId="5AA21288" w14:textId="77777777" w:rsidTr="004B548A">
        <w:tc>
          <w:tcPr>
            <w:tcW w:w="594" w:type="dxa"/>
          </w:tcPr>
          <w:p w14:paraId="43C0753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13</w:t>
            </w:r>
          </w:p>
        </w:tc>
        <w:tc>
          <w:tcPr>
            <w:tcW w:w="1580" w:type="dxa"/>
          </w:tcPr>
          <w:p w14:paraId="495E860B"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Transformer SHAP Study, 2025</w:t>
            </w:r>
          </w:p>
        </w:tc>
        <w:tc>
          <w:tcPr>
            <w:tcW w:w="1560" w:type="dxa"/>
          </w:tcPr>
          <w:p w14:paraId="4A492884"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Forecasting models</w:t>
            </w:r>
          </w:p>
        </w:tc>
        <w:tc>
          <w:tcPr>
            <w:tcW w:w="1533" w:type="dxa"/>
          </w:tcPr>
          <w:p w14:paraId="73A42598"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Sampling-free SHAP for Transformers</w:t>
            </w:r>
          </w:p>
        </w:tc>
        <w:tc>
          <w:tcPr>
            <w:tcW w:w="3517" w:type="dxa"/>
          </w:tcPr>
          <w:p w14:paraId="7B4329A8"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Efficient explainability for sequence-based forecasting models</w:t>
            </w:r>
          </w:p>
        </w:tc>
      </w:tr>
      <w:tr w:rsidR="00975984" w:rsidRPr="00BB3856" w14:paraId="325CD3B5" w14:textId="77777777" w:rsidTr="004B548A">
        <w:tc>
          <w:tcPr>
            <w:tcW w:w="594" w:type="dxa"/>
          </w:tcPr>
          <w:p w14:paraId="16ADD907"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14</w:t>
            </w:r>
          </w:p>
        </w:tc>
        <w:tc>
          <w:tcPr>
            <w:tcW w:w="1580" w:type="dxa"/>
          </w:tcPr>
          <w:p w14:paraId="266BB16B"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 xml:space="preserve">Hochreiter and </w:t>
            </w:r>
            <w:proofErr w:type="spellStart"/>
            <w:r w:rsidRPr="00BB3856">
              <w:rPr>
                <w:rFonts w:ascii="Times New Roman" w:hAnsi="Times New Roman" w:cs="Times New Roman"/>
              </w:rPr>
              <w:t>Schmidhuber</w:t>
            </w:r>
            <w:proofErr w:type="spellEnd"/>
            <w:r w:rsidRPr="00BB3856">
              <w:rPr>
                <w:rFonts w:ascii="Times New Roman" w:hAnsi="Times New Roman" w:cs="Times New Roman"/>
              </w:rPr>
              <w:t>, 1997</w:t>
            </w:r>
          </w:p>
        </w:tc>
        <w:tc>
          <w:tcPr>
            <w:tcW w:w="1560" w:type="dxa"/>
          </w:tcPr>
          <w:p w14:paraId="0C82217A"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Sequential and time-series data</w:t>
            </w:r>
          </w:p>
        </w:tc>
        <w:tc>
          <w:tcPr>
            <w:tcW w:w="1533" w:type="dxa"/>
          </w:tcPr>
          <w:p w14:paraId="774B035C"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LSTM</w:t>
            </w:r>
          </w:p>
        </w:tc>
        <w:tc>
          <w:tcPr>
            <w:tcW w:w="3517" w:type="dxa"/>
          </w:tcPr>
          <w:p w14:paraId="13CCC98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Long Short-Term Memory establishes a framework for learning long-range sequential dependencies</w:t>
            </w:r>
          </w:p>
        </w:tc>
      </w:tr>
      <w:tr w:rsidR="00975984" w:rsidRPr="00BB3856" w14:paraId="4F48AE5E" w14:textId="77777777" w:rsidTr="004B548A">
        <w:tc>
          <w:tcPr>
            <w:tcW w:w="594" w:type="dxa"/>
          </w:tcPr>
          <w:p w14:paraId="2E32840C"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15</w:t>
            </w:r>
          </w:p>
        </w:tc>
        <w:tc>
          <w:tcPr>
            <w:tcW w:w="1580" w:type="dxa"/>
          </w:tcPr>
          <w:p w14:paraId="63008A29" w14:textId="77777777" w:rsidR="00975984" w:rsidRPr="00BB3856" w:rsidRDefault="00975984" w:rsidP="004B548A">
            <w:pPr>
              <w:spacing w:line="360" w:lineRule="auto"/>
              <w:jc w:val="both"/>
              <w:rPr>
                <w:rFonts w:ascii="Times New Roman" w:hAnsi="Times New Roman" w:cs="Times New Roman"/>
              </w:rPr>
            </w:pPr>
            <w:proofErr w:type="spellStart"/>
            <w:r w:rsidRPr="00BB3856">
              <w:rPr>
                <w:rFonts w:ascii="Times New Roman" w:hAnsi="Times New Roman" w:cs="Times New Roman"/>
              </w:rPr>
              <w:t>Breiman</w:t>
            </w:r>
            <w:proofErr w:type="spellEnd"/>
            <w:r w:rsidRPr="00BB3856">
              <w:rPr>
                <w:rFonts w:ascii="Times New Roman" w:hAnsi="Times New Roman" w:cs="Times New Roman"/>
              </w:rPr>
              <w:t>, 2001</w:t>
            </w:r>
          </w:p>
        </w:tc>
        <w:tc>
          <w:tcPr>
            <w:tcW w:w="1560" w:type="dxa"/>
          </w:tcPr>
          <w:p w14:paraId="26C143E0"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Classification and regression</w:t>
            </w:r>
          </w:p>
        </w:tc>
        <w:tc>
          <w:tcPr>
            <w:tcW w:w="1533" w:type="dxa"/>
          </w:tcPr>
          <w:p w14:paraId="5F55C150"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Random Forest</w:t>
            </w:r>
          </w:p>
        </w:tc>
        <w:tc>
          <w:tcPr>
            <w:tcW w:w="3517" w:type="dxa"/>
          </w:tcPr>
          <w:p w14:paraId="77E60B33"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Ensemble of decision trees offers robust performance on tabular datasets</w:t>
            </w:r>
          </w:p>
        </w:tc>
      </w:tr>
    </w:tbl>
    <w:p w14:paraId="32563C51" w14:textId="77777777" w:rsidR="00975984" w:rsidRPr="00E2606C" w:rsidRDefault="00975984" w:rsidP="00975984">
      <w:pPr>
        <w:spacing w:after="80" w:line="360" w:lineRule="auto"/>
        <w:jc w:val="center"/>
        <w:rPr>
          <w:rFonts w:ascii="Times New Roman" w:hAnsi="Times New Roman" w:cs="Times New Roman"/>
          <w:i/>
          <w:iCs/>
          <w:color w:val="000000" w:themeColor="text1"/>
        </w:rPr>
      </w:pPr>
      <w:r>
        <w:rPr>
          <w:rFonts w:ascii="Times New Roman" w:hAnsi="Times New Roman" w:cs="Times New Roman"/>
          <w:i/>
          <w:iCs/>
        </w:rPr>
        <w:t>Table 1: Foundational and methodological literature relevant to the present study</w:t>
      </w:r>
    </w:p>
    <w:p w14:paraId="3154C60B"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Kumar et al. (2023) provide a broad survey of machine learning applications in agricultural price forecasting, covering model types, data challenges, and the need for evaluation frameworks that reflect real deployment conditions. Their review is useful as an orientation to the field, though it does not focus on any specific commodity or region.</w:t>
      </w:r>
    </w:p>
    <w:p w14:paraId="1C3E6CF0"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Majumdar et al. (2020) highlight that forecast performance depends heavily on data quality and how the time structure of the data is handled. Their work in emerging economy contexts is relevant here because Maharashtra APMC data shares similar characteristics: irregular reporting, gaps in coverage, and the influence of local market dynamics.</w:t>
      </w:r>
    </w:p>
    <w:p w14:paraId="21E5FDF8"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Saha et al. (2023) demonstrate the benefit of combining multiple types of input when predicting crop prices, including location-related and time-related information. Their approach informed the decision to engineer market-specific and calendar-based features in this project.</w:t>
      </w:r>
    </w:p>
    <w:p w14:paraId="0F4CD136"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 xml:space="preserve">Rahman et al. (2021) compare several forecasting approaches on agricultural commodity data and conclude that method choice should be driven by the characteristics of the data rather than </w:t>
      </w:r>
      <w:r w:rsidRPr="00BB3856">
        <w:rPr>
          <w:rFonts w:ascii="Times New Roman" w:hAnsi="Times New Roman" w:cs="Times New Roman"/>
        </w:rPr>
        <w:lastRenderedPageBreak/>
        <w:t>a prior preference for complexity. This view shaped the decision to include a simple persistence baseline as a meaningful benchmark.</w:t>
      </w:r>
    </w:p>
    <w:p w14:paraId="1102CE5A"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Islam et al. (2026) find that strong baseline models can hold their own against more complex deep learning methods when data are noisy. This result is consistent with the findings reported in Chapter 4 of this project, where the persistence baseline performed competitively.</w:t>
      </w:r>
    </w:p>
    <w:p w14:paraId="33B2FBFB"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The AGRICAF study (2024) argues for forecasting designs that are both accurate and transparent, and suggests that agricultural forecasters should prioritise interpretability alongside prediction performance. This concern directly motivates the use of SHAP in this project.</w:t>
      </w:r>
    </w:p>
    <w:p w14:paraId="7479A93E"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Shrestha et al. (2026) apply an ensemble-based strategy for vegetable market price forecasting and show that combined model outputs can be more consistent across different conditions than any single model alone. The hybrid ensemble developed here draws on a similar logic.</w:t>
      </w:r>
    </w:p>
    <w:p w14:paraId="7A5EA04A"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Kapoor et al. (2019) show that commodity arrival data contributes meaningful predictive signal in agricultural market models. Arrival-based features were therefore included in the feature engineering stage of this project.</w:t>
      </w:r>
    </w:p>
    <w:p w14:paraId="1B381EF6"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 xml:space="preserve">Chen and </w:t>
      </w:r>
      <w:proofErr w:type="spellStart"/>
      <w:r w:rsidRPr="00BB3856">
        <w:rPr>
          <w:rFonts w:ascii="Times New Roman" w:hAnsi="Times New Roman" w:cs="Times New Roman"/>
        </w:rPr>
        <w:t>Guestrin</w:t>
      </w:r>
      <w:proofErr w:type="spellEnd"/>
      <w:r w:rsidRPr="00BB3856">
        <w:rPr>
          <w:rFonts w:ascii="Times New Roman" w:hAnsi="Times New Roman" w:cs="Times New Roman"/>
        </w:rPr>
        <w:t xml:space="preserve"> (2016) introduced </w:t>
      </w:r>
      <w:proofErr w:type="spellStart"/>
      <w:r w:rsidRPr="00BB3856">
        <w:rPr>
          <w:rFonts w:ascii="Times New Roman" w:hAnsi="Times New Roman" w:cs="Times New Roman"/>
        </w:rPr>
        <w:t>XGBoost</w:t>
      </w:r>
      <w:proofErr w:type="spellEnd"/>
      <w:r w:rsidRPr="00BB3856">
        <w:rPr>
          <w:rFonts w:ascii="Times New Roman" w:hAnsi="Times New Roman" w:cs="Times New Roman"/>
        </w:rPr>
        <w:t>, which has since become one of the most widely used algorithms for tabular prediction tasks. Its computational efficiency and strong regression performance make it a natural choice for this forecasting problem.</w:t>
      </w:r>
    </w:p>
    <w:p w14:paraId="53088262"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 xml:space="preserve">Lundberg and Lee (2017) proposed SHAP as a method grounded in cooperative game theory for attributing the output of any machine learning model to its input features. This framework enables both global feature importance ranking and individual prediction explanation, and was applied here to both the </w:t>
      </w:r>
      <w:proofErr w:type="spellStart"/>
      <w:r w:rsidRPr="00BB3856">
        <w:rPr>
          <w:rFonts w:ascii="Times New Roman" w:hAnsi="Times New Roman" w:cs="Times New Roman"/>
        </w:rPr>
        <w:t>XGBoost</w:t>
      </w:r>
      <w:proofErr w:type="spellEnd"/>
      <w:r w:rsidRPr="00BB3856">
        <w:rPr>
          <w:rFonts w:ascii="Times New Roman" w:hAnsi="Times New Roman" w:cs="Times New Roman"/>
        </w:rPr>
        <w:t xml:space="preserve"> and GBR models.</w:t>
      </w:r>
    </w:p>
    <w:p w14:paraId="087EBA3A"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Vaswani et al. (2017) introduced the Transformer architecture, which has since influenced a broad range of sequence modelling and forecasting research. While Transformers were not used in this project's main pipeline, they are noted in the future scope as a candidate for further exploration.</w:t>
      </w:r>
    </w:p>
    <w:p w14:paraId="00BB07A2"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The C-SHAP (2025) and Transformer SHAP (2025) studies extend explainability methods to time-series contexts, addressing the challenge of interpreting how temporal features contribute to forecasts. These developments are relevant background for the SHAP analysis carried out in this project.</w:t>
      </w:r>
    </w:p>
    <w:p w14:paraId="22208D0C"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lastRenderedPageBreak/>
        <w:t xml:space="preserve">Hochreiter and </w:t>
      </w:r>
      <w:proofErr w:type="spellStart"/>
      <w:r w:rsidRPr="00BB3856">
        <w:rPr>
          <w:rFonts w:ascii="Times New Roman" w:hAnsi="Times New Roman" w:cs="Times New Roman"/>
        </w:rPr>
        <w:t>Schmidhuber</w:t>
      </w:r>
      <w:proofErr w:type="spellEnd"/>
      <w:r w:rsidRPr="00BB3856">
        <w:rPr>
          <w:rFonts w:ascii="Times New Roman" w:hAnsi="Times New Roman" w:cs="Times New Roman"/>
        </w:rPr>
        <w:t xml:space="preserve"> (1997) established LSTM networks as effective tools for sequential data with long-range dependencies. Their work underpins later research on deep learning for agricultural price forecasting.</w:t>
      </w:r>
    </w:p>
    <w:p w14:paraId="55CFCBDE" w14:textId="77777777" w:rsidR="00975984" w:rsidRPr="00BB3856" w:rsidRDefault="00975984" w:rsidP="00975984">
      <w:pPr>
        <w:spacing w:before="80" w:after="120" w:line="360" w:lineRule="auto"/>
        <w:jc w:val="both"/>
        <w:rPr>
          <w:rFonts w:ascii="Times New Roman" w:hAnsi="Times New Roman" w:cs="Times New Roman"/>
        </w:rPr>
      </w:pPr>
      <w:proofErr w:type="spellStart"/>
      <w:r w:rsidRPr="00BB3856">
        <w:rPr>
          <w:rFonts w:ascii="Times New Roman" w:hAnsi="Times New Roman" w:cs="Times New Roman"/>
        </w:rPr>
        <w:t>Breiman</w:t>
      </w:r>
      <w:proofErr w:type="spellEnd"/>
      <w:r w:rsidRPr="00BB3856">
        <w:rPr>
          <w:rFonts w:ascii="Times New Roman" w:hAnsi="Times New Roman" w:cs="Times New Roman"/>
        </w:rPr>
        <w:t xml:space="preserve"> (2001) introduced Random Forests, which aggregate predictions from many decision trees trained on bootstrap samples. The method's robustness to outliers and nonlinearity makes it suitable for agricultural price data, which contains both.</w:t>
      </w:r>
    </w:p>
    <w:p w14:paraId="1FCCE612" w14:textId="77777777" w:rsidR="00975984"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 xml:space="preserve">The classical time-series literature provides the evaluation foundations applied throughout this project. Box, Jenkins, Reinsel, and Ljung's standard text on time series analysis establishes the principle that forecasting models should be assessed on their ability to generalise to unseen future observations rather than fit historical data alone, a principle reflected in this project's strict train-validation-test separation. Hyndman and Koehler (2006) argue that no single accuracy measure is sufficient for comparing forecasts across series with different scales and volatility, which motivated the use of five complementary metrics (MAE, RMSE, MAPE, </w:t>
      </w:r>
      <w:proofErr w:type="spellStart"/>
      <w:r w:rsidRPr="00BB3856">
        <w:rPr>
          <w:rFonts w:ascii="Times New Roman" w:hAnsi="Times New Roman" w:cs="Times New Roman"/>
        </w:rPr>
        <w:t>sMAPE</w:t>
      </w:r>
      <w:proofErr w:type="spellEnd"/>
      <w:r w:rsidRPr="00BB3856">
        <w:rPr>
          <w:rFonts w:ascii="Times New Roman" w:hAnsi="Times New Roman" w:cs="Times New Roman"/>
        </w:rPr>
        <w:t xml:space="preserve">, and R²) in Chapter 4 rather than reliance on one. </w:t>
      </w:r>
      <w:proofErr w:type="spellStart"/>
      <w:r w:rsidRPr="00BB3856">
        <w:rPr>
          <w:rFonts w:ascii="Times New Roman" w:hAnsi="Times New Roman" w:cs="Times New Roman"/>
        </w:rPr>
        <w:t>Bergmeir</w:t>
      </w:r>
      <w:proofErr w:type="spellEnd"/>
      <w:r w:rsidRPr="00BB3856">
        <w:rPr>
          <w:rFonts w:ascii="Times New Roman" w:hAnsi="Times New Roman" w:cs="Times New Roman"/>
        </w:rPr>
        <w:t xml:space="preserve"> and Benitez (2012) caution that standard k-fold cross-validation can leak future information into time-ordered data, supporting this project's use of expanding-window, time-aware cross-validation during hyperparameter tuning. Friedman (2001) provided the original formulation of gradient boosting as a stage-wise additive model that fits new learners to the residual errors of prior ones, which underlies both the GBR and </w:t>
      </w:r>
      <w:proofErr w:type="spellStart"/>
      <w:r w:rsidRPr="00BB3856">
        <w:rPr>
          <w:rFonts w:ascii="Times New Roman" w:hAnsi="Times New Roman" w:cs="Times New Roman"/>
        </w:rPr>
        <w:t>XGBoost</w:t>
      </w:r>
      <w:proofErr w:type="spellEnd"/>
      <w:r w:rsidRPr="00BB3856">
        <w:rPr>
          <w:rFonts w:ascii="Times New Roman" w:hAnsi="Times New Roman" w:cs="Times New Roman"/>
        </w:rPr>
        <w:t xml:space="preserve"> implementations used here. Finally, </w:t>
      </w:r>
      <w:proofErr w:type="spellStart"/>
      <w:r w:rsidRPr="00BB3856">
        <w:rPr>
          <w:rFonts w:ascii="Times New Roman" w:hAnsi="Times New Roman" w:cs="Times New Roman"/>
        </w:rPr>
        <w:t>Makridakis</w:t>
      </w:r>
      <w:proofErr w:type="spellEnd"/>
      <w:r w:rsidRPr="00BB3856">
        <w:rPr>
          <w:rFonts w:ascii="Times New Roman" w:hAnsi="Times New Roman" w:cs="Times New Roman"/>
        </w:rPr>
        <w:t xml:space="preserve">, Spiliotis, and </w:t>
      </w:r>
      <w:proofErr w:type="spellStart"/>
      <w:r w:rsidRPr="00BB3856">
        <w:rPr>
          <w:rFonts w:ascii="Times New Roman" w:hAnsi="Times New Roman" w:cs="Times New Roman"/>
        </w:rPr>
        <w:t>Assimakopoulos</w:t>
      </w:r>
      <w:proofErr w:type="spellEnd"/>
      <w:r w:rsidRPr="00BB3856">
        <w:rPr>
          <w:rFonts w:ascii="Times New Roman" w:hAnsi="Times New Roman" w:cs="Times New Roman"/>
        </w:rPr>
        <w:t xml:space="preserve"> (2018), reporting on the M4 forecasting competition, found that simple statistical baselines often perform comparably to more complex machine learning models, a pattern directly echoed in this project's finding that the Persistence baseline matched or exceeded the learned models on MAE despite its simplicity.</w:t>
      </w:r>
    </w:p>
    <w:p w14:paraId="12A2F73D" w14:textId="77777777" w:rsidR="00975984" w:rsidRDefault="00975984" w:rsidP="00975984">
      <w:pPr>
        <w:spacing w:before="80" w:after="120" w:line="360" w:lineRule="auto"/>
        <w:jc w:val="both"/>
        <w:rPr>
          <w:rFonts w:ascii="Times New Roman" w:hAnsi="Times New Roman" w:cs="Times New Roman"/>
        </w:rPr>
      </w:pPr>
    </w:p>
    <w:p w14:paraId="10F3A991" w14:textId="77777777" w:rsidR="00975984" w:rsidRDefault="00975984" w:rsidP="00975984">
      <w:pPr>
        <w:pStyle w:val="Heading1"/>
        <w:spacing w:line="360" w:lineRule="auto"/>
        <w:jc w:val="both"/>
        <w:rPr>
          <w:rFonts w:ascii="Times New Roman" w:hAnsi="Times New Roman" w:cs="Times New Roman"/>
          <w:b w:val="0"/>
          <w:bCs w:val="0"/>
          <w:color w:val="000000" w:themeColor="text1"/>
          <w:sz w:val="28"/>
          <w:szCs w:val="28"/>
        </w:rPr>
      </w:pPr>
    </w:p>
    <w:p w14:paraId="6EBCE14F" w14:textId="77777777" w:rsidR="00975984" w:rsidRPr="00D60FEA" w:rsidRDefault="00975984" w:rsidP="00975984"/>
    <w:p w14:paraId="5F1C9865" w14:textId="77777777" w:rsidR="00975984" w:rsidRDefault="00975984" w:rsidP="00975984">
      <w:pPr>
        <w:pStyle w:val="Heading1"/>
        <w:spacing w:line="360" w:lineRule="auto"/>
        <w:jc w:val="both"/>
        <w:rPr>
          <w:rFonts w:ascii="Times New Roman" w:hAnsi="Times New Roman" w:cs="Times New Roman"/>
          <w:b w:val="0"/>
          <w:bCs w:val="0"/>
          <w:color w:val="000000" w:themeColor="text1"/>
          <w:sz w:val="28"/>
          <w:szCs w:val="28"/>
        </w:rPr>
      </w:pPr>
    </w:p>
    <w:p w14:paraId="670F4EE7" w14:textId="77777777" w:rsidR="00975984" w:rsidRDefault="00975984" w:rsidP="00975984">
      <w:pPr>
        <w:jc w:val="both"/>
        <w:rPr>
          <w:rFonts w:ascii="Times New Roman" w:hAnsi="Times New Roman" w:cs="Times New Roman"/>
          <w:b/>
          <w:bCs/>
          <w:sz w:val="28"/>
          <w:szCs w:val="28"/>
        </w:rPr>
      </w:pPr>
    </w:p>
    <w:p w14:paraId="5152E98E" w14:textId="77777777" w:rsidR="00975984" w:rsidRDefault="00975984" w:rsidP="00975984">
      <w:pPr>
        <w:jc w:val="both"/>
        <w:rPr>
          <w:rFonts w:ascii="Times New Roman" w:hAnsi="Times New Roman" w:cs="Times New Roman"/>
          <w:b/>
          <w:bCs/>
          <w:sz w:val="28"/>
          <w:szCs w:val="28"/>
        </w:rPr>
      </w:pPr>
    </w:p>
    <w:p w14:paraId="74D6CD2A" w14:textId="77777777" w:rsidR="00975984" w:rsidRDefault="00975984" w:rsidP="00975984">
      <w:pPr>
        <w:jc w:val="both"/>
        <w:rPr>
          <w:rFonts w:ascii="Times New Roman" w:hAnsi="Times New Roman" w:cs="Times New Roman"/>
          <w:b/>
          <w:bCs/>
          <w:sz w:val="28"/>
          <w:szCs w:val="28"/>
        </w:rPr>
      </w:pPr>
    </w:p>
    <w:p w14:paraId="380ACDDC" w14:textId="77777777" w:rsidR="00975984" w:rsidRDefault="00975984" w:rsidP="00975984">
      <w:pPr>
        <w:jc w:val="both"/>
        <w:rPr>
          <w:rFonts w:ascii="Times New Roman" w:hAnsi="Times New Roman" w:cs="Times New Roman"/>
          <w:b/>
          <w:bCs/>
          <w:sz w:val="28"/>
          <w:szCs w:val="28"/>
        </w:rPr>
      </w:pPr>
    </w:p>
    <w:p w14:paraId="6F89C9A1" w14:textId="6119DB9C" w:rsidR="00975984" w:rsidRDefault="00975984" w:rsidP="00975984">
      <w:pPr>
        <w:jc w:val="both"/>
        <w:rPr>
          <w:rFonts w:ascii="Times New Roman" w:hAnsi="Times New Roman" w:cs="Times New Roman"/>
          <w:b/>
          <w:bCs/>
          <w:sz w:val="28"/>
          <w:szCs w:val="28"/>
        </w:rPr>
      </w:pPr>
      <w:r w:rsidRPr="008C6130">
        <w:rPr>
          <w:rFonts w:ascii="Times New Roman" w:hAnsi="Times New Roman" w:cs="Times New Roman"/>
          <w:b/>
          <w:bCs/>
          <w:sz w:val="28"/>
          <w:szCs w:val="28"/>
        </w:rPr>
        <w:lastRenderedPageBreak/>
        <w:t>Chapter 3: Methodology</w:t>
      </w:r>
    </w:p>
    <w:p w14:paraId="30C37964" w14:textId="77777777" w:rsidR="00975984" w:rsidRPr="008C6130" w:rsidRDefault="00975984" w:rsidP="00975984">
      <w:pPr>
        <w:jc w:val="both"/>
        <w:rPr>
          <w:rFonts w:ascii="Times New Roman" w:hAnsi="Times New Roman" w:cs="Times New Roman"/>
          <w:b/>
          <w:bCs/>
          <w:sz w:val="28"/>
          <w:szCs w:val="28"/>
        </w:rPr>
      </w:pPr>
    </w:p>
    <w:p w14:paraId="14090B9E" w14:textId="77777777" w:rsidR="00975984" w:rsidRDefault="00975984" w:rsidP="00975984">
      <w:pPr>
        <w:jc w:val="both"/>
        <w:rPr>
          <w:rFonts w:ascii="Times New Roman" w:hAnsi="Times New Roman" w:cs="Times New Roman"/>
          <w:b/>
          <w:bCs/>
        </w:rPr>
      </w:pPr>
      <w:r w:rsidRPr="008C6130">
        <w:rPr>
          <w:rFonts w:ascii="Times New Roman" w:hAnsi="Times New Roman" w:cs="Times New Roman"/>
          <w:b/>
          <w:bCs/>
        </w:rPr>
        <w:t>Overview</w:t>
      </w:r>
    </w:p>
    <w:p w14:paraId="7287530C" w14:textId="77777777" w:rsidR="00975984" w:rsidRPr="008C6130" w:rsidRDefault="00975984" w:rsidP="00975984">
      <w:pPr>
        <w:jc w:val="both"/>
        <w:rPr>
          <w:rFonts w:ascii="Times New Roman" w:hAnsi="Times New Roman" w:cs="Times New Roman"/>
          <w:b/>
          <w:bCs/>
        </w:rPr>
      </w:pPr>
    </w:p>
    <w:tbl>
      <w:tblPr>
        <w:tblStyle w:val="TableGrid"/>
        <w:tblW w:w="10295" w:type="dxa"/>
        <w:tblInd w:w="-645" w:type="dxa"/>
        <w:tblLayout w:type="fixed"/>
        <w:tblLook w:val="04A0" w:firstRow="1" w:lastRow="0" w:firstColumn="1" w:lastColumn="0" w:noHBand="0" w:noVBand="1"/>
      </w:tblPr>
      <w:tblGrid>
        <w:gridCol w:w="2059"/>
        <w:gridCol w:w="2059"/>
        <w:gridCol w:w="2059"/>
        <w:gridCol w:w="2059"/>
        <w:gridCol w:w="2059"/>
      </w:tblGrid>
      <w:tr w:rsidR="00975984" w:rsidRPr="004842E8" w14:paraId="6CEB28D2" w14:textId="77777777" w:rsidTr="004B548A">
        <w:trPr>
          <w:trHeight w:val="1568"/>
        </w:trPr>
        <w:tc>
          <w:tcPr>
            <w:tcW w:w="2059" w:type="dxa"/>
            <w:tcBorders>
              <w:top w:val="single" w:sz="8" w:space="0" w:color="6E6E6E"/>
              <w:left w:val="single" w:sz="8" w:space="0" w:color="6E6E6E"/>
              <w:bottom w:val="single" w:sz="8" w:space="0" w:color="6E6E6E"/>
              <w:right w:val="single" w:sz="8" w:space="0" w:color="6E6E6E"/>
            </w:tcBorders>
            <w:shd w:val="clear" w:color="auto" w:fill="D9EAFB"/>
          </w:tcPr>
          <w:p w14:paraId="3A0F760E"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1. Data Collection</w:t>
            </w:r>
          </w:p>
          <w:p w14:paraId="7E30BFC3"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Maharashtra APMC mango dataset</w:t>
            </w:r>
          </w:p>
          <w:p w14:paraId="2F39A363"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Market-wise price and arrival records</w:t>
            </w:r>
          </w:p>
        </w:tc>
        <w:tc>
          <w:tcPr>
            <w:tcW w:w="2059" w:type="dxa"/>
            <w:tcBorders>
              <w:top w:val="single" w:sz="8" w:space="0" w:color="6E6E6E"/>
              <w:left w:val="single" w:sz="8" w:space="0" w:color="6E6E6E"/>
              <w:bottom w:val="single" w:sz="8" w:space="0" w:color="6E6E6E"/>
              <w:right w:val="single" w:sz="8" w:space="0" w:color="6E6E6E"/>
            </w:tcBorders>
            <w:shd w:val="clear" w:color="auto" w:fill="DDEEDD"/>
          </w:tcPr>
          <w:p w14:paraId="513DD711"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2. Data Cleaning and Preprocessing</w:t>
            </w:r>
          </w:p>
          <w:p w14:paraId="4C7099AA"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Filter mango records</w:t>
            </w:r>
          </w:p>
          <w:p w14:paraId="16C3FD94"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Clean dates and numeric fields</w:t>
            </w:r>
          </w:p>
          <w:p w14:paraId="77E3E30A"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Remove invalid or duplicate entries</w:t>
            </w:r>
          </w:p>
        </w:tc>
        <w:tc>
          <w:tcPr>
            <w:tcW w:w="2059" w:type="dxa"/>
            <w:tcBorders>
              <w:top w:val="single" w:sz="8" w:space="0" w:color="6E6E6E"/>
              <w:left w:val="single" w:sz="8" w:space="0" w:color="6E6E6E"/>
              <w:bottom w:val="single" w:sz="8" w:space="0" w:color="6E6E6E"/>
              <w:right w:val="single" w:sz="8" w:space="0" w:color="6E6E6E"/>
            </w:tcBorders>
            <w:shd w:val="clear" w:color="auto" w:fill="FFF1D6"/>
          </w:tcPr>
          <w:p w14:paraId="7C89F363"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3. Exploratory Data Analysis</w:t>
            </w:r>
          </w:p>
          <w:p w14:paraId="534B0770"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Analyze dataset coverage</w:t>
            </w:r>
          </w:p>
          <w:p w14:paraId="006931E0"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Study market-wise and district-wise trends</w:t>
            </w:r>
          </w:p>
          <w:p w14:paraId="5EAB1E36"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Identify seasonality, outliers, and gaps</w:t>
            </w:r>
          </w:p>
        </w:tc>
        <w:tc>
          <w:tcPr>
            <w:tcW w:w="2059" w:type="dxa"/>
            <w:tcBorders>
              <w:top w:val="single" w:sz="8" w:space="0" w:color="6E6E6E"/>
              <w:left w:val="single" w:sz="8" w:space="0" w:color="6E6E6E"/>
              <w:bottom w:val="single" w:sz="8" w:space="0" w:color="6E6E6E"/>
              <w:right w:val="single" w:sz="8" w:space="0" w:color="6E6E6E"/>
            </w:tcBorders>
            <w:shd w:val="clear" w:color="auto" w:fill="EAE2F8"/>
          </w:tcPr>
          <w:p w14:paraId="65B2F487"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4. Target Definition</w:t>
            </w:r>
          </w:p>
          <w:p w14:paraId="1D5BD163"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Predict the next observed modal price</w:t>
            </w:r>
          </w:p>
          <w:p w14:paraId="667C7D7B"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Use the same market sequence</w:t>
            </w:r>
          </w:p>
        </w:tc>
        <w:tc>
          <w:tcPr>
            <w:tcW w:w="2059" w:type="dxa"/>
            <w:tcBorders>
              <w:top w:val="single" w:sz="8" w:space="0" w:color="6E6E6E"/>
              <w:left w:val="single" w:sz="8" w:space="0" w:color="6E6E6E"/>
              <w:bottom w:val="single" w:sz="8" w:space="0" w:color="6E6E6E"/>
              <w:right w:val="single" w:sz="8" w:space="0" w:color="6E6E6E"/>
            </w:tcBorders>
            <w:shd w:val="clear" w:color="auto" w:fill="FBE0E3"/>
          </w:tcPr>
          <w:p w14:paraId="50E6D291"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5. Leakage-Safe Feature Engineering</w:t>
            </w:r>
          </w:p>
          <w:p w14:paraId="4228DA52"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Create lag features</w:t>
            </w:r>
          </w:p>
          <w:p w14:paraId="344C46DE"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Generate rolling statistics</w:t>
            </w:r>
          </w:p>
          <w:p w14:paraId="6D478CA3"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Add calendar and market variables</w:t>
            </w:r>
          </w:p>
        </w:tc>
      </w:tr>
    </w:tbl>
    <w:p w14:paraId="1489F7CD" w14:textId="77777777" w:rsidR="00975984" w:rsidRPr="005A4F88" w:rsidRDefault="00975984" w:rsidP="00975984">
      <w:pPr>
        <w:spacing w:after="40"/>
        <w:jc w:val="both"/>
        <w:rPr>
          <w:iCs/>
        </w:rPr>
      </w:pPr>
    </w:p>
    <w:tbl>
      <w:tblPr>
        <w:tblStyle w:val="TableGrid"/>
        <w:tblW w:w="10295" w:type="dxa"/>
        <w:tblInd w:w="-645" w:type="dxa"/>
        <w:tblLayout w:type="fixed"/>
        <w:tblLook w:val="04A0" w:firstRow="1" w:lastRow="0" w:firstColumn="1" w:lastColumn="0" w:noHBand="0" w:noVBand="1"/>
      </w:tblPr>
      <w:tblGrid>
        <w:gridCol w:w="2059"/>
        <w:gridCol w:w="2059"/>
        <w:gridCol w:w="2059"/>
        <w:gridCol w:w="2059"/>
        <w:gridCol w:w="2059"/>
      </w:tblGrid>
      <w:tr w:rsidR="00975984" w:rsidRPr="004842E8" w14:paraId="74936CB3" w14:textId="77777777" w:rsidTr="004B548A">
        <w:trPr>
          <w:trHeight w:val="1734"/>
        </w:trPr>
        <w:tc>
          <w:tcPr>
            <w:tcW w:w="2059" w:type="dxa"/>
            <w:tcBorders>
              <w:top w:val="single" w:sz="8" w:space="0" w:color="6E6E6E"/>
              <w:left w:val="single" w:sz="8" w:space="0" w:color="6E6E6E"/>
              <w:bottom w:val="single" w:sz="8" w:space="0" w:color="6E6E6E"/>
              <w:right w:val="single" w:sz="8" w:space="0" w:color="6E6E6E"/>
            </w:tcBorders>
            <w:shd w:val="clear" w:color="auto" w:fill="D9F3F1"/>
          </w:tcPr>
          <w:p w14:paraId="0BF44287"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6. Chronological Data Splitting</w:t>
            </w:r>
          </w:p>
          <w:p w14:paraId="34A8DA5C"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Split into train, validation, and test sets</w:t>
            </w:r>
          </w:p>
          <w:p w14:paraId="4CCDC06E"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Preserve time order</w:t>
            </w:r>
          </w:p>
        </w:tc>
        <w:tc>
          <w:tcPr>
            <w:tcW w:w="2059" w:type="dxa"/>
            <w:tcBorders>
              <w:top w:val="single" w:sz="8" w:space="0" w:color="6E6E6E"/>
              <w:left w:val="single" w:sz="8" w:space="0" w:color="6E6E6E"/>
              <w:bottom w:val="single" w:sz="8" w:space="0" w:color="6E6E6E"/>
              <w:right w:val="single" w:sz="8" w:space="0" w:color="6E6E6E"/>
            </w:tcBorders>
            <w:shd w:val="clear" w:color="auto" w:fill="FFE7D6"/>
          </w:tcPr>
          <w:p w14:paraId="0C5C20F8"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7. Model Training</w:t>
            </w:r>
          </w:p>
          <w:p w14:paraId="456977E0"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Gradient Boosting Regressor</w:t>
            </w:r>
          </w:p>
          <w:p w14:paraId="7A28A589"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Random Forest Regressor</w:t>
            </w:r>
          </w:p>
          <w:p w14:paraId="04637ED2"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xml:space="preserve">- </w:t>
            </w:r>
            <w:proofErr w:type="spellStart"/>
            <w:r w:rsidRPr="004842E8">
              <w:rPr>
                <w:rFonts w:ascii="Times New Roman" w:hAnsi="Times New Roman" w:cs="Times New Roman"/>
                <w:sz w:val="21"/>
                <w:szCs w:val="21"/>
              </w:rPr>
              <w:t>XGBoost</w:t>
            </w:r>
            <w:proofErr w:type="spellEnd"/>
            <w:r w:rsidRPr="004842E8">
              <w:rPr>
                <w:rFonts w:ascii="Times New Roman" w:hAnsi="Times New Roman" w:cs="Times New Roman"/>
                <w:sz w:val="21"/>
                <w:szCs w:val="21"/>
              </w:rPr>
              <w:t xml:space="preserve"> Regressor</w:t>
            </w:r>
          </w:p>
          <w:p w14:paraId="7804F01D"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LSTM / sequence benchmark</w:t>
            </w:r>
          </w:p>
        </w:tc>
        <w:tc>
          <w:tcPr>
            <w:tcW w:w="2059" w:type="dxa"/>
            <w:tcBorders>
              <w:top w:val="single" w:sz="8" w:space="0" w:color="6E6E6E"/>
              <w:left w:val="single" w:sz="8" w:space="0" w:color="6E6E6E"/>
              <w:bottom w:val="single" w:sz="8" w:space="0" w:color="6E6E6E"/>
              <w:right w:val="single" w:sz="8" w:space="0" w:color="6E6E6E"/>
            </w:tcBorders>
            <w:shd w:val="clear" w:color="auto" w:fill="D9EAFB"/>
          </w:tcPr>
          <w:p w14:paraId="707C80B8"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8. Hyperparameter Tuning</w:t>
            </w:r>
          </w:p>
          <w:p w14:paraId="7362FA2B"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Use time-aware validation folds</w:t>
            </w:r>
          </w:p>
          <w:p w14:paraId="3724300B"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Select best model settings</w:t>
            </w:r>
          </w:p>
        </w:tc>
        <w:tc>
          <w:tcPr>
            <w:tcW w:w="2059" w:type="dxa"/>
            <w:tcBorders>
              <w:top w:val="single" w:sz="8" w:space="0" w:color="6E6E6E"/>
              <w:left w:val="single" w:sz="8" w:space="0" w:color="6E6E6E"/>
              <w:bottom w:val="single" w:sz="8" w:space="0" w:color="6E6E6E"/>
              <w:right w:val="single" w:sz="8" w:space="0" w:color="6E6E6E"/>
            </w:tcBorders>
            <w:shd w:val="clear" w:color="auto" w:fill="FCE0EC"/>
          </w:tcPr>
          <w:p w14:paraId="0253E98C"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9. Hybrid and LSTM-Hybrid Formation</w:t>
            </w:r>
          </w:p>
          <w:p w14:paraId="68334146"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Compare models with baseline</w:t>
            </w:r>
          </w:p>
          <w:p w14:paraId="115C1B16"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Combine selected predictions</w:t>
            </w:r>
          </w:p>
          <w:p w14:paraId="1587E0C1"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Add guarded LSTM signal where validation supports it</w:t>
            </w:r>
          </w:p>
        </w:tc>
        <w:tc>
          <w:tcPr>
            <w:tcW w:w="2059" w:type="dxa"/>
            <w:tcBorders>
              <w:top w:val="single" w:sz="8" w:space="0" w:color="6E6E6E"/>
              <w:left w:val="single" w:sz="8" w:space="0" w:color="6E6E6E"/>
              <w:bottom w:val="single" w:sz="8" w:space="0" w:color="6E6E6E"/>
              <w:right w:val="single" w:sz="8" w:space="0" w:color="6E6E6E"/>
            </w:tcBorders>
            <w:shd w:val="clear" w:color="auto" w:fill="DDEEDD"/>
          </w:tcPr>
          <w:p w14:paraId="18C603B6" w14:textId="77777777" w:rsidR="00975984" w:rsidRPr="004842E8" w:rsidRDefault="00975984" w:rsidP="00975984">
            <w:pPr>
              <w:spacing w:after="40"/>
              <w:jc w:val="both"/>
              <w:rPr>
                <w:rFonts w:ascii="Times New Roman" w:hAnsi="Times New Roman" w:cs="Times New Roman"/>
                <w:sz w:val="21"/>
                <w:szCs w:val="21"/>
              </w:rPr>
            </w:pPr>
            <w:r>
              <w:rPr>
                <w:rFonts w:ascii="Times New Roman" w:hAnsi="Times New Roman" w:cs="Times New Roman"/>
                <w:b/>
                <w:sz w:val="21"/>
                <w:szCs w:val="21"/>
              </w:rPr>
              <w:t xml:space="preserve">  </w:t>
            </w:r>
            <w:r w:rsidRPr="004842E8">
              <w:rPr>
                <w:rFonts w:ascii="Times New Roman" w:hAnsi="Times New Roman" w:cs="Times New Roman"/>
                <w:b/>
                <w:sz w:val="21"/>
                <w:szCs w:val="21"/>
              </w:rPr>
              <w:t>10. Model Evaluation</w:t>
            </w:r>
          </w:p>
          <w:p w14:paraId="7F892E69"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xml:space="preserve">- Measure MAE, RMSE, MAPE, </w:t>
            </w:r>
            <w:proofErr w:type="spellStart"/>
            <w:r w:rsidRPr="004842E8">
              <w:rPr>
                <w:rFonts w:ascii="Times New Roman" w:hAnsi="Times New Roman" w:cs="Times New Roman"/>
                <w:sz w:val="21"/>
                <w:szCs w:val="21"/>
              </w:rPr>
              <w:t>sMAPE</w:t>
            </w:r>
            <w:proofErr w:type="spellEnd"/>
            <w:r w:rsidRPr="004842E8">
              <w:rPr>
                <w:rFonts w:ascii="Times New Roman" w:hAnsi="Times New Roman" w:cs="Times New Roman"/>
                <w:sz w:val="21"/>
                <w:szCs w:val="21"/>
              </w:rPr>
              <w:t>, and R2</w:t>
            </w:r>
          </w:p>
          <w:p w14:paraId="4CC6756B"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xml:space="preserve">- Compare ML, Hybrid, LSTM, and </w:t>
            </w:r>
            <w:proofErr w:type="spellStart"/>
            <w:r w:rsidRPr="004842E8">
              <w:rPr>
                <w:rFonts w:ascii="Times New Roman" w:hAnsi="Times New Roman" w:cs="Times New Roman"/>
                <w:sz w:val="21"/>
                <w:szCs w:val="21"/>
              </w:rPr>
              <w:t>LSTM_Hybrid</w:t>
            </w:r>
            <w:proofErr w:type="spellEnd"/>
          </w:p>
        </w:tc>
      </w:tr>
    </w:tbl>
    <w:p w14:paraId="56BDFF45" w14:textId="77777777" w:rsidR="00975984" w:rsidRDefault="00975984" w:rsidP="00975984">
      <w:pPr>
        <w:spacing w:after="40"/>
        <w:jc w:val="both"/>
      </w:pPr>
    </w:p>
    <w:tbl>
      <w:tblPr>
        <w:tblStyle w:val="TableGrid"/>
        <w:tblW w:w="9504" w:type="dxa"/>
        <w:tblInd w:w="-489" w:type="dxa"/>
        <w:tblLayout w:type="fixed"/>
        <w:tblLook w:val="04A0" w:firstRow="1" w:lastRow="0" w:firstColumn="1" w:lastColumn="0" w:noHBand="0" w:noVBand="1"/>
      </w:tblPr>
      <w:tblGrid>
        <w:gridCol w:w="3168"/>
        <w:gridCol w:w="3168"/>
        <w:gridCol w:w="3168"/>
      </w:tblGrid>
      <w:tr w:rsidR="00975984" w:rsidRPr="004842E8" w14:paraId="41B3ED0C" w14:textId="77777777" w:rsidTr="004B548A">
        <w:trPr>
          <w:trHeight w:val="1139"/>
        </w:trPr>
        <w:tc>
          <w:tcPr>
            <w:tcW w:w="3168" w:type="dxa"/>
            <w:tcBorders>
              <w:top w:val="single" w:sz="8" w:space="0" w:color="6E6E6E"/>
              <w:left w:val="single" w:sz="8" w:space="0" w:color="6E6E6E"/>
              <w:bottom w:val="single" w:sz="8" w:space="0" w:color="6E6E6E"/>
              <w:right w:val="single" w:sz="8" w:space="0" w:color="6E6E6E"/>
            </w:tcBorders>
            <w:shd w:val="clear" w:color="auto" w:fill="EAE2F8"/>
          </w:tcPr>
          <w:p w14:paraId="51F6D7CD"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11. Explainability Analysis</w:t>
            </w:r>
          </w:p>
          <w:p w14:paraId="05C1B63B"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Apply SHAP analysis</w:t>
            </w:r>
          </w:p>
          <w:p w14:paraId="7378B857"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Identify important features</w:t>
            </w:r>
          </w:p>
        </w:tc>
        <w:tc>
          <w:tcPr>
            <w:tcW w:w="3168" w:type="dxa"/>
            <w:tcBorders>
              <w:top w:val="single" w:sz="8" w:space="0" w:color="6E6E6E"/>
              <w:left w:val="single" w:sz="8" w:space="0" w:color="6E6E6E"/>
              <w:bottom w:val="single" w:sz="8" w:space="0" w:color="6E6E6E"/>
              <w:right w:val="single" w:sz="8" w:space="0" w:color="6E6E6E"/>
            </w:tcBorders>
            <w:shd w:val="clear" w:color="auto" w:fill="D9EAFB"/>
          </w:tcPr>
          <w:p w14:paraId="7944E9AC" w14:textId="77777777" w:rsidR="00975984" w:rsidRPr="004842E8" w:rsidRDefault="00975984" w:rsidP="00975984">
            <w:pPr>
              <w:spacing w:after="40"/>
              <w:jc w:val="both"/>
              <w:rPr>
                <w:rFonts w:ascii="Times New Roman" w:hAnsi="Times New Roman" w:cs="Times New Roman"/>
                <w:sz w:val="21"/>
                <w:szCs w:val="21"/>
              </w:rPr>
            </w:pPr>
            <w:r>
              <w:rPr>
                <w:rFonts w:ascii="Times New Roman" w:hAnsi="Times New Roman" w:cs="Times New Roman"/>
                <w:b/>
                <w:sz w:val="21"/>
                <w:szCs w:val="21"/>
              </w:rPr>
              <w:t xml:space="preserve">  </w:t>
            </w:r>
            <w:r w:rsidRPr="004842E8">
              <w:rPr>
                <w:rFonts w:ascii="Times New Roman" w:hAnsi="Times New Roman" w:cs="Times New Roman"/>
                <w:b/>
                <w:sz w:val="21"/>
                <w:szCs w:val="21"/>
              </w:rPr>
              <w:t>12. Result and Artifact Generation</w:t>
            </w:r>
          </w:p>
          <w:p w14:paraId="63C5664A"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Save trained models, metrics, tables, and figures</w:t>
            </w:r>
          </w:p>
          <w:p w14:paraId="26F219FF"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Prepare report and demonstration outputs</w:t>
            </w:r>
          </w:p>
        </w:tc>
        <w:tc>
          <w:tcPr>
            <w:tcW w:w="3168" w:type="dxa"/>
            <w:tcBorders>
              <w:top w:val="single" w:sz="8" w:space="0" w:color="6E6E6E"/>
              <w:left w:val="single" w:sz="8" w:space="0" w:color="6E6E6E"/>
              <w:bottom w:val="single" w:sz="8" w:space="0" w:color="6E6E6E"/>
              <w:right w:val="single" w:sz="8" w:space="0" w:color="6E6E6E"/>
            </w:tcBorders>
            <w:shd w:val="clear" w:color="auto" w:fill="DDEEDD"/>
          </w:tcPr>
          <w:p w14:paraId="30DC21CE" w14:textId="77777777" w:rsidR="00975984" w:rsidRPr="004842E8" w:rsidRDefault="00975984" w:rsidP="00975984">
            <w:pPr>
              <w:spacing w:after="40"/>
              <w:jc w:val="both"/>
              <w:rPr>
                <w:rFonts w:ascii="Times New Roman" w:hAnsi="Times New Roman" w:cs="Times New Roman"/>
                <w:sz w:val="21"/>
                <w:szCs w:val="21"/>
              </w:rPr>
            </w:pPr>
            <w:r w:rsidRPr="004842E8">
              <w:rPr>
                <w:rFonts w:ascii="Times New Roman" w:hAnsi="Times New Roman" w:cs="Times New Roman"/>
                <w:b/>
                <w:sz w:val="21"/>
                <w:szCs w:val="21"/>
              </w:rPr>
              <w:t>13. Dashboard Development</w:t>
            </w:r>
          </w:p>
          <w:p w14:paraId="0809B155"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xml:space="preserve">- Build </w:t>
            </w:r>
            <w:proofErr w:type="spellStart"/>
            <w:r w:rsidRPr="004842E8">
              <w:rPr>
                <w:rFonts w:ascii="Times New Roman" w:hAnsi="Times New Roman" w:cs="Times New Roman"/>
                <w:sz w:val="21"/>
                <w:szCs w:val="21"/>
              </w:rPr>
              <w:t>Streamlit</w:t>
            </w:r>
            <w:proofErr w:type="spellEnd"/>
            <w:r w:rsidRPr="004842E8">
              <w:rPr>
                <w:rFonts w:ascii="Times New Roman" w:hAnsi="Times New Roman" w:cs="Times New Roman"/>
                <w:sz w:val="21"/>
                <w:szCs w:val="21"/>
              </w:rPr>
              <w:t xml:space="preserve"> dashboard</w:t>
            </w:r>
          </w:p>
          <w:p w14:paraId="76E4C704" w14:textId="77777777" w:rsidR="00975984" w:rsidRPr="004842E8" w:rsidRDefault="00975984" w:rsidP="00975984">
            <w:pPr>
              <w:spacing w:after="20"/>
              <w:ind w:left="72" w:hanging="72"/>
              <w:jc w:val="both"/>
              <w:rPr>
                <w:rFonts w:ascii="Times New Roman" w:hAnsi="Times New Roman" w:cs="Times New Roman"/>
                <w:sz w:val="21"/>
                <w:szCs w:val="21"/>
              </w:rPr>
            </w:pPr>
            <w:r w:rsidRPr="004842E8">
              <w:rPr>
                <w:rFonts w:ascii="Times New Roman" w:hAnsi="Times New Roman" w:cs="Times New Roman"/>
                <w:sz w:val="21"/>
                <w:szCs w:val="21"/>
              </w:rPr>
              <w:t>- Show EDA, forecasts, explainability, and LSTM benchmark</w:t>
            </w:r>
          </w:p>
        </w:tc>
      </w:tr>
    </w:tbl>
    <w:p w14:paraId="2E99C44B" w14:textId="77777777" w:rsidR="00975984" w:rsidRPr="00840A6F" w:rsidRDefault="00975984" w:rsidP="00975984">
      <w:pPr>
        <w:spacing w:before="60" w:after="120" w:line="360" w:lineRule="auto"/>
        <w:jc w:val="center"/>
        <w:rPr>
          <w:rFonts w:ascii="Times New Roman" w:hAnsi="Times New Roman" w:cs="Times New Roman"/>
          <w:i/>
          <w:iCs/>
          <w:color w:val="000000" w:themeColor="text1"/>
        </w:rPr>
      </w:pPr>
      <w:r w:rsidRPr="00840A6F">
        <w:rPr>
          <w:rFonts w:ascii="Times New Roman" w:hAnsi="Times New Roman" w:cs="Times New Roman"/>
          <w:i/>
          <w:iCs/>
        </w:rPr>
        <w:t>Figure 3.1: Methodology workflow including the LSTM/sequence benchmark</w:t>
      </w:r>
    </w:p>
    <w:p w14:paraId="5C0C5067"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Mango price and arrivals were recorded in historical data from Maharashtra APMC markets. These recordings include the date, market name, district, number of arrivals in quintals, and the minimum, maximum, and mode of prices of the trade session. The final cleaned data consisted of 3,847 records collected from 25 APMC markets in 14 districts during 12 February 2022 and 30 April 2026.</w:t>
      </w:r>
    </w:p>
    <w:tbl>
      <w:tblPr>
        <w:tblStyle w:val="TableGridLight"/>
        <w:tblW w:w="9360" w:type="dxa"/>
        <w:tblLook w:val="04A0" w:firstRow="1" w:lastRow="0" w:firstColumn="1" w:lastColumn="0" w:noHBand="0" w:noVBand="1"/>
      </w:tblPr>
      <w:tblGrid>
        <w:gridCol w:w="4600"/>
        <w:gridCol w:w="4760"/>
      </w:tblGrid>
      <w:tr w:rsidR="00975984" w:rsidRPr="008C6130" w14:paraId="1260216E" w14:textId="77777777" w:rsidTr="004B548A">
        <w:tc>
          <w:tcPr>
            <w:tcW w:w="4600" w:type="dxa"/>
          </w:tcPr>
          <w:p w14:paraId="5F75737B"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b/>
                <w:bCs/>
              </w:rPr>
              <w:t>Metric</w:t>
            </w:r>
          </w:p>
        </w:tc>
        <w:tc>
          <w:tcPr>
            <w:tcW w:w="4760" w:type="dxa"/>
          </w:tcPr>
          <w:p w14:paraId="37DC1D63"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b/>
                <w:bCs/>
              </w:rPr>
              <w:t>Value</w:t>
            </w:r>
          </w:p>
        </w:tc>
      </w:tr>
      <w:tr w:rsidR="00975984" w:rsidRPr="008C6130" w14:paraId="5337885C" w14:textId="77777777" w:rsidTr="004B548A">
        <w:tc>
          <w:tcPr>
            <w:tcW w:w="4600" w:type="dxa"/>
          </w:tcPr>
          <w:p w14:paraId="0CEF30DC"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Number of rows total records</w:t>
            </w:r>
          </w:p>
        </w:tc>
        <w:tc>
          <w:tcPr>
            <w:tcW w:w="4760" w:type="dxa"/>
          </w:tcPr>
          <w:p w14:paraId="4F322EBA"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3,847</w:t>
            </w:r>
          </w:p>
        </w:tc>
      </w:tr>
      <w:tr w:rsidR="00975984" w:rsidRPr="008C6130" w14:paraId="4F1BC42C" w14:textId="77777777" w:rsidTr="004B548A">
        <w:tc>
          <w:tcPr>
            <w:tcW w:w="4600" w:type="dxa"/>
          </w:tcPr>
          <w:p w14:paraId="147715C1"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 xml:space="preserve">Number of columns </w:t>
            </w:r>
          </w:p>
        </w:tc>
        <w:tc>
          <w:tcPr>
            <w:tcW w:w="4760" w:type="dxa"/>
          </w:tcPr>
          <w:p w14:paraId="378A48E8"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10</w:t>
            </w:r>
          </w:p>
        </w:tc>
      </w:tr>
      <w:tr w:rsidR="00975984" w:rsidRPr="008C6130" w14:paraId="7E4D2D01" w14:textId="77777777" w:rsidTr="004B548A">
        <w:tc>
          <w:tcPr>
            <w:tcW w:w="4600" w:type="dxa"/>
          </w:tcPr>
          <w:p w14:paraId="7741A84B"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Number of markets</w:t>
            </w:r>
          </w:p>
        </w:tc>
        <w:tc>
          <w:tcPr>
            <w:tcW w:w="4760" w:type="dxa"/>
          </w:tcPr>
          <w:p w14:paraId="2CE23D0F"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25</w:t>
            </w:r>
          </w:p>
        </w:tc>
      </w:tr>
      <w:tr w:rsidR="00975984" w:rsidRPr="008C6130" w14:paraId="1BD41D47" w14:textId="77777777" w:rsidTr="004B548A">
        <w:tc>
          <w:tcPr>
            <w:tcW w:w="4600" w:type="dxa"/>
          </w:tcPr>
          <w:p w14:paraId="71C48748"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Number of districts</w:t>
            </w:r>
          </w:p>
        </w:tc>
        <w:tc>
          <w:tcPr>
            <w:tcW w:w="4760" w:type="dxa"/>
          </w:tcPr>
          <w:p w14:paraId="1B86C22E" w14:textId="77777777" w:rsidR="00975984" w:rsidRPr="008C6130" w:rsidRDefault="00975984" w:rsidP="004B548A">
            <w:pPr>
              <w:spacing w:line="360" w:lineRule="auto"/>
              <w:rPr>
                <w:rFonts w:ascii="Times New Roman" w:hAnsi="Times New Roman" w:cs="Times New Roman"/>
              </w:rPr>
            </w:pPr>
            <w:r w:rsidRPr="008C6130">
              <w:rPr>
                <w:rFonts w:ascii="Times New Roman" w:hAnsi="Times New Roman" w:cs="Times New Roman"/>
              </w:rPr>
              <w:t>14</w:t>
            </w:r>
          </w:p>
        </w:tc>
      </w:tr>
      <w:tr w:rsidR="00975984" w:rsidRPr="008C6130" w14:paraId="3535748C" w14:textId="77777777" w:rsidTr="004B548A">
        <w:tc>
          <w:tcPr>
            <w:tcW w:w="4600" w:type="dxa"/>
          </w:tcPr>
          <w:p w14:paraId="3373F9F8"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Study period</w:t>
            </w:r>
          </w:p>
        </w:tc>
        <w:tc>
          <w:tcPr>
            <w:tcW w:w="4760" w:type="dxa"/>
          </w:tcPr>
          <w:p w14:paraId="03497C62"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12-02-2022 to 30-04-2026</w:t>
            </w:r>
          </w:p>
        </w:tc>
      </w:tr>
      <w:tr w:rsidR="00975984" w:rsidRPr="008C6130" w14:paraId="10B15E18" w14:textId="77777777" w:rsidTr="004B548A">
        <w:tc>
          <w:tcPr>
            <w:tcW w:w="4600" w:type="dxa"/>
          </w:tcPr>
          <w:p w14:paraId="5EC4FA7F"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lastRenderedPageBreak/>
              <w:t>Mean modal price (</w:t>
            </w:r>
            <w:proofErr w:type="gramStart"/>
            <w:r w:rsidRPr="008C6130">
              <w:rPr>
                <w:rFonts w:ascii="Times New Roman" w:hAnsi="Times New Roman" w:cs="Times New Roman"/>
              </w:rPr>
              <w:t>Rs./</w:t>
            </w:r>
            <w:proofErr w:type="gramEnd"/>
            <w:r w:rsidRPr="008C6130">
              <w:rPr>
                <w:rFonts w:ascii="Times New Roman" w:hAnsi="Times New Roman" w:cs="Times New Roman"/>
              </w:rPr>
              <w:t>Quintal)</w:t>
            </w:r>
          </w:p>
        </w:tc>
        <w:tc>
          <w:tcPr>
            <w:tcW w:w="4760" w:type="dxa"/>
          </w:tcPr>
          <w:p w14:paraId="45CAD099"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8,200.29</w:t>
            </w:r>
          </w:p>
        </w:tc>
      </w:tr>
      <w:tr w:rsidR="00975984" w:rsidRPr="008C6130" w14:paraId="797C32E7" w14:textId="77777777" w:rsidTr="004B548A">
        <w:tc>
          <w:tcPr>
            <w:tcW w:w="4600" w:type="dxa"/>
          </w:tcPr>
          <w:p w14:paraId="7F737065"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Median modal price (</w:t>
            </w:r>
            <w:proofErr w:type="gramStart"/>
            <w:r w:rsidRPr="008C6130">
              <w:rPr>
                <w:rFonts w:ascii="Times New Roman" w:hAnsi="Times New Roman" w:cs="Times New Roman"/>
              </w:rPr>
              <w:t>Rs./</w:t>
            </w:r>
            <w:proofErr w:type="gramEnd"/>
            <w:r w:rsidRPr="008C6130">
              <w:rPr>
                <w:rFonts w:ascii="Times New Roman" w:hAnsi="Times New Roman" w:cs="Times New Roman"/>
              </w:rPr>
              <w:t>Quintal)</w:t>
            </w:r>
          </w:p>
        </w:tc>
        <w:tc>
          <w:tcPr>
            <w:tcW w:w="4760" w:type="dxa"/>
          </w:tcPr>
          <w:p w14:paraId="0AABBCF1"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5,500.00</w:t>
            </w:r>
          </w:p>
        </w:tc>
      </w:tr>
      <w:tr w:rsidR="00975984" w:rsidRPr="008C6130" w14:paraId="301D7FB0" w14:textId="77777777" w:rsidTr="004B548A">
        <w:tc>
          <w:tcPr>
            <w:tcW w:w="4600" w:type="dxa"/>
          </w:tcPr>
          <w:p w14:paraId="2CB9C174"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Mean arrival quantity (quintals)</w:t>
            </w:r>
          </w:p>
        </w:tc>
        <w:tc>
          <w:tcPr>
            <w:tcW w:w="4760" w:type="dxa"/>
          </w:tcPr>
          <w:p w14:paraId="6D3F4A97"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125.76</w:t>
            </w:r>
          </w:p>
        </w:tc>
      </w:tr>
      <w:tr w:rsidR="00975984" w:rsidRPr="008C6130" w14:paraId="56A43DB3" w14:textId="77777777" w:rsidTr="004B548A">
        <w:tc>
          <w:tcPr>
            <w:tcW w:w="4600" w:type="dxa"/>
          </w:tcPr>
          <w:p w14:paraId="76B84E16"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Median arrival quantity (quintals)</w:t>
            </w:r>
          </w:p>
        </w:tc>
        <w:tc>
          <w:tcPr>
            <w:tcW w:w="4760" w:type="dxa"/>
          </w:tcPr>
          <w:p w14:paraId="1798A951"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8.60</w:t>
            </w:r>
          </w:p>
        </w:tc>
      </w:tr>
      <w:tr w:rsidR="00975984" w:rsidRPr="008C6130" w14:paraId="58BB640D" w14:textId="77777777" w:rsidTr="004B548A">
        <w:tc>
          <w:tcPr>
            <w:tcW w:w="4600" w:type="dxa"/>
          </w:tcPr>
          <w:p w14:paraId="75DFDB7C" w14:textId="77777777" w:rsidR="00975984" w:rsidRPr="008C6130" w:rsidRDefault="00975984" w:rsidP="004B548A">
            <w:pPr>
              <w:spacing w:line="360" w:lineRule="auto"/>
              <w:rPr>
                <w:rFonts w:ascii="Times New Roman" w:hAnsi="Times New Roman" w:cs="Times New Roman"/>
              </w:rPr>
            </w:pPr>
            <w:r w:rsidRPr="008C6130">
              <w:rPr>
                <w:rFonts w:ascii="Times New Roman" w:hAnsi="Times New Roman" w:cs="Times New Roman"/>
              </w:rPr>
              <w:t>Target variable</w:t>
            </w:r>
          </w:p>
        </w:tc>
        <w:tc>
          <w:tcPr>
            <w:tcW w:w="4760" w:type="dxa"/>
          </w:tcPr>
          <w:p w14:paraId="27F40D9F"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Next observed modal price of the same market</w:t>
            </w:r>
          </w:p>
        </w:tc>
      </w:tr>
      <w:tr w:rsidR="00975984" w:rsidRPr="008C6130" w14:paraId="52C9E5B7" w14:textId="77777777" w:rsidTr="004B548A">
        <w:tc>
          <w:tcPr>
            <w:tcW w:w="4600" w:type="dxa"/>
          </w:tcPr>
          <w:p w14:paraId="27FA3804"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Total engineered features</w:t>
            </w:r>
          </w:p>
        </w:tc>
        <w:tc>
          <w:tcPr>
            <w:tcW w:w="4760" w:type="dxa"/>
          </w:tcPr>
          <w:p w14:paraId="4543BD81" w14:textId="77777777" w:rsidR="00975984" w:rsidRPr="008C6130" w:rsidRDefault="00975984" w:rsidP="004B548A">
            <w:pPr>
              <w:spacing w:line="360" w:lineRule="auto"/>
              <w:jc w:val="both"/>
              <w:rPr>
                <w:rFonts w:ascii="Times New Roman" w:hAnsi="Times New Roman" w:cs="Times New Roman"/>
              </w:rPr>
            </w:pPr>
            <w:r w:rsidRPr="008C6130">
              <w:rPr>
                <w:rFonts w:ascii="Times New Roman" w:hAnsi="Times New Roman" w:cs="Times New Roman"/>
              </w:rPr>
              <w:t>70</w:t>
            </w:r>
          </w:p>
        </w:tc>
      </w:tr>
    </w:tbl>
    <w:p w14:paraId="267E6DE1" w14:textId="77777777" w:rsidR="00975984" w:rsidRPr="00B7088D" w:rsidRDefault="00975984" w:rsidP="00975984">
      <w:pPr>
        <w:spacing w:before="80" w:after="120" w:line="360" w:lineRule="auto"/>
        <w:jc w:val="both"/>
        <w:rPr>
          <w:rFonts w:ascii="Times New Roman" w:hAnsi="Times New Roman" w:cs="Times New Roman"/>
          <w:b/>
          <w:bCs/>
        </w:rPr>
      </w:pPr>
      <w:r w:rsidRPr="00B7088D">
        <w:rPr>
          <w:rFonts w:ascii="Times New Roman" w:hAnsi="Times New Roman" w:cs="Times New Roman"/>
          <w:b/>
          <w:bCs/>
        </w:rPr>
        <w:t>3.1 Data collection</w:t>
      </w:r>
    </w:p>
    <w:p w14:paraId="5B4A26C1" w14:textId="77777777" w:rsidR="00975984"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The cleaned dataset spans 12 February 2022 to 30 April 2026, but market reporting is irregular rather than daily or uniformly monthly. For that reason, the timeline should be interpreted as observational coverage rather than a continuous series for every market. The wide gap between mean and median arrival quantity also shows that a small number of high-volume observations pull the average upward.</w:t>
      </w:r>
    </w:p>
    <w:p w14:paraId="46BDA808" w14:textId="77777777" w:rsidR="00975984" w:rsidRPr="00BB3856" w:rsidRDefault="00975984" w:rsidP="00975984">
      <w:pPr>
        <w:spacing w:before="80" w:after="120" w:line="360" w:lineRule="auto"/>
        <w:jc w:val="both"/>
        <w:rPr>
          <w:rFonts w:ascii="Times New Roman" w:hAnsi="Times New Roman" w:cs="Times New Roman"/>
        </w:rPr>
      </w:pPr>
      <w:r w:rsidRPr="00B7088D">
        <w:rPr>
          <w:rFonts w:ascii="Times New Roman" w:hAnsi="Times New Roman" w:cs="Times New Roman"/>
          <w:b/>
          <w:bCs/>
        </w:rPr>
        <w:t>3.2</w:t>
      </w:r>
      <w:r>
        <w:rPr>
          <w:rFonts w:ascii="Times New Roman" w:hAnsi="Times New Roman" w:cs="Times New Roman"/>
        </w:rPr>
        <w:t xml:space="preserve"> </w:t>
      </w:r>
      <w:r w:rsidRPr="00B7088D">
        <w:rPr>
          <w:rFonts w:ascii="Times New Roman" w:hAnsi="Times New Roman" w:cs="Times New Roman"/>
          <w:b/>
          <w:bCs/>
        </w:rPr>
        <w:t>Data Cleaning and Preprocessing</w:t>
      </w:r>
    </w:p>
    <w:p w14:paraId="74E426A6" w14:textId="77777777" w:rsidR="00975984"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Inconsistencies in raw data obtained from the APMC sources had to be addressed systematically. First, observations pertaining only to the mango fruit were selected. The dates in the data were parsed to a standardized date format and then sorted chronologically. The price and arrival columns were then cast as numerical columns, with any invalid strings and negative numbers removed from them. In addition, missing values in important columns were removed from the data, as the data was dense enough to accommodate the absence of some data points.</w:t>
      </w:r>
    </w:p>
    <w:p w14:paraId="6FABB626" w14:textId="77777777" w:rsidR="00975984" w:rsidRPr="00B7088D" w:rsidRDefault="00975984" w:rsidP="00975984">
      <w:pPr>
        <w:spacing w:line="360" w:lineRule="auto"/>
        <w:jc w:val="both"/>
        <w:rPr>
          <w:rFonts w:ascii="Times New Roman" w:hAnsi="Times New Roman" w:cs="Times New Roman"/>
          <w:b/>
          <w:bCs/>
          <w:color w:val="000000" w:themeColor="text1"/>
        </w:rPr>
      </w:pPr>
      <w:r w:rsidRPr="00B7088D">
        <w:rPr>
          <w:rFonts w:ascii="Times New Roman" w:hAnsi="Times New Roman" w:cs="Times New Roman"/>
          <w:b/>
          <w:bCs/>
          <w:color w:val="000000" w:themeColor="text1"/>
        </w:rPr>
        <w:t>3.3 Exploratory Data Analysis</w:t>
      </w:r>
    </w:p>
    <w:p w14:paraId="2977B5C9" w14:textId="77777777" w:rsidR="00975984"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Exploratory analysis was carried out before any modelling to build familiarity with the dataset's structure and behaviour. Visualisations were prepared for price distributions, arrival volumes, seasonal variation across calendar months, reporting frequency over time, the number of active markets per month, and the date ranges covered by individual markets. Price outliers were examined rather than removed, as some extreme values appear to reflect genuine premium trading events.</w:t>
      </w:r>
    </w:p>
    <w:p w14:paraId="70859BBC" w14:textId="77777777" w:rsidR="00975984" w:rsidRPr="00BB3856"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4</w:t>
      </w:r>
      <w:r w:rsidRPr="00BB3856">
        <w:rPr>
          <w:rFonts w:ascii="Times New Roman" w:hAnsi="Times New Roman" w:cs="Times New Roman"/>
          <w:color w:val="000000" w:themeColor="text1"/>
          <w:sz w:val="24"/>
          <w:szCs w:val="24"/>
        </w:rPr>
        <w:t xml:space="preserve"> Target Definition</w:t>
      </w:r>
    </w:p>
    <w:p w14:paraId="50B47295"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 xml:space="preserve">Unlike the traditional forecasting method where the forecast horizon was set to a specific future time point, the forecasting problem was formulated as the prediction of the mode of the price on the subsequent reporting event of the market in question. It is a much more practical approach considering that the dataset consists of the markets with different reporting periods. </w:t>
      </w:r>
      <w:r w:rsidRPr="00BB3856">
        <w:rPr>
          <w:rFonts w:ascii="Times New Roman" w:hAnsi="Times New Roman" w:cs="Times New Roman"/>
          <w:color w:val="000000" w:themeColor="text1"/>
        </w:rPr>
        <w:lastRenderedPageBreak/>
        <w:t>The market that reports its prices every several days should be considered differently from the market that reports weekly or monthly.</w:t>
      </w:r>
    </w:p>
    <w:p w14:paraId="359C9E90" w14:textId="77777777" w:rsidR="00975984" w:rsidRPr="00BB3856"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5</w:t>
      </w:r>
      <w:r w:rsidRPr="00BB3856">
        <w:rPr>
          <w:rFonts w:ascii="Times New Roman" w:hAnsi="Times New Roman" w:cs="Times New Roman"/>
          <w:color w:val="000000" w:themeColor="text1"/>
          <w:sz w:val="24"/>
          <w:szCs w:val="24"/>
        </w:rPr>
        <w:t xml:space="preserve"> Leakage-Safe Feature Engineering</w:t>
      </w:r>
    </w:p>
    <w:p w14:paraId="547BCB62"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Feature construction was carried out strictly using past observations. No information from the target observation or any future record was used. The following feature groups were generated:</w:t>
      </w:r>
    </w:p>
    <w:p w14:paraId="2C365CF9"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Historical price lags (most recent 1, 2, 3, and further back observations)</w:t>
      </w:r>
    </w:p>
    <w:p w14:paraId="3C99854A"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Rolling price averages over windows of 3, 5, and 10 previous observations</w:t>
      </w:r>
    </w:p>
    <w:p w14:paraId="689B30A3"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Price deviation from rolling means (how far the current price is from its recent average)</w:t>
      </w:r>
    </w:p>
    <w:p w14:paraId="24A5C55E"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One-step and multi-step price changes to capture momentum</w:t>
      </w:r>
    </w:p>
    <w:p w14:paraId="06916D0F"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Rolling price volatility (standard deviation over recent observations)</w:t>
      </w:r>
    </w:p>
    <w:p w14:paraId="14119DFC"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Arrival volume lags and rolling statistics</w:t>
      </w:r>
    </w:p>
    <w:p w14:paraId="02E6959B"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Calendar features: day of week, month, day of year</w:t>
      </w:r>
    </w:p>
    <w:p w14:paraId="6306129B"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Seasonal indicators: mango season flag and off-season flag</w:t>
      </w:r>
    </w:p>
    <w:p w14:paraId="7B04A018"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Market identity and district</w:t>
      </w:r>
    </w:p>
    <w:p w14:paraId="7B7EBD1D"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Market age in days (number of days since the market's first record in the dataset)</w:t>
      </w:r>
    </w:p>
    <w:p w14:paraId="482A003D"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In total, 70 features were generated. Records lacking sufficient history to compute the lag and rolling features were dropped, leaving the final modelling dataset somewhat smaller than the full cleaned dataset.</w:t>
      </w:r>
    </w:p>
    <w:p w14:paraId="0E5803FF" w14:textId="77777777" w:rsidR="00975984" w:rsidRPr="00BB3856"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6</w:t>
      </w:r>
      <w:r w:rsidRPr="00BB3856">
        <w:rPr>
          <w:rFonts w:ascii="Times New Roman" w:hAnsi="Times New Roman" w:cs="Times New Roman"/>
          <w:color w:val="000000" w:themeColor="text1"/>
          <w:sz w:val="24"/>
          <w:szCs w:val="24"/>
        </w:rPr>
        <w:t xml:space="preserve"> Chronological Data Splitting</w:t>
      </w:r>
    </w:p>
    <w:p w14:paraId="619E0D53"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rPr>
        <w:t>The data were split chronologically using the target date of the next-report observation. Records before 1 May 2025 formed the training portion, records from 1 May 2025 to 2 August 2025 formed the validation window, and records from 3 August 2025 onward were kept as the untouched test set. This design prevented look-ahead bias and ensured that each evaluation reflected a genuine forward prediction setting.</w:t>
      </w:r>
    </w:p>
    <w:p w14:paraId="07721221" w14:textId="77777777" w:rsidR="00975984" w:rsidRPr="00BB3856"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7</w:t>
      </w:r>
      <w:r w:rsidRPr="00BB3856">
        <w:rPr>
          <w:rFonts w:ascii="Times New Roman" w:hAnsi="Times New Roman" w:cs="Times New Roman"/>
          <w:color w:val="000000" w:themeColor="text1"/>
          <w:sz w:val="24"/>
          <w:szCs w:val="24"/>
        </w:rPr>
        <w:t xml:space="preserve"> Model Training</w:t>
      </w:r>
    </w:p>
    <w:p w14:paraId="3E2E41D2"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Three regression algorithms were selected and trained on the feature-engineered training set:</w:t>
      </w:r>
    </w:p>
    <w:p w14:paraId="0F9FFA39"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Gradient Boosting Regressor (GBR) — sequential ensemble that corrects residual errors across iterations</w:t>
      </w:r>
    </w:p>
    <w:p w14:paraId="074F0386"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t>Random Forest Regressor (RF) — parallel ensemble of decision trees with bagging</w:t>
      </w:r>
    </w:p>
    <w:p w14:paraId="7D46E299"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rPr>
        <w:lastRenderedPageBreak/>
        <w:t>Extreme Gradient Boosting (</w:t>
      </w:r>
      <w:proofErr w:type="spellStart"/>
      <w:r w:rsidRPr="00BB3856">
        <w:rPr>
          <w:rFonts w:ascii="Times New Roman" w:hAnsi="Times New Roman" w:cs="Times New Roman"/>
        </w:rPr>
        <w:t>XGBoost</w:t>
      </w:r>
      <w:proofErr w:type="spellEnd"/>
      <w:r w:rsidRPr="00BB3856">
        <w:rPr>
          <w:rFonts w:ascii="Times New Roman" w:hAnsi="Times New Roman" w:cs="Times New Roman"/>
        </w:rPr>
        <w:t>) — regularised gradient boosting with column and row subsampling</w:t>
      </w:r>
    </w:p>
    <w:p w14:paraId="23700D42" w14:textId="77777777" w:rsidR="00975984" w:rsidRPr="005A4F88" w:rsidRDefault="00975984" w:rsidP="00975984">
      <w:pPr>
        <w:spacing w:before="80" w:after="120" w:line="360" w:lineRule="auto"/>
        <w:jc w:val="both"/>
        <w:rPr>
          <w:rFonts w:ascii="Times New Roman" w:hAnsi="Times New Roman" w:cs="Times New Roman"/>
        </w:rPr>
      </w:pPr>
      <w:r w:rsidRPr="005A4F88">
        <w:rPr>
          <w:rFonts w:ascii="Times New Roman" w:hAnsi="Times New Roman" w:cs="Times New Roman"/>
        </w:rPr>
        <w:t>Each model was trained on identical features under the same chronological split, allowing direct comparison of their forecasting performance.</w:t>
      </w:r>
    </w:p>
    <w:p w14:paraId="1CB95241" w14:textId="77777777" w:rsidR="00975984" w:rsidRPr="005A4F88" w:rsidRDefault="00975984" w:rsidP="00975984">
      <w:pPr>
        <w:spacing w:line="360" w:lineRule="auto"/>
        <w:jc w:val="both"/>
        <w:rPr>
          <w:rFonts w:ascii="Times New Roman" w:hAnsi="Times New Roman" w:cs="Times New Roman"/>
        </w:rPr>
      </w:pPr>
      <w:r w:rsidRPr="005A4F88">
        <w:rPr>
          <w:rFonts w:ascii="Times New Roman" w:hAnsi="Times New Roman" w:cs="Times New Roman"/>
        </w:rPr>
        <w:t>In addition to the tree-based machine-learning models, a sequence-learning benchmark was added for eligible markets with sufficient observations. For each market, observations were sorted chronologically and converted into 14-report lookback windows using modal price, arrival quantity, reporting gap, short rolling statistics, seasonal encodings, and report number. The sequence component was evaluated market-wise rather than pooled blindly across all districts because APMC markets differ in reporting frequency, volatility, and price behaviour.</w:t>
      </w:r>
    </w:p>
    <w:p w14:paraId="0C9540B6" w14:textId="77777777" w:rsidR="00975984" w:rsidRPr="005A4F88" w:rsidRDefault="00975984" w:rsidP="00975984">
      <w:pPr>
        <w:spacing w:line="360" w:lineRule="auto"/>
        <w:jc w:val="both"/>
        <w:rPr>
          <w:rFonts w:ascii="Times New Roman" w:hAnsi="Times New Roman" w:cs="Times New Roman"/>
        </w:rPr>
      </w:pPr>
      <w:r w:rsidRPr="005A4F88">
        <w:rPr>
          <w:rFonts w:ascii="Times New Roman" w:hAnsi="Times New Roman" w:cs="Times New Roman"/>
        </w:rPr>
        <w:t xml:space="preserve">To keep this extension leakage-safe, the sequence benchmark used chronological train, validation, and test windows. Guarding parameters and the </w:t>
      </w:r>
      <w:proofErr w:type="spellStart"/>
      <w:r w:rsidRPr="005A4F88">
        <w:rPr>
          <w:rFonts w:ascii="Times New Roman" w:hAnsi="Times New Roman" w:cs="Times New Roman"/>
        </w:rPr>
        <w:t>LSTM_Hybrid</w:t>
      </w:r>
      <w:proofErr w:type="spellEnd"/>
      <w:r w:rsidRPr="005A4F88">
        <w:rPr>
          <w:rFonts w:ascii="Times New Roman" w:hAnsi="Times New Roman" w:cs="Times New Roman"/>
        </w:rPr>
        <w:t xml:space="preserve"> blend weight were selected only on validation data, then applied once to the untouched test period. Raw sequence predictions were retained for comparison, but the dashboard reports </w:t>
      </w:r>
      <w:proofErr w:type="spellStart"/>
      <w:r w:rsidRPr="005A4F88">
        <w:rPr>
          <w:rFonts w:ascii="Times New Roman" w:hAnsi="Times New Roman" w:cs="Times New Roman"/>
        </w:rPr>
        <w:t>LSTM_Hybrid</w:t>
      </w:r>
      <w:proofErr w:type="spellEnd"/>
      <w:r w:rsidRPr="005A4F88">
        <w:rPr>
          <w:rFonts w:ascii="Times New Roman" w:hAnsi="Times New Roman" w:cs="Times New Roman"/>
        </w:rPr>
        <w:t xml:space="preserve"> as the usable LSTM-enhanced result because it caps unstable jumps and blends the sequence signal only when validation supports it.</w:t>
      </w:r>
    </w:p>
    <w:p w14:paraId="54E04954" w14:textId="77777777" w:rsidR="00975984" w:rsidRPr="00BB3856"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8</w:t>
      </w:r>
      <w:r w:rsidRPr="00BB3856">
        <w:rPr>
          <w:rFonts w:ascii="Times New Roman" w:hAnsi="Times New Roman" w:cs="Times New Roman"/>
          <w:color w:val="000000" w:themeColor="text1"/>
          <w:sz w:val="24"/>
          <w:szCs w:val="24"/>
        </w:rPr>
        <w:t xml:space="preserve"> Hyperparameter Tuning</w:t>
      </w:r>
    </w:p>
    <w:p w14:paraId="3B69F2BC"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The process of searching for optimal hyperparameters was done through a method of time-series aware expanding window cross-validation. In each fold, training was done using all the data before a certain cutoff and testing was done on the immediate window thereafter. This avoids validation set leakage and thus provides a better picture of how model performance varies across time.</w:t>
      </w:r>
    </w:p>
    <w:p w14:paraId="6A91DA41" w14:textId="77777777" w:rsidR="00975984" w:rsidRPr="00BB3856" w:rsidRDefault="00975984" w:rsidP="00975984">
      <w:pPr>
        <w:pStyle w:val="Heading2"/>
        <w:spacing w:before="80" w:after="120" w:line="360" w:lineRule="auto"/>
        <w:jc w:val="both"/>
        <w:rPr>
          <w:rFonts w:ascii="Times New Roman" w:hAnsi="Times New Roman" w:cs="Times New Roman"/>
          <w:b w:val="0"/>
          <w:bCs w:val="0"/>
          <w:sz w:val="24"/>
          <w:szCs w:val="24"/>
        </w:rPr>
      </w:pPr>
      <w:r w:rsidRPr="00BB3856">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9</w:t>
      </w:r>
      <w:r w:rsidRPr="00BB3856">
        <w:rPr>
          <w:rFonts w:ascii="Times New Roman" w:hAnsi="Times New Roman" w:cs="Times New Roman"/>
          <w:color w:val="000000" w:themeColor="text1"/>
          <w:sz w:val="24"/>
          <w:szCs w:val="24"/>
        </w:rPr>
        <w:t xml:space="preserve"> Hybrid Ensemble Model</w:t>
      </w:r>
    </w:p>
    <w:p w14:paraId="786EE626" w14:textId="77777777" w:rsidR="00975984" w:rsidRPr="00BB3856" w:rsidRDefault="00975984" w:rsidP="00975984">
      <w:pPr>
        <w:spacing w:before="80" w:after="120"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 xml:space="preserve">The weighted ensemble model was created by merging the forecasts of the GBR, RF, and </w:t>
      </w:r>
      <w:proofErr w:type="spellStart"/>
      <w:r w:rsidRPr="00BB3856">
        <w:rPr>
          <w:rFonts w:ascii="Times New Roman" w:hAnsi="Times New Roman" w:cs="Times New Roman"/>
          <w:color w:val="000000" w:themeColor="text1"/>
        </w:rPr>
        <w:t>XGBoost</w:t>
      </w:r>
      <w:proofErr w:type="spellEnd"/>
      <w:r w:rsidRPr="00BB3856">
        <w:rPr>
          <w:rFonts w:ascii="Times New Roman" w:hAnsi="Times New Roman" w:cs="Times New Roman"/>
          <w:color w:val="000000" w:themeColor="text1"/>
        </w:rPr>
        <w:t xml:space="preserve"> models. The weights for the respective models were determined according to their relative performance on the validation data set, meaning that the better-performing models had a greater say in the final prediction process. This model was hoped to alleviate reliance on the peculiarities of individual models and iron out forecasting errors due to market conditions they cannot capture.</w:t>
      </w:r>
    </w:p>
    <w:p w14:paraId="51802748" w14:textId="77777777" w:rsidR="00975984" w:rsidRPr="00BB3856" w:rsidRDefault="00975984" w:rsidP="00975984">
      <w:pPr>
        <w:pStyle w:val="Heading2"/>
        <w:spacing w:before="80" w:after="120" w:line="360" w:lineRule="auto"/>
        <w:jc w:val="both"/>
        <w:rPr>
          <w:rFonts w:ascii="Times New Roman" w:hAnsi="Times New Roman" w:cs="Times New Roman"/>
          <w:b w:val="0"/>
          <w:bCs w:val="0"/>
          <w:sz w:val="24"/>
          <w:szCs w:val="24"/>
        </w:rPr>
      </w:pPr>
      <w:r w:rsidRPr="00BB3856">
        <w:rPr>
          <w:rFonts w:ascii="Times New Roman" w:hAnsi="Times New Roman" w:cs="Times New Roman"/>
          <w:color w:val="000000" w:themeColor="text1"/>
          <w:sz w:val="24"/>
          <w:szCs w:val="24"/>
        </w:rPr>
        <w:t>3.1</w:t>
      </w:r>
      <w:r>
        <w:rPr>
          <w:rFonts w:ascii="Times New Roman" w:hAnsi="Times New Roman" w:cs="Times New Roman"/>
          <w:color w:val="000000" w:themeColor="text1"/>
          <w:sz w:val="24"/>
          <w:szCs w:val="24"/>
        </w:rPr>
        <w:t>0</w:t>
      </w:r>
      <w:r w:rsidRPr="00BB3856">
        <w:rPr>
          <w:rFonts w:ascii="Times New Roman" w:hAnsi="Times New Roman" w:cs="Times New Roman"/>
          <w:color w:val="000000" w:themeColor="text1"/>
          <w:sz w:val="24"/>
          <w:szCs w:val="24"/>
        </w:rPr>
        <w:t xml:space="preserve"> Model Evaluation</w:t>
      </w:r>
    </w:p>
    <w:p w14:paraId="3C6FC927"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lastRenderedPageBreak/>
        <w:t>All models were evaluated against the chronological test set, which was held out throughout the development process. Performance was assessed using five metrics:</w:t>
      </w:r>
    </w:p>
    <w:p w14:paraId="2784A866"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b/>
          <w:bCs/>
        </w:rPr>
        <w:t xml:space="preserve">MAE (Mean Absolute Error): </w:t>
      </w:r>
      <w:r w:rsidRPr="00BB3856">
        <w:rPr>
          <w:rFonts w:ascii="Times New Roman" w:hAnsi="Times New Roman" w:cs="Times New Roman"/>
        </w:rPr>
        <w:t>Average magnitude of prediction error in rupees per quintal.</w:t>
      </w:r>
    </w:p>
    <w:p w14:paraId="273D129E"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b/>
          <w:bCs/>
        </w:rPr>
        <w:t xml:space="preserve">RMSE (Root Mean Squared Error): </w:t>
      </w:r>
      <w:r w:rsidRPr="00BB3856">
        <w:rPr>
          <w:rFonts w:ascii="Times New Roman" w:hAnsi="Times New Roman" w:cs="Times New Roman"/>
        </w:rPr>
        <w:t>Penalises large errors more heavily than MAE; sensitive to outliers.</w:t>
      </w:r>
    </w:p>
    <w:p w14:paraId="6D000EC3"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b/>
          <w:bCs/>
        </w:rPr>
        <w:t xml:space="preserve">MAPE (Mean Absolute Percentage Error): </w:t>
      </w:r>
      <w:r w:rsidRPr="00BB3856">
        <w:rPr>
          <w:rFonts w:ascii="Times New Roman" w:hAnsi="Times New Roman" w:cs="Times New Roman"/>
        </w:rPr>
        <w:t>Error expressed as a percentage of the actual price, enabling comparison across price levels.</w:t>
      </w:r>
    </w:p>
    <w:p w14:paraId="3643471A"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proofErr w:type="spellStart"/>
      <w:r w:rsidRPr="00BB3856">
        <w:rPr>
          <w:rFonts w:ascii="Times New Roman" w:hAnsi="Times New Roman" w:cs="Times New Roman"/>
          <w:b/>
          <w:bCs/>
        </w:rPr>
        <w:t>sMAPE</w:t>
      </w:r>
      <w:proofErr w:type="spellEnd"/>
      <w:r w:rsidRPr="00BB3856">
        <w:rPr>
          <w:rFonts w:ascii="Times New Roman" w:hAnsi="Times New Roman" w:cs="Times New Roman"/>
          <w:b/>
          <w:bCs/>
        </w:rPr>
        <w:t xml:space="preserve"> (Symmetric MAPE): </w:t>
      </w:r>
      <w:r w:rsidRPr="00BB3856">
        <w:rPr>
          <w:rFonts w:ascii="Times New Roman" w:hAnsi="Times New Roman" w:cs="Times New Roman"/>
        </w:rPr>
        <w:t>A symmetric variant of MAPE that is less distorted when actual values are close to zero.</w:t>
      </w:r>
    </w:p>
    <w:p w14:paraId="4E0B7873" w14:textId="77777777" w:rsidR="00975984" w:rsidRPr="00BB3856" w:rsidRDefault="00975984" w:rsidP="00975984">
      <w:pPr>
        <w:pStyle w:val="ListParagraph"/>
        <w:numPr>
          <w:ilvl w:val="0"/>
          <w:numId w:val="2"/>
        </w:numPr>
        <w:spacing w:before="40" w:after="40" w:line="360" w:lineRule="auto"/>
        <w:jc w:val="both"/>
        <w:rPr>
          <w:rFonts w:ascii="Times New Roman" w:hAnsi="Times New Roman" w:cs="Times New Roman"/>
        </w:rPr>
      </w:pPr>
      <w:r w:rsidRPr="00BB3856">
        <w:rPr>
          <w:rFonts w:ascii="Times New Roman" w:hAnsi="Times New Roman" w:cs="Times New Roman"/>
          <w:b/>
          <w:bCs/>
        </w:rPr>
        <w:t xml:space="preserve">R² (Coefficient of Determination): </w:t>
      </w:r>
      <w:r w:rsidRPr="00BB3856">
        <w:rPr>
          <w:rFonts w:ascii="Times New Roman" w:hAnsi="Times New Roman" w:cs="Times New Roman"/>
        </w:rPr>
        <w:t>Proportion of variance in the target price explained by the model. Higher is better.</w:t>
      </w:r>
    </w:p>
    <w:p w14:paraId="2918C2F9"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Using multiple metrics avoids over-reliance on any single criterion and provides a more rounded picture of how each model performs.</w:t>
      </w:r>
    </w:p>
    <w:p w14:paraId="35FC9337" w14:textId="77777777" w:rsidR="00975984" w:rsidRPr="00BB3856" w:rsidRDefault="00975984" w:rsidP="00975984">
      <w:pPr>
        <w:pStyle w:val="Heading2"/>
        <w:spacing w:before="80" w:after="120"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3.1</w:t>
      </w:r>
      <w:r>
        <w:rPr>
          <w:rFonts w:ascii="Times New Roman" w:hAnsi="Times New Roman" w:cs="Times New Roman"/>
          <w:color w:val="000000" w:themeColor="text1"/>
          <w:sz w:val="24"/>
          <w:szCs w:val="24"/>
        </w:rPr>
        <w:t>1</w:t>
      </w:r>
      <w:r w:rsidRPr="00BB3856">
        <w:rPr>
          <w:rFonts w:ascii="Times New Roman" w:hAnsi="Times New Roman" w:cs="Times New Roman"/>
          <w:color w:val="000000" w:themeColor="text1"/>
          <w:sz w:val="24"/>
          <w:szCs w:val="24"/>
        </w:rPr>
        <w:t xml:space="preserve"> Explainability Analysis</w:t>
      </w:r>
    </w:p>
    <w:p w14:paraId="35A866C5" w14:textId="77777777" w:rsidR="00975984" w:rsidRPr="00BB3856" w:rsidRDefault="00975984" w:rsidP="00975984">
      <w:pPr>
        <w:spacing w:before="80" w:after="120"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The SHAP (</w:t>
      </w:r>
      <w:proofErr w:type="spellStart"/>
      <w:r w:rsidRPr="00BB3856">
        <w:rPr>
          <w:rFonts w:ascii="Times New Roman" w:hAnsi="Times New Roman" w:cs="Times New Roman"/>
          <w:color w:val="000000" w:themeColor="text1"/>
        </w:rPr>
        <w:t>SHapley</w:t>
      </w:r>
      <w:proofErr w:type="spellEnd"/>
      <w:r w:rsidRPr="00BB3856">
        <w:rPr>
          <w:rFonts w:ascii="Times New Roman" w:hAnsi="Times New Roman" w:cs="Times New Roman"/>
          <w:color w:val="000000" w:themeColor="text1"/>
        </w:rPr>
        <w:t xml:space="preserve"> Additive </w:t>
      </w:r>
      <w:proofErr w:type="spellStart"/>
      <w:r w:rsidRPr="00BB3856">
        <w:rPr>
          <w:rFonts w:ascii="Times New Roman" w:hAnsi="Times New Roman" w:cs="Times New Roman"/>
          <w:color w:val="000000" w:themeColor="text1"/>
        </w:rPr>
        <w:t>exPlanations</w:t>
      </w:r>
      <w:proofErr w:type="spellEnd"/>
      <w:r w:rsidRPr="00BB3856">
        <w:rPr>
          <w:rFonts w:ascii="Times New Roman" w:hAnsi="Times New Roman" w:cs="Times New Roman"/>
          <w:color w:val="000000" w:themeColor="text1"/>
        </w:rPr>
        <w:t xml:space="preserve">) method was used to uncover which features played a role in the predictions of the trained </w:t>
      </w:r>
      <w:proofErr w:type="spellStart"/>
      <w:r w:rsidRPr="00BB3856">
        <w:rPr>
          <w:rFonts w:ascii="Times New Roman" w:hAnsi="Times New Roman" w:cs="Times New Roman"/>
          <w:color w:val="000000" w:themeColor="text1"/>
        </w:rPr>
        <w:t>XGBoost</w:t>
      </w:r>
      <w:proofErr w:type="spellEnd"/>
      <w:r w:rsidRPr="00BB3856">
        <w:rPr>
          <w:rFonts w:ascii="Times New Roman" w:hAnsi="Times New Roman" w:cs="Times New Roman"/>
          <w:color w:val="000000" w:themeColor="text1"/>
        </w:rPr>
        <w:t xml:space="preserve"> model. The values calculated by SHAP are based on cooperative game theory and indicate how much each feature is responsible for the difference between the prediction in question and the mean prediction on the entire dataset.</w:t>
      </w:r>
    </w:p>
    <w:p w14:paraId="187B597A"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color w:val="000000" w:themeColor="text1"/>
        </w:rPr>
        <w:t>This method helps to deal with an important issue encountered when making agricultural forecasts: it is necessary to ensure that the users believe in the prediction because they know the reasons behind it.</w:t>
      </w:r>
    </w:p>
    <w:p w14:paraId="4F2462DA" w14:textId="77777777" w:rsidR="00975984" w:rsidRPr="00BB3856"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3.1</w:t>
      </w:r>
      <w:r>
        <w:rPr>
          <w:rFonts w:ascii="Times New Roman" w:hAnsi="Times New Roman" w:cs="Times New Roman"/>
          <w:color w:val="000000" w:themeColor="text1"/>
          <w:sz w:val="24"/>
          <w:szCs w:val="24"/>
        </w:rPr>
        <w:t>2</w:t>
      </w:r>
      <w:r w:rsidRPr="00BB3856">
        <w:rPr>
          <w:rFonts w:ascii="Times New Roman" w:hAnsi="Times New Roman" w:cs="Times New Roman"/>
          <w:color w:val="000000" w:themeColor="text1"/>
          <w:sz w:val="24"/>
          <w:szCs w:val="24"/>
        </w:rPr>
        <w:t xml:space="preserve"> Dashboard Development</w:t>
      </w:r>
    </w:p>
    <w:p w14:paraId="41F1349D" w14:textId="77777777" w:rsidR="00975984" w:rsidRDefault="00975984" w:rsidP="00975984">
      <w:pPr>
        <w:spacing w:line="360" w:lineRule="auto"/>
        <w:jc w:val="both"/>
        <w:rPr>
          <w:rFonts w:ascii="Times New Roman" w:hAnsi="Times New Roman" w:cs="Times New Roman"/>
        </w:rPr>
      </w:pPr>
      <w:r w:rsidRPr="00BB3856">
        <w:rPr>
          <w:rFonts w:ascii="Times New Roman" w:hAnsi="Times New Roman" w:cs="Times New Roman"/>
        </w:rPr>
        <w:t xml:space="preserve">The interactive application was developed using the </w:t>
      </w:r>
      <w:proofErr w:type="spellStart"/>
      <w:r w:rsidRPr="00BB3856">
        <w:rPr>
          <w:rFonts w:ascii="Times New Roman" w:hAnsi="Times New Roman" w:cs="Times New Roman"/>
        </w:rPr>
        <w:t>Streamlit</w:t>
      </w:r>
      <w:proofErr w:type="spellEnd"/>
      <w:r w:rsidRPr="00BB3856">
        <w:rPr>
          <w:rFonts w:ascii="Times New Roman" w:hAnsi="Times New Roman" w:cs="Times New Roman"/>
        </w:rPr>
        <w:t xml:space="preserve"> package for those who do not have any knowledge of machine learning models. There are five key pages available in the dashboard including the market data explorer with charts, next-report price forecast, future price projection, models' performance comparison, and SHAP explanation. All that allows the user to gain insights into the data, evaluate the performance of the model, make projections and understand which features the model reacts to, without having to write any code.</w:t>
      </w:r>
    </w:p>
    <w:p w14:paraId="6E638A20" w14:textId="77777777" w:rsidR="00975984" w:rsidRDefault="00975984" w:rsidP="00975984">
      <w:pPr>
        <w:spacing w:line="360" w:lineRule="auto"/>
        <w:jc w:val="both"/>
        <w:rPr>
          <w:rFonts w:ascii="Times New Roman" w:hAnsi="Times New Roman" w:cs="Times New Roman"/>
          <w:b/>
          <w:bCs/>
          <w:color w:val="000000" w:themeColor="text1"/>
          <w:sz w:val="28"/>
          <w:szCs w:val="28"/>
        </w:rPr>
      </w:pPr>
    </w:p>
    <w:p w14:paraId="3022B9FA" w14:textId="77777777" w:rsidR="00975984" w:rsidRDefault="00975984" w:rsidP="00975984">
      <w:pPr>
        <w:spacing w:line="360" w:lineRule="auto"/>
        <w:jc w:val="both"/>
        <w:rPr>
          <w:rFonts w:ascii="Times New Roman" w:hAnsi="Times New Roman" w:cs="Times New Roman"/>
          <w:b/>
          <w:bCs/>
          <w:color w:val="000000" w:themeColor="text1"/>
          <w:sz w:val="28"/>
          <w:szCs w:val="28"/>
        </w:rPr>
      </w:pPr>
    </w:p>
    <w:p w14:paraId="5D7C48B2" w14:textId="7BB6D553" w:rsidR="00975984" w:rsidRPr="001C72E9" w:rsidRDefault="00975984" w:rsidP="00975984">
      <w:pPr>
        <w:spacing w:line="360" w:lineRule="auto"/>
        <w:jc w:val="both"/>
        <w:rPr>
          <w:rFonts w:ascii="Times New Roman" w:hAnsi="Times New Roman" w:cs="Times New Roman"/>
        </w:rPr>
      </w:pPr>
      <w:r>
        <w:rPr>
          <w:rFonts w:ascii="Times New Roman" w:hAnsi="Times New Roman" w:cs="Times New Roman"/>
          <w:b/>
          <w:bCs/>
          <w:color w:val="000000" w:themeColor="text1"/>
          <w:sz w:val="28"/>
          <w:szCs w:val="28"/>
        </w:rPr>
        <w:lastRenderedPageBreak/>
        <w:t>Chapter 4: Results and Discussion</w:t>
      </w:r>
    </w:p>
    <w:p w14:paraId="03FDB075" w14:textId="77777777" w:rsidR="00975984" w:rsidRPr="00BB3856"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4.1 Overview</w:t>
      </w:r>
    </w:p>
    <w:p w14:paraId="3667192C"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rPr>
        <w:t>This chapter presents the empirical results obtained from 3,847 cleaned mango-market observations drawn from 25 Maharashtra APMC markets across 14 districts. The descriptive and predictive findings are interpreted together so that dataset behaviour, model performance, and dashboard outputs can be viewed as parts of a single forecasting workflow.</w:t>
      </w:r>
    </w:p>
    <w:p w14:paraId="2C3D8E51" w14:textId="77777777" w:rsidR="00975984" w:rsidRPr="00BB3856" w:rsidRDefault="00975984" w:rsidP="00975984">
      <w:pPr>
        <w:pStyle w:val="Heading2"/>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4.2 Exploratory Data Analysis</w:t>
      </w:r>
    </w:p>
    <w:p w14:paraId="50899164" w14:textId="77777777" w:rsidR="00975984" w:rsidRPr="00BB3856" w:rsidRDefault="00975984" w:rsidP="00975984">
      <w:pPr>
        <w:pStyle w:val="Heading3"/>
        <w:spacing w:line="360" w:lineRule="auto"/>
        <w:jc w:val="both"/>
        <w:rPr>
          <w:rFonts w:ascii="Times New Roman" w:hAnsi="Times New Roman" w:cs="Times New Roman"/>
          <w:b w:val="0"/>
          <w:bCs w:val="0"/>
          <w:sz w:val="24"/>
          <w:szCs w:val="24"/>
        </w:rPr>
      </w:pPr>
      <w:r w:rsidRPr="00BB3856">
        <w:rPr>
          <w:rFonts w:ascii="Times New Roman" w:hAnsi="Times New Roman" w:cs="Times New Roman"/>
          <w:color w:val="000000" w:themeColor="text1"/>
          <w:sz w:val="24"/>
          <w:szCs w:val="24"/>
        </w:rPr>
        <w:t>4.2.1 Overview of Prices, Arrivals, and Market Structure</w:t>
      </w:r>
    </w:p>
    <w:p w14:paraId="489B8C9C"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b w:val="0"/>
          <w:bCs w:val="0"/>
          <w:noProof/>
          <w:sz w:val="24"/>
          <w:szCs w:val="24"/>
        </w:rPr>
        <w:drawing>
          <wp:inline distT="0" distB="0" distL="0" distR="0" wp14:anchorId="27838990" wp14:editId="7C412BF4">
            <wp:extent cx="5731510" cy="4178300"/>
            <wp:effectExtent l="0" t="0" r="2540" b="0"/>
            <wp:docPr id="156624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4891" name="Picture 1566248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178300"/>
                    </a:xfrm>
                    <a:prstGeom prst="rect">
                      <a:avLst/>
                    </a:prstGeom>
                  </pic:spPr>
                </pic:pic>
              </a:graphicData>
            </a:graphic>
          </wp:inline>
        </w:drawing>
      </w:r>
    </w:p>
    <w:p w14:paraId="126E0A00"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4.1: Exploratory overview of prices, arrivals, and market structure</w:t>
      </w:r>
    </w:p>
    <w:p w14:paraId="228266DC"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The modal price histogram (Figure 4.1) clearly depicts that most of the observations fall in the low to mid-range prices with a right-skewed tail. In other words, the distribution has a positive skew, which indicates that although there are some high-price events, they are rare occurrences compared to the normal trading situation.</w:t>
      </w:r>
    </w:p>
    <w:p w14:paraId="7FB0DCFC" w14:textId="77777777" w:rsidR="00975984" w:rsidRPr="00BB3856" w:rsidRDefault="00975984" w:rsidP="00975984">
      <w:pPr>
        <w:spacing w:line="360" w:lineRule="auto"/>
        <w:jc w:val="both"/>
        <w:rPr>
          <w:rFonts w:ascii="Times New Roman" w:hAnsi="Times New Roman" w:cs="Times New Roman"/>
        </w:rPr>
      </w:pPr>
      <w:r w:rsidRPr="00BB3856">
        <w:rPr>
          <w:rFonts w:ascii="Times New Roman" w:hAnsi="Times New Roman" w:cs="Times New Roman"/>
          <w:color w:val="000000" w:themeColor="text1"/>
        </w:rPr>
        <w:lastRenderedPageBreak/>
        <w:t xml:space="preserve">It can be observed from the market comparison chart that the average prices vary significantly from market to market. Mumbai Fruit Market APMC and Nasik APMC report higher prices as compared to the rest of the markets. This could be because of the factors such as the vicinity of these two markets to the urban </w:t>
      </w:r>
      <w:proofErr w:type="spellStart"/>
      <w:r w:rsidRPr="00BB3856">
        <w:rPr>
          <w:rFonts w:ascii="Times New Roman" w:hAnsi="Times New Roman" w:cs="Times New Roman"/>
          <w:color w:val="000000" w:themeColor="text1"/>
        </w:rPr>
        <w:t>centers</w:t>
      </w:r>
      <w:proofErr w:type="spellEnd"/>
      <w:r w:rsidRPr="00BB3856">
        <w:rPr>
          <w:rFonts w:ascii="Times New Roman" w:hAnsi="Times New Roman" w:cs="Times New Roman"/>
          <w:color w:val="000000" w:themeColor="text1"/>
        </w:rPr>
        <w:t xml:space="preserve">, cold chains, and </w:t>
      </w:r>
      <w:proofErr w:type="spellStart"/>
      <w:proofErr w:type="gramStart"/>
      <w:r w:rsidRPr="00BB3856">
        <w:rPr>
          <w:rFonts w:ascii="Times New Roman" w:hAnsi="Times New Roman" w:cs="Times New Roman"/>
          <w:color w:val="000000" w:themeColor="text1"/>
        </w:rPr>
        <w:t>buyers.In</w:t>
      </w:r>
      <w:proofErr w:type="spellEnd"/>
      <w:proofErr w:type="gramEnd"/>
      <w:r w:rsidRPr="00BB3856">
        <w:rPr>
          <w:rFonts w:ascii="Times New Roman" w:hAnsi="Times New Roman" w:cs="Times New Roman"/>
          <w:color w:val="000000" w:themeColor="text1"/>
        </w:rPr>
        <w:t xml:space="preserve"> terms of monthly seasonality, it is found that prices vary throughout the year with certain months having higher prices. This finding is in line with the seasonality of mango </w:t>
      </w:r>
      <w:proofErr w:type="spellStart"/>
      <w:proofErr w:type="gramStart"/>
      <w:r w:rsidRPr="00BB3856">
        <w:rPr>
          <w:rFonts w:ascii="Times New Roman" w:hAnsi="Times New Roman" w:cs="Times New Roman"/>
          <w:color w:val="000000" w:themeColor="text1"/>
        </w:rPr>
        <w:t>produce.The</w:t>
      </w:r>
      <w:proofErr w:type="spellEnd"/>
      <w:proofErr w:type="gramEnd"/>
      <w:r w:rsidRPr="00BB3856">
        <w:rPr>
          <w:rFonts w:ascii="Times New Roman" w:hAnsi="Times New Roman" w:cs="Times New Roman"/>
          <w:color w:val="000000" w:themeColor="text1"/>
        </w:rPr>
        <w:t xml:space="preserve"> relationship between arrival quantity and modal price shows a weak positive correlation. This indicates that there is no direct influence of arrival quantity on the price.</w:t>
      </w:r>
    </w:p>
    <w:p w14:paraId="3F1AB24C" w14:textId="77777777" w:rsidR="00975984" w:rsidRPr="00BB3856" w:rsidRDefault="00975984" w:rsidP="00975984">
      <w:pPr>
        <w:pStyle w:val="Heading3"/>
        <w:spacing w:line="360" w:lineRule="auto"/>
        <w:jc w:val="both"/>
        <w:rPr>
          <w:rFonts w:ascii="Times New Roman" w:hAnsi="Times New Roman" w:cs="Times New Roman"/>
          <w:b w:val="0"/>
          <w:bCs w:val="0"/>
          <w:sz w:val="24"/>
          <w:szCs w:val="24"/>
        </w:rPr>
      </w:pPr>
      <w:r w:rsidRPr="00BB3856">
        <w:rPr>
          <w:rFonts w:ascii="Times New Roman" w:hAnsi="Times New Roman" w:cs="Times New Roman"/>
          <w:color w:val="000000" w:themeColor="text1"/>
          <w:sz w:val="24"/>
          <w:szCs w:val="24"/>
        </w:rPr>
        <w:t>4.2.2 Monthly Report Volume and Active Market Coverage</w:t>
      </w:r>
    </w:p>
    <w:p w14:paraId="7E36E619"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403D41" wp14:editId="1A7ACC25">
            <wp:extent cx="5731510" cy="3806825"/>
            <wp:effectExtent l="0" t="0" r="2540" b="3175"/>
            <wp:docPr id="12661158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115885" name="Picture 126611588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06825"/>
                    </a:xfrm>
                    <a:prstGeom prst="rect">
                      <a:avLst/>
                    </a:prstGeom>
                  </pic:spPr>
                </pic:pic>
              </a:graphicData>
            </a:graphic>
          </wp:inline>
        </w:drawing>
      </w:r>
    </w:p>
    <w:p w14:paraId="1B263AC8"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4.2: Monthly report volume and active market coverage</w:t>
      </w:r>
    </w:p>
    <w:p w14:paraId="24A9BB23"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It is apparent from Figure 4.2 that reporting activity is inconsistent over time; some months contain many observations while other months contain very few observations. Also, there is an inconsistency in the number of active markets, implying that our dataset is not a time series with regular sampling. It is an irregular dataset, which needed to be taken care of in the forecasting framework we are designing.</w:t>
      </w:r>
    </w:p>
    <w:p w14:paraId="1E7CF533" w14:textId="77777777" w:rsidR="00975984" w:rsidRPr="00BB3856" w:rsidRDefault="00975984" w:rsidP="00975984">
      <w:pPr>
        <w:pStyle w:val="Heading3"/>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4.2.3 Reporting Period Covered by Each APMC Market</w:t>
      </w:r>
    </w:p>
    <w:p w14:paraId="3AD763F1"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b w:val="0"/>
          <w:bCs w:val="0"/>
          <w:noProof/>
          <w:sz w:val="24"/>
          <w:szCs w:val="24"/>
        </w:rPr>
        <w:lastRenderedPageBreak/>
        <w:drawing>
          <wp:inline distT="0" distB="0" distL="0" distR="0" wp14:anchorId="73F65FB6" wp14:editId="4DC2B2C4">
            <wp:extent cx="5731510" cy="3204210"/>
            <wp:effectExtent l="0" t="0" r="2540" b="0"/>
            <wp:docPr id="271088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88950" name="Picture 27108895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7421FA27"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4.3: Reporting period covered by each APMC market</w:t>
      </w:r>
    </w:p>
    <w:p w14:paraId="56868FB2"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 xml:space="preserve">Some of these markets, namely, Mumbai Fruit Market APMC, </w:t>
      </w:r>
      <w:proofErr w:type="spellStart"/>
      <w:r w:rsidRPr="00BB3856">
        <w:rPr>
          <w:rFonts w:ascii="Times New Roman" w:hAnsi="Times New Roman" w:cs="Times New Roman"/>
          <w:color w:val="000000" w:themeColor="text1"/>
        </w:rPr>
        <w:t>Kamthi</w:t>
      </w:r>
      <w:proofErr w:type="spellEnd"/>
      <w:r w:rsidRPr="00BB3856">
        <w:rPr>
          <w:rFonts w:ascii="Times New Roman" w:hAnsi="Times New Roman" w:cs="Times New Roman"/>
          <w:color w:val="000000" w:themeColor="text1"/>
        </w:rPr>
        <w:t xml:space="preserve"> APMC, </w:t>
      </w:r>
      <w:proofErr w:type="spellStart"/>
      <w:r w:rsidRPr="00BB3856">
        <w:rPr>
          <w:rFonts w:ascii="Times New Roman" w:hAnsi="Times New Roman" w:cs="Times New Roman"/>
          <w:color w:val="000000" w:themeColor="text1"/>
        </w:rPr>
        <w:t>Chattrapati</w:t>
      </w:r>
      <w:proofErr w:type="spellEnd"/>
      <w:r w:rsidRPr="00BB3856">
        <w:rPr>
          <w:rFonts w:ascii="Times New Roman" w:hAnsi="Times New Roman" w:cs="Times New Roman"/>
          <w:color w:val="000000" w:themeColor="text1"/>
        </w:rPr>
        <w:t xml:space="preserve"> </w:t>
      </w:r>
      <w:proofErr w:type="spellStart"/>
      <w:r w:rsidRPr="00BB3856">
        <w:rPr>
          <w:rFonts w:ascii="Times New Roman" w:hAnsi="Times New Roman" w:cs="Times New Roman"/>
          <w:color w:val="000000" w:themeColor="text1"/>
        </w:rPr>
        <w:t>Sambhajinagar</w:t>
      </w:r>
      <w:proofErr w:type="spellEnd"/>
      <w:r w:rsidRPr="00BB3856">
        <w:rPr>
          <w:rFonts w:ascii="Times New Roman" w:hAnsi="Times New Roman" w:cs="Times New Roman"/>
          <w:color w:val="000000" w:themeColor="text1"/>
        </w:rPr>
        <w:t xml:space="preserve"> APMC, Nasik APMC, Pune (Moshi) APMC, and </w:t>
      </w:r>
      <w:proofErr w:type="spellStart"/>
      <w:r w:rsidRPr="00BB3856">
        <w:rPr>
          <w:rFonts w:ascii="Times New Roman" w:hAnsi="Times New Roman" w:cs="Times New Roman"/>
          <w:color w:val="000000" w:themeColor="text1"/>
        </w:rPr>
        <w:t>Sangli</w:t>
      </w:r>
      <w:proofErr w:type="spellEnd"/>
      <w:r w:rsidRPr="00BB3856">
        <w:rPr>
          <w:rFonts w:ascii="Times New Roman" w:hAnsi="Times New Roman" w:cs="Times New Roman"/>
          <w:color w:val="000000" w:themeColor="text1"/>
        </w:rPr>
        <w:t xml:space="preserve"> (Phale, </w:t>
      </w:r>
      <w:proofErr w:type="spellStart"/>
      <w:r w:rsidRPr="00BB3856">
        <w:rPr>
          <w:rFonts w:ascii="Times New Roman" w:hAnsi="Times New Roman" w:cs="Times New Roman"/>
          <w:color w:val="000000" w:themeColor="text1"/>
        </w:rPr>
        <w:t>Bhajipala</w:t>
      </w:r>
      <w:proofErr w:type="spellEnd"/>
      <w:r w:rsidRPr="00BB3856">
        <w:rPr>
          <w:rFonts w:ascii="Times New Roman" w:hAnsi="Times New Roman" w:cs="Times New Roman"/>
          <w:color w:val="000000" w:themeColor="text1"/>
        </w:rPr>
        <w:t xml:space="preserve"> Market) APMC, have extensive histories of reporting over most of the time period under study. On the other hand, some other markets, namely, Pune APMC, Pune (</w:t>
      </w:r>
      <w:proofErr w:type="spellStart"/>
      <w:r w:rsidRPr="00BB3856">
        <w:rPr>
          <w:rFonts w:ascii="Times New Roman" w:hAnsi="Times New Roman" w:cs="Times New Roman"/>
          <w:color w:val="000000" w:themeColor="text1"/>
        </w:rPr>
        <w:t>Manjri</w:t>
      </w:r>
      <w:proofErr w:type="spellEnd"/>
      <w:r w:rsidRPr="00BB3856">
        <w:rPr>
          <w:rFonts w:ascii="Times New Roman" w:hAnsi="Times New Roman" w:cs="Times New Roman"/>
          <w:color w:val="000000" w:themeColor="text1"/>
        </w:rPr>
        <w:t xml:space="preserve">) APMC, </w:t>
      </w:r>
      <w:proofErr w:type="spellStart"/>
      <w:r w:rsidRPr="00BB3856">
        <w:rPr>
          <w:rFonts w:ascii="Times New Roman" w:hAnsi="Times New Roman" w:cs="Times New Roman"/>
          <w:color w:val="000000" w:themeColor="text1"/>
        </w:rPr>
        <w:t>Aatpadi</w:t>
      </w:r>
      <w:proofErr w:type="spellEnd"/>
      <w:r w:rsidRPr="00BB3856">
        <w:rPr>
          <w:rFonts w:ascii="Times New Roman" w:hAnsi="Times New Roman" w:cs="Times New Roman"/>
          <w:color w:val="000000" w:themeColor="text1"/>
        </w:rPr>
        <w:t xml:space="preserve"> APMC, and Jalana APMC, have very short periods of history. Markets having short periods of history will contribute less data to the training process of the model and would have fewer lags available. This disparity was taken into consideration by setting a minimum period of history prior to inclusion in the model dataset.</w:t>
      </w:r>
    </w:p>
    <w:p w14:paraId="03437E4D" w14:textId="77777777" w:rsidR="00975984" w:rsidRPr="00BB3856" w:rsidRDefault="00975984" w:rsidP="00975984">
      <w:pPr>
        <w:pStyle w:val="Heading3"/>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4.2.4 District-wise and Market-wise Price Comparison</w:t>
      </w:r>
    </w:p>
    <w:p w14:paraId="4F511342"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b w:val="0"/>
          <w:bCs w:val="0"/>
          <w:noProof/>
          <w:sz w:val="24"/>
          <w:szCs w:val="24"/>
        </w:rPr>
        <w:drawing>
          <wp:inline distT="0" distB="0" distL="0" distR="0" wp14:anchorId="4150E78A" wp14:editId="57CF66E8">
            <wp:extent cx="5731510" cy="2233930"/>
            <wp:effectExtent l="0" t="0" r="2540" b="0"/>
            <wp:docPr id="13365161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16198" name="Picture 13365161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33930"/>
                    </a:xfrm>
                    <a:prstGeom prst="rect">
                      <a:avLst/>
                    </a:prstGeom>
                  </pic:spPr>
                </pic:pic>
              </a:graphicData>
            </a:graphic>
          </wp:inline>
        </w:drawing>
      </w:r>
    </w:p>
    <w:p w14:paraId="745CA929"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4.4: District-level and market-level price comparison</w:t>
      </w:r>
    </w:p>
    <w:p w14:paraId="21D2871A" w14:textId="77777777" w:rsidR="00975984"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lastRenderedPageBreak/>
        <w:t xml:space="preserve">Such districts like Mumbai and Nashik have higher average prices on the mode than most of the other districts in the data set. Even at the market level, the variance is much greater. These variations suggest that the </w:t>
      </w:r>
      <w:proofErr w:type="spellStart"/>
      <w:r w:rsidRPr="00BB3856">
        <w:rPr>
          <w:rFonts w:ascii="Times New Roman" w:hAnsi="Times New Roman" w:cs="Times New Roman"/>
          <w:color w:val="000000" w:themeColor="text1"/>
        </w:rPr>
        <w:t>behavior</w:t>
      </w:r>
      <w:proofErr w:type="spellEnd"/>
      <w:r w:rsidRPr="00BB3856">
        <w:rPr>
          <w:rFonts w:ascii="Times New Roman" w:hAnsi="Times New Roman" w:cs="Times New Roman"/>
          <w:color w:val="000000" w:themeColor="text1"/>
        </w:rPr>
        <w:t xml:space="preserve"> of the prices is primarily local; thus, one cannot describe the phenomenon using only one state level pattern.</w:t>
      </w:r>
    </w:p>
    <w:p w14:paraId="2495B801"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b/>
          <w:bCs/>
          <w:color w:val="000000" w:themeColor="text1"/>
        </w:rPr>
        <w:t>4.2.5 Monthly Median Price Trends for the Most-Reported Markets</w:t>
      </w:r>
    </w:p>
    <w:p w14:paraId="1EC0C3C0"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AABC0F3" wp14:editId="3A160EFB">
            <wp:extent cx="5731510" cy="3779520"/>
            <wp:effectExtent l="0" t="0" r="2540" b="0"/>
            <wp:docPr id="4217292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29292" name="Picture 42172929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79520"/>
                    </a:xfrm>
                    <a:prstGeom prst="rect">
                      <a:avLst/>
                    </a:prstGeom>
                  </pic:spPr>
                </pic:pic>
              </a:graphicData>
            </a:graphic>
          </wp:inline>
        </w:drawing>
      </w:r>
    </w:p>
    <w:p w14:paraId="642257DE" w14:textId="77777777" w:rsidR="00975984"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4.5: Monthly median price trends for the most-reported markets</w:t>
      </w:r>
    </w:p>
    <w:p w14:paraId="1491C58E" w14:textId="77777777" w:rsidR="00975984" w:rsidRPr="00C1360F" w:rsidRDefault="00975984" w:rsidP="00975984">
      <w:pPr>
        <w:spacing w:before="60" w:after="120"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 xml:space="preserve">Median prices of each market for months plotted against month number (median is used instead of mean so that the influence of rare high values could be minimised) shows different trends depending on the market. For example, Mumbai Fruit Market APMC and </w:t>
      </w:r>
      <w:proofErr w:type="spellStart"/>
      <w:r w:rsidRPr="00BB3856">
        <w:rPr>
          <w:rFonts w:ascii="Times New Roman" w:hAnsi="Times New Roman" w:cs="Times New Roman"/>
          <w:color w:val="000000" w:themeColor="text1"/>
        </w:rPr>
        <w:t>Sangli</w:t>
      </w:r>
      <w:proofErr w:type="spellEnd"/>
      <w:r w:rsidRPr="00BB3856">
        <w:rPr>
          <w:rFonts w:ascii="Times New Roman" w:hAnsi="Times New Roman" w:cs="Times New Roman"/>
          <w:color w:val="000000" w:themeColor="text1"/>
        </w:rPr>
        <w:t xml:space="preserve"> (Phale, </w:t>
      </w:r>
      <w:proofErr w:type="spellStart"/>
      <w:r w:rsidRPr="00BB3856">
        <w:rPr>
          <w:rFonts w:ascii="Times New Roman" w:hAnsi="Times New Roman" w:cs="Times New Roman"/>
          <w:color w:val="000000" w:themeColor="text1"/>
        </w:rPr>
        <w:t>Bhajipala</w:t>
      </w:r>
      <w:proofErr w:type="spellEnd"/>
      <w:r w:rsidRPr="00BB3856">
        <w:rPr>
          <w:rFonts w:ascii="Times New Roman" w:hAnsi="Times New Roman" w:cs="Times New Roman"/>
          <w:color w:val="000000" w:themeColor="text1"/>
        </w:rPr>
        <w:t xml:space="preserve"> Market) APMC have spikes at specific times, but Nagpur APMC and </w:t>
      </w:r>
      <w:proofErr w:type="spellStart"/>
      <w:r w:rsidRPr="00BB3856">
        <w:rPr>
          <w:rFonts w:ascii="Times New Roman" w:hAnsi="Times New Roman" w:cs="Times New Roman"/>
          <w:color w:val="000000" w:themeColor="text1"/>
        </w:rPr>
        <w:t>Amrawati</w:t>
      </w:r>
      <w:proofErr w:type="spellEnd"/>
      <w:r w:rsidRPr="00BB3856">
        <w:rPr>
          <w:rFonts w:ascii="Times New Roman" w:hAnsi="Times New Roman" w:cs="Times New Roman"/>
          <w:color w:val="000000" w:themeColor="text1"/>
        </w:rPr>
        <w:t xml:space="preserve"> (Fruit and Veg. Market) APMC maintain relatively low values all the time. Different patterns of each market demonstrate that a universal model should capture market-specific patterns.</w:t>
      </w:r>
    </w:p>
    <w:p w14:paraId="69D1EE4E" w14:textId="77777777" w:rsidR="00975984" w:rsidRDefault="00975984" w:rsidP="00975984">
      <w:pPr>
        <w:pStyle w:val="Heading3"/>
        <w:spacing w:line="360" w:lineRule="auto"/>
        <w:rPr>
          <w:rFonts w:ascii="Times New Roman" w:hAnsi="Times New Roman" w:cs="Times New Roman"/>
          <w:color w:val="000000" w:themeColor="text1"/>
          <w:sz w:val="24"/>
          <w:szCs w:val="24"/>
        </w:rPr>
      </w:pPr>
    </w:p>
    <w:p w14:paraId="3F22AC11" w14:textId="77777777" w:rsidR="00975984" w:rsidRDefault="00975984" w:rsidP="00975984">
      <w:pPr>
        <w:pStyle w:val="Heading3"/>
        <w:spacing w:line="360" w:lineRule="auto"/>
        <w:rPr>
          <w:rFonts w:ascii="Times New Roman" w:hAnsi="Times New Roman" w:cs="Times New Roman"/>
          <w:color w:val="000000" w:themeColor="text1"/>
          <w:sz w:val="24"/>
          <w:szCs w:val="24"/>
        </w:rPr>
      </w:pPr>
    </w:p>
    <w:p w14:paraId="38B67CD9" w14:textId="77777777" w:rsidR="00975984" w:rsidRDefault="00975984" w:rsidP="00975984">
      <w:pPr>
        <w:pStyle w:val="Heading3"/>
        <w:spacing w:line="360" w:lineRule="auto"/>
        <w:rPr>
          <w:rFonts w:ascii="Times New Roman" w:hAnsi="Times New Roman" w:cs="Times New Roman"/>
          <w:color w:val="000000" w:themeColor="text1"/>
          <w:sz w:val="24"/>
          <w:szCs w:val="24"/>
        </w:rPr>
      </w:pPr>
    </w:p>
    <w:p w14:paraId="7C0FD2A7" w14:textId="77777777" w:rsidR="00975984" w:rsidRDefault="00975984" w:rsidP="00975984">
      <w:pPr>
        <w:pStyle w:val="Heading3"/>
        <w:spacing w:line="360" w:lineRule="auto"/>
        <w:rPr>
          <w:rFonts w:ascii="Times New Roman" w:hAnsi="Times New Roman" w:cs="Times New Roman"/>
          <w:color w:val="000000" w:themeColor="text1"/>
          <w:sz w:val="24"/>
          <w:szCs w:val="24"/>
        </w:rPr>
      </w:pPr>
    </w:p>
    <w:p w14:paraId="37548D43" w14:textId="4BE06F04" w:rsidR="00975984" w:rsidRPr="00BB3856" w:rsidRDefault="00975984" w:rsidP="00975984">
      <w:pPr>
        <w:pStyle w:val="Heading3"/>
        <w:spacing w:line="360" w:lineRule="auto"/>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lastRenderedPageBreak/>
        <w:t>4.2.6 Annual Price Distribution and Outliers</w:t>
      </w:r>
    </w:p>
    <w:p w14:paraId="41BC116A"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4991D1" wp14:editId="506BE893">
            <wp:extent cx="5731510" cy="2255520"/>
            <wp:effectExtent l="0" t="0" r="2540" b="0"/>
            <wp:docPr id="3754373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437363" name="Picture 37543736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255520"/>
                    </a:xfrm>
                    <a:prstGeom prst="rect">
                      <a:avLst/>
                    </a:prstGeom>
                  </pic:spPr>
                </pic:pic>
              </a:graphicData>
            </a:graphic>
          </wp:inline>
        </w:drawing>
      </w:r>
    </w:p>
    <w:p w14:paraId="66F4F3AF"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4.6: Annual price distribution and unusual price observations</w:t>
      </w:r>
    </w:p>
    <w:p w14:paraId="3CF3C08B" w14:textId="77777777" w:rsidR="00E8671C" w:rsidRDefault="00E8671C" w:rsidP="00E8671C">
      <w:pPr>
        <w:spacing w:line="360" w:lineRule="auto"/>
        <w:jc w:val="both"/>
        <w:rPr>
          <w:rFonts w:ascii="Times New Roman" w:hAnsi="Times New Roman" w:cs="Times New Roman"/>
        </w:rPr>
      </w:pPr>
      <w:r w:rsidRPr="00623CF6">
        <w:rPr>
          <w:rFonts w:ascii="Times New Roman" w:hAnsi="Times New Roman" w:cs="Times New Roman"/>
        </w:rPr>
        <w:t>In this study, the presence of outliers was detected through exploratory data analysis but were not deleted automatically. The price levels for agricultural commodities, particularly the price level of mangoes, may be highly volatile because of genuine market occurrences like changes in seasonality, production of superior quality of goods, sudden changes in demand, few supplies, transportation issues, and local market dynamics. Hence, unusually high modal prices were considered outliers but were still valid observations of the market.</w:t>
      </w:r>
    </w:p>
    <w:p w14:paraId="6E2E608C" w14:textId="77777777" w:rsidR="00E8671C" w:rsidRPr="00623CF6" w:rsidRDefault="00E8671C" w:rsidP="00E8671C">
      <w:pPr>
        <w:spacing w:line="360" w:lineRule="auto"/>
        <w:jc w:val="both"/>
        <w:rPr>
          <w:rFonts w:ascii="Times New Roman" w:hAnsi="Times New Roman" w:cs="Times New Roman"/>
        </w:rPr>
      </w:pPr>
      <w:r w:rsidRPr="00623CF6">
        <w:rPr>
          <w:rFonts w:ascii="Times New Roman" w:hAnsi="Times New Roman" w:cs="Times New Roman"/>
        </w:rPr>
        <w:t>Only those instances of data were dropped from the analysis which had obvious data quality problems, such as missing data points, duplication, invalid dates, and non-positive price or arrival. All valid observations for high prices have been kept to ensure that the data remains representative of the volatile nature of the real world APMC markets.</w:t>
      </w:r>
    </w:p>
    <w:p w14:paraId="043AC2B7" w14:textId="77777777" w:rsidR="00E8671C" w:rsidRDefault="00E8671C" w:rsidP="00E8671C">
      <w:pPr>
        <w:spacing w:line="360" w:lineRule="auto"/>
        <w:jc w:val="both"/>
        <w:rPr>
          <w:rFonts w:ascii="Times New Roman" w:hAnsi="Times New Roman" w:cs="Times New Roman"/>
        </w:rPr>
      </w:pPr>
      <w:r w:rsidRPr="00623CF6">
        <w:rPr>
          <w:rFonts w:ascii="Times New Roman" w:hAnsi="Times New Roman" w:cs="Times New Roman"/>
        </w:rPr>
        <w:t>The reason why it is significant is that the dropping of all extreme values would make the problem of prediction very easy and could decrease the practical significance of the model. Valid outliers were included to test the models in conditions which can be considered more realistic, but on the other hand, unexpected price spikes are not easy to forecast.</w:t>
      </w:r>
    </w:p>
    <w:p w14:paraId="1A0E9841" w14:textId="77777777" w:rsidR="00E8671C" w:rsidRDefault="00E8671C" w:rsidP="00975984">
      <w:pPr>
        <w:jc w:val="both"/>
        <w:rPr>
          <w:rFonts w:ascii="Times New Roman" w:hAnsi="Times New Roman" w:cs="Times New Roman"/>
        </w:rPr>
      </w:pPr>
    </w:p>
    <w:p w14:paraId="44C28DAA" w14:textId="6A78096D" w:rsidR="00975984" w:rsidRPr="00F804D8" w:rsidRDefault="00975984" w:rsidP="00975984">
      <w:pPr>
        <w:jc w:val="both"/>
        <w:rPr>
          <w:rFonts w:ascii="Times New Roman" w:hAnsi="Times New Roman" w:cs="Times New Roman"/>
        </w:rPr>
      </w:pPr>
      <w:r w:rsidRPr="00BB3856">
        <w:rPr>
          <w:rFonts w:ascii="Times New Roman" w:hAnsi="Times New Roman" w:cs="Times New Roman"/>
          <w:b/>
          <w:bCs/>
          <w:color w:val="000000" w:themeColor="text1"/>
        </w:rPr>
        <w:t>4.3 Model Performance Evaluation</w:t>
      </w:r>
    </w:p>
    <w:p w14:paraId="76C18E51" w14:textId="77777777" w:rsidR="00975984" w:rsidRPr="00BB3856" w:rsidRDefault="00975984" w:rsidP="00975984">
      <w:pPr>
        <w:spacing w:before="80" w:after="120"/>
        <w:jc w:val="both"/>
        <w:rPr>
          <w:rFonts w:ascii="Times New Roman" w:hAnsi="Times New Roman" w:cs="Times New Roman"/>
          <w:color w:val="000000" w:themeColor="text1"/>
        </w:rPr>
      </w:pPr>
      <w:r w:rsidRPr="00BB3856">
        <w:rPr>
          <w:rFonts w:ascii="Times New Roman" w:hAnsi="Times New Roman" w:cs="Times New Roman"/>
          <w:color w:val="000000" w:themeColor="text1"/>
        </w:rPr>
        <w:t>All models were evaluated on the chronological test set. Table 4.1 shows the results.</w:t>
      </w:r>
    </w:p>
    <w:tbl>
      <w:tblPr>
        <w:tblStyle w:val="TableGridLight"/>
        <w:tblW w:w="9460" w:type="dxa"/>
        <w:tblLook w:val="04A0" w:firstRow="1" w:lastRow="0" w:firstColumn="1" w:lastColumn="0" w:noHBand="0" w:noVBand="1"/>
      </w:tblPr>
      <w:tblGrid>
        <w:gridCol w:w="2122"/>
        <w:gridCol w:w="1578"/>
        <w:gridCol w:w="1500"/>
        <w:gridCol w:w="1500"/>
        <w:gridCol w:w="1500"/>
        <w:gridCol w:w="1260"/>
      </w:tblGrid>
      <w:tr w:rsidR="00975984" w:rsidRPr="00BB3856" w14:paraId="2D239077" w14:textId="77777777" w:rsidTr="004B548A">
        <w:tc>
          <w:tcPr>
            <w:tcW w:w="2122" w:type="dxa"/>
          </w:tcPr>
          <w:p w14:paraId="7A7DB847"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b/>
                <w:bCs/>
                <w:color w:val="000000" w:themeColor="text1"/>
              </w:rPr>
              <w:t>Model</w:t>
            </w:r>
          </w:p>
        </w:tc>
        <w:tc>
          <w:tcPr>
            <w:tcW w:w="1578" w:type="dxa"/>
          </w:tcPr>
          <w:p w14:paraId="44136990"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b/>
                <w:bCs/>
                <w:color w:val="000000" w:themeColor="text1"/>
              </w:rPr>
              <w:t>MAE (Rs.)</w:t>
            </w:r>
          </w:p>
        </w:tc>
        <w:tc>
          <w:tcPr>
            <w:tcW w:w="1500" w:type="dxa"/>
          </w:tcPr>
          <w:p w14:paraId="37C59733"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b/>
                <w:bCs/>
                <w:color w:val="000000" w:themeColor="text1"/>
              </w:rPr>
              <w:t>RMSE (Rs.)</w:t>
            </w:r>
          </w:p>
        </w:tc>
        <w:tc>
          <w:tcPr>
            <w:tcW w:w="1500" w:type="dxa"/>
          </w:tcPr>
          <w:p w14:paraId="324649DB"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b/>
                <w:bCs/>
                <w:color w:val="000000" w:themeColor="text1"/>
              </w:rPr>
              <w:t>MAPE (%)</w:t>
            </w:r>
          </w:p>
        </w:tc>
        <w:tc>
          <w:tcPr>
            <w:tcW w:w="1500" w:type="dxa"/>
          </w:tcPr>
          <w:p w14:paraId="4D8C3797" w14:textId="77777777" w:rsidR="00975984" w:rsidRPr="00BB3856" w:rsidRDefault="00975984" w:rsidP="004B548A">
            <w:pPr>
              <w:spacing w:line="360" w:lineRule="auto"/>
              <w:jc w:val="both"/>
              <w:rPr>
                <w:rFonts w:ascii="Times New Roman" w:hAnsi="Times New Roman" w:cs="Times New Roman"/>
                <w:color w:val="000000" w:themeColor="text1"/>
              </w:rPr>
            </w:pPr>
            <w:proofErr w:type="spellStart"/>
            <w:r w:rsidRPr="00BB3856">
              <w:rPr>
                <w:rFonts w:ascii="Times New Roman" w:hAnsi="Times New Roman" w:cs="Times New Roman"/>
                <w:b/>
                <w:bCs/>
                <w:color w:val="000000" w:themeColor="text1"/>
              </w:rPr>
              <w:t>sMAPE</w:t>
            </w:r>
            <w:proofErr w:type="spellEnd"/>
            <w:r w:rsidRPr="00BB3856">
              <w:rPr>
                <w:rFonts w:ascii="Times New Roman" w:hAnsi="Times New Roman" w:cs="Times New Roman"/>
                <w:b/>
                <w:bCs/>
                <w:color w:val="000000" w:themeColor="text1"/>
              </w:rPr>
              <w:t xml:space="preserve"> (%)</w:t>
            </w:r>
          </w:p>
        </w:tc>
        <w:tc>
          <w:tcPr>
            <w:tcW w:w="1260" w:type="dxa"/>
          </w:tcPr>
          <w:p w14:paraId="173D7E50"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b/>
                <w:bCs/>
                <w:color w:val="000000" w:themeColor="text1"/>
              </w:rPr>
              <w:t>R²</w:t>
            </w:r>
          </w:p>
        </w:tc>
      </w:tr>
      <w:tr w:rsidR="00975984" w:rsidRPr="00BB3856" w14:paraId="519D341F" w14:textId="77777777" w:rsidTr="004B548A">
        <w:tc>
          <w:tcPr>
            <w:tcW w:w="2122" w:type="dxa"/>
          </w:tcPr>
          <w:p w14:paraId="4869F10F"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Persistence</w:t>
            </w:r>
          </w:p>
        </w:tc>
        <w:tc>
          <w:tcPr>
            <w:tcW w:w="1578" w:type="dxa"/>
          </w:tcPr>
          <w:p w14:paraId="23519F66"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2173.79</w:t>
            </w:r>
          </w:p>
        </w:tc>
        <w:tc>
          <w:tcPr>
            <w:tcW w:w="1500" w:type="dxa"/>
          </w:tcPr>
          <w:p w14:paraId="0D5CC275"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5470.77</w:t>
            </w:r>
          </w:p>
        </w:tc>
        <w:tc>
          <w:tcPr>
            <w:tcW w:w="1500" w:type="dxa"/>
          </w:tcPr>
          <w:p w14:paraId="3A9CB109"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19.36</w:t>
            </w:r>
          </w:p>
        </w:tc>
        <w:tc>
          <w:tcPr>
            <w:tcW w:w="1500" w:type="dxa"/>
          </w:tcPr>
          <w:p w14:paraId="28407865"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18.93</w:t>
            </w:r>
          </w:p>
        </w:tc>
        <w:tc>
          <w:tcPr>
            <w:tcW w:w="1260" w:type="dxa"/>
          </w:tcPr>
          <w:p w14:paraId="4C57712A"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0.6372</w:t>
            </w:r>
          </w:p>
        </w:tc>
      </w:tr>
      <w:tr w:rsidR="00975984" w:rsidRPr="00BB3856" w14:paraId="09BE8D96" w14:textId="77777777" w:rsidTr="004B548A">
        <w:tc>
          <w:tcPr>
            <w:tcW w:w="2122" w:type="dxa"/>
          </w:tcPr>
          <w:p w14:paraId="16E55744"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GBR</w:t>
            </w:r>
          </w:p>
        </w:tc>
        <w:tc>
          <w:tcPr>
            <w:tcW w:w="1578" w:type="dxa"/>
          </w:tcPr>
          <w:p w14:paraId="7751828C"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2214.22</w:t>
            </w:r>
          </w:p>
        </w:tc>
        <w:tc>
          <w:tcPr>
            <w:tcW w:w="1500" w:type="dxa"/>
          </w:tcPr>
          <w:p w14:paraId="0D0A3391"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5242.92</w:t>
            </w:r>
          </w:p>
        </w:tc>
        <w:tc>
          <w:tcPr>
            <w:tcW w:w="1500" w:type="dxa"/>
          </w:tcPr>
          <w:p w14:paraId="5B68FB25"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19.04</w:t>
            </w:r>
          </w:p>
        </w:tc>
        <w:tc>
          <w:tcPr>
            <w:tcW w:w="1500" w:type="dxa"/>
          </w:tcPr>
          <w:p w14:paraId="6577A07E"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19.26</w:t>
            </w:r>
          </w:p>
        </w:tc>
        <w:tc>
          <w:tcPr>
            <w:tcW w:w="1260" w:type="dxa"/>
          </w:tcPr>
          <w:p w14:paraId="3954EAC0"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0.6668</w:t>
            </w:r>
          </w:p>
        </w:tc>
      </w:tr>
      <w:tr w:rsidR="00975984" w:rsidRPr="00BB3856" w14:paraId="38D95C10" w14:textId="77777777" w:rsidTr="004B548A">
        <w:tc>
          <w:tcPr>
            <w:tcW w:w="2122" w:type="dxa"/>
          </w:tcPr>
          <w:p w14:paraId="6E4A720E"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Hybrid</w:t>
            </w:r>
          </w:p>
        </w:tc>
        <w:tc>
          <w:tcPr>
            <w:tcW w:w="1578" w:type="dxa"/>
          </w:tcPr>
          <w:p w14:paraId="390676A0"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2226.91</w:t>
            </w:r>
          </w:p>
        </w:tc>
        <w:tc>
          <w:tcPr>
            <w:tcW w:w="1500" w:type="dxa"/>
          </w:tcPr>
          <w:p w14:paraId="4801B58F"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5270.18</w:t>
            </w:r>
          </w:p>
        </w:tc>
        <w:tc>
          <w:tcPr>
            <w:tcW w:w="1500" w:type="dxa"/>
          </w:tcPr>
          <w:p w14:paraId="049F1C33"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19.14</w:t>
            </w:r>
          </w:p>
        </w:tc>
        <w:tc>
          <w:tcPr>
            <w:tcW w:w="1500" w:type="dxa"/>
          </w:tcPr>
          <w:p w14:paraId="67097D8F"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19.36</w:t>
            </w:r>
          </w:p>
        </w:tc>
        <w:tc>
          <w:tcPr>
            <w:tcW w:w="1260" w:type="dxa"/>
          </w:tcPr>
          <w:p w14:paraId="7222B728"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0.6633</w:t>
            </w:r>
          </w:p>
        </w:tc>
      </w:tr>
      <w:tr w:rsidR="00975984" w:rsidRPr="00BB3856" w14:paraId="7C79D7A3" w14:textId="77777777" w:rsidTr="004B548A">
        <w:tc>
          <w:tcPr>
            <w:tcW w:w="2122" w:type="dxa"/>
          </w:tcPr>
          <w:p w14:paraId="05ADA643" w14:textId="77777777" w:rsidR="00975984" w:rsidRPr="00BB3856" w:rsidRDefault="00975984" w:rsidP="004B548A">
            <w:pPr>
              <w:spacing w:line="360" w:lineRule="auto"/>
              <w:jc w:val="both"/>
              <w:rPr>
                <w:rFonts w:ascii="Times New Roman" w:hAnsi="Times New Roman" w:cs="Times New Roman"/>
                <w:color w:val="000000" w:themeColor="text1"/>
              </w:rPr>
            </w:pPr>
            <w:proofErr w:type="spellStart"/>
            <w:r w:rsidRPr="00BB3856">
              <w:rPr>
                <w:rFonts w:ascii="Times New Roman" w:hAnsi="Times New Roman" w:cs="Times New Roman"/>
                <w:color w:val="000000" w:themeColor="text1"/>
              </w:rPr>
              <w:t>XGBoost</w:t>
            </w:r>
            <w:proofErr w:type="spellEnd"/>
          </w:p>
        </w:tc>
        <w:tc>
          <w:tcPr>
            <w:tcW w:w="1578" w:type="dxa"/>
          </w:tcPr>
          <w:p w14:paraId="71D000A6"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2279.24</w:t>
            </w:r>
          </w:p>
        </w:tc>
        <w:tc>
          <w:tcPr>
            <w:tcW w:w="1500" w:type="dxa"/>
          </w:tcPr>
          <w:p w14:paraId="53B5D5DE"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5358.91</w:t>
            </w:r>
          </w:p>
        </w:tc>
        <w:tc>
          <w:tcPr>
            <w:tcW w:w="1500" w:type="dxa"/>
          </w:tcPr>
          <w:p w14:paraId="01DA7F57"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19.62</w:t>
            </w:r>
          </w:p>
        </w:tc>
        <w:tc>
          <w:tcPr>
            <w:tcW w:w="1500" w:type="dxa"/>
          </w:tcPr>
          <w:p w14:paraId="3653F057"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19.87</w:t>
            </w:r>
          </w:p>
        </w:tc>
        <w:tc>
          <w:tcPr>
            <w:tcW w:w="1260" w:type="dxa"/>
          </w:tcPr>
          <w:p w14:paraId="4D381B3D"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0.6519</w:t>
            </w:r>
          </w:p>
        </w:tc>
      </w:tr>
      <w:tr w:rsidR="00975984" w:rsidRPr="00BB3856" w14:paraId="48E2E97C" w14:textId="77777777" w:rsidTr="004B548A">
        <w:tc>
          <w:tcPr>
            <w:tcW w:w="2122" w:type="dxa"/>
          </w:tcPr>
          <w:p w14:paraId="6952784E"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lastRenderedPageBreak/>
              <w:t>Random Forest</w:t>
            </w:r>
          </w:p>
        </w:tc>
        <w:tc>
          <w:tcPr>
            <w:tcW w:w="1578" w:type="dxa"/>
          </w:tcPr>
          <w:p w14:paraId="1BDE3E5A"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2288.91</w:t>
            </w:r>
          </w:p>
        </w:tc>
        <w:tc>
          <w:tcPr>
            <w:tcW w:w="1500" w:type="dxa"/>
          </w:tcPr>
          <w:p w14:paraId="380AB965"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5307.43</w:t>
            </w:r>
          </w:p>
        </w:tc>
        <w:tc>
          <w:tcPr>
            <w:tcW w:w="1500" w:type="dxa"/>
          </w:tcPr>
          <w:p w14:paraId="0E772219"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19.77</w:t>
            </w:r>
          </w:p>
        </w:tc>
        <w:tc>
          <w:tcPr>
            <w:tcW w:w="1500" w:type="dxa"/>
          </w:tcPr>
          <w:p w14:paraId="0B63DAB9"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20.07</w:t>
            </w:r>
          </w:p>
        </w:tc>
        <w:tc>
          <w:tcPr>
            <w:tcW w:w="1260" w:type="dxa"/>
          </w:tcPr>
          <w:p w14:paraId="10CAA32F"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0.6585</w:t>
            </w:r>
          </w:p>
        </w:tc>
      </w:tr>
      <w:tr w:rsidR="00975984" w:rsidRPr="00BB3856" w14:paraId="6188C801" w14:textId="77777777" w:rsidTr="004B548A">
        <w:tc>
          <w:tcPr>
            <w:tcW w:w="2122" w:type="dxa"/>
          </w:tcPr>
          <w:p w14:paraId="442428B7"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Seasonal Median</w:t>
            </w:r>
          </w:p>
        </w:tc>
        <w:tc>
          <w:tcPr>
            <w:tcW w:w="1578" w:type="dxa"/>
          </w:tcPr>
          <w:p w14:paraId="3A3AD92F"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4665.23</w:t>
            </w:r>
          </w:p>
        </w:tc>
        <w:tc>
          <w:tcPr>
            <w:tcW w:w="1500" w:type="dxa"/>
          </w:tcPr>
          <w:p w14:paraId="7EAABEB5"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8214.55</w:t>
            </w:r>
          </w:p>
        </w:tc>
        <w:tc>
          <w:tcPr>
            <w:tcW w:w="1500" w:type="dxa"/>
          </w:tcPr>
          <w:p w14:paraId="77630F66"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39.23</w:t>
            </w:r>
          </w:p>
        </w:tc>
        <w:tc>
          <w:tcPr>
            <w:tcW w:w="1500" w:type="dxa"/>
          </w:tcPr>
          <w:p w14:paraId="2E52C0C1"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42.06</w:t>
            </w:r>
          </w:p>
        </w:tc>
        <w:tc>
          <w:tcPr>
            <w:tcW w:w="1260" w:type="dxa"/>
          </w:tcPr>
          <w:p w14:paraId="37B979F7" w14:textId="77777777" w:rsidR="00975984" w:rsidRPr="00BB3856" w:rsidRDefault="00975984" w:rsidP="004B548A">
            <w:pPr>
              <w:spacing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0.1820</w:t>
            </w:r>
          </w:p>
        </w:tc>
      </w:tr>
    </w:tbl>
    <w:p w14:paraId="576DAEF2" w14:textId="77777777" w:rsidR="00975984" w:rsidRPr="00E2606C" w:rsidRDefault="00975984" w:rsidP="00975984">
      <w:pPr>
        <w:spacing w:after="8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Table 4.1: Test set performance for all forecasting models</w:t>
      </w:r>
    </w:p>
    <w:p w14:paraId="25DD58ED" w14:textId="77777777" w:rsidR="00975984" w:rsidRPr="00BB3856" w:rsidRDefault="00975984" w:rsidP="00975984">
      <w:pPr>
        <w:spacing w:before="80" w:after="120" w:line="360" w:lineRule="auto"/>
        <w:jc w:val="both"/>
        <w:rPr>
          <w:rFonts w:ascii="Times New Roman" w:hAnsi="Times New Roman" w:cs="Times New Roman"/>
          <w:color w:val="000000" w:themeColor="text1"/>
        </w:rPr>
      </w:pPr>
      <w:r w:rsidRPr="00BB3856">
        <w:rPr>
          <w:rFonts w:ascii="Times New Roman" w:hAnsi="Times New Roman" w:cs="Times New Roman"/>
        </w:rPr>
        <w:t>The model comparison should be interpreted across multiple error measures rather than from a single score alone. The Persistence baseline achieved the lowest MAE (Rs. 2,173.79), which indicates that, for many short-gap reports, the last observed price remains a strong immediate predictor of the next one.</w:t>
      </w:r>
    </w:p>
    <w:p w14:paraId="37A93BDD" w14:textId="77777777" w:rsidR="00975984" w:rsidRPr="00BB3856" w:rsidRDefault="00975984" w:rsidP="00975984">
      <w:pPr>
        <w:spacing w:before="80" w:after="120" w:line="360" w:lineRule="auto"/>
        <w:jc w:val="both"/>
        <w:rPr>
          <w:rFonts w:ascii="Times New Roman" w:hAnsi="Times New Roman" w:cs="Times New Roman"/>
          <w:color w:val="000000" w:themeColor="text1"/>
        </w:rPr>
      </w:pPr>
      <w:r w:rsidRPr="00BB3856">
        <w:rPr>
          <w:rFonts w:ascii="Times New Roman" w:hAnsi="Times New Roman" w:cs="Times New Roman"/>
        </w:rPr>
        <w:t>GBR, however, produced the highest R² (0.6668) and the lowest RMSE (Rs. 5,242.92) among the learned models. This indicates that GBR captured overall price variation more effectively and handled</w:t>
      </w:r>
      <w:r>
        <w:rPr>
          <w:rFonts w:ascii="Times New Roman" w:hAnsi="Times New Roman" w:cs="Times New Roman"/>
        </w:rPr>
        <w:t xml:space="preserve"> </w:t>
      </w:r>
      <w:r w:rsidRPr="00BB3856">
        <w:rPr>
          <w:rFonts w:ascii="Times New Roman" w:hAnsi="Times New Roman" w:cs="Times New Roman"/>
        </w:rPr>
        <w:t>medium-sized changes better than the other machine-learning approaches, even though its MAE was marginally higher than Persistence.</w:t>
      </w:r>
    </w:p>
    <w:p w14:paraId="726A56DD" w14:textId="77777777" w:rsidR="00975984" w:rsidRPr="00BB3856" w:rsidRDefault="00975984" w:rsidP="00975984">
      <w:pPr>
        <w:spacing w:before="80" w:after="120" w:line="360" w:lineRule="auto"/>
        <w:jc w:val="both"/>
        <w:rPr>
          <w:rFonts w:ascii="Times New Roman" w:hAnsi="Times New Roman" w:cs="Times New Roman"/>
          <w:color w:val="000000" w:themeColor="text1"/>
        </w:rPr>
      </w:pPr>
      <w:r w:rsidRPr="00BB3856">
        <w:rPr>
          <w:rFonts w:ascii="Times New Roman" w:hAnsi="Times New Roman" w:cs="Times New Roman"/>
        </w:rPr>
        <w:t xml:space="preserve">The Hybrid ensemble remained competitive, with an R² of 0.6633 and an MAE of Rs. 2,226.91, but it did not surpass GBR on the main summary metrics. This result is consistent with the learned ensemble weights, which placed most of the final contribution on GBR and a smaller share on </w:t>
      </w:r>
      <w:proofErr w:type="spellStart"/>
      <w:r w:rsidRPr="00BB3856">
        <w:rPr>
          <w:rFonts w:ascii="Times New Roman" w:hAnsi="Times New Roman" w:cs="Times New Roman"/>
        </w:rPr>
        <w:t>XGBoost</w:t>
      </w:r>
      <w:proofErr w:type="spellEnd"/>
      <w:r w:rsidRPr="00BB3856">
        <w:rPr>
          <w:rFonts w:ascii="Times New Roman" w:hAnsi="Times New Roman" w:cs="Times New Roman"/>
        </w:rPr>
        <w:t>.</w:t>
      </w:r>
    </w:p>
    <w:p w14:paraId="7493445C" w14:textId="77777777" w:rsidR="00975984" w:rsidRPr="00BB3856" w:rsidRDefault="00975984" w:rsidP="00975984">
      <w:pPr>
        <w:spacing w:before="80" w:after="120" w:line="360" w:lineRule="auto"/>
        <w:jc w:val="both"/>
        <w:rPr>
          <w:rFonts w:ascii="Times New Roman" w:hAnsi="Times New Roman" w:cs="Times New Roman"/>
          <w:color w:val="000000" w:themeColor="text1"/>
        </w:rPr>
      </w:pPr>
      <w:r w:rsidRPr="00BB3856">
        <w:rPr>
          <w:rFonts w:ascii="Times New Roman" w:hAnsi="Times New Roman" w:cs="Times New Roman"/>
        </w:rPr>
        <w:t>Seasonal Median performed substantially worse across all metrics, showing that seasonality alone is not sufficient to explain short-term market movement in this dataset. Taken together, the results suggest that recent market history matters more than a simple seasonal benchmark, while also showing that low absolute error and high explained variance do not always belong to the same model.</w:t>
      </w:r>
    </w:p>
    <w:p w14:paraId="50B262CD" w14:textId="77777777" w:rsidR="00975984" w:rsidRPr="005A4F88" w:rsidRDefault="00975984" w:rsidP="00975984">
      <w:pPr>
        <w:pStyle w:val="Heading3"/>
        <w:rPr>
          <w:rFonts w:ascii="Times New Roman" w:hAnsi="Times New Roman" w:cs="Times New Roman"/>
          <w:b w:val="0"/>
          <w:bCs w:val="0"/>
          <w:color w:val="auto"/>
          <w:sz w:val="24"/>
          <w:szCs w:val="24"/>
        </w:rPr>
      </w:pPr>
      <w:r w:rsidRPr="005A4F88">
        <w:rPr>
          <w:rFonts w:ascii="Times New Roman" w:hAnsi="Times New Roman" w:cs="Times New Roman"/>
          <w:color w:val="auto"/>
          <w:sz w:val="24"/>
          <w:szCs w:val="24"/>
        </w:rPr>
        <w:t>4.3.1 LSTM/Sequence Benchmark Across Eligible Markets</w:t>
      </w:r>
    </w:p>
    <w:p w14:paraId="6685232B" w14:textId="77777777" w:rsidR="00975984" w:rsidRPr="005A4F88" w:rsidRDefault="00975984" w:rsidP="00975984">
      <w:pPr>
        <w:spacing w:line="360" w:lineRule="auto"/>
        <w:jc w:val="both"/>
        <w:rPr>
          <w:rFonts w:ascii="Times New Roman" w:hAnsi="Times New Roman" w:cs="Times New Roman"/>
        </w:rPr>
      </w:pPr>
      <w:r w:rsidRPr="005A4F88">
        <w:rPr>
          <w:rFonts w:ascii="Times New Roman" w:hAnsi="Times New Roman" w:cs="Times New Roman"/>
        </w:rPr>
        <w:t>A separate LSTM/sequence benchmark was evaluated for every market that had enough observations for a 14-report chronological lookback design. The purpose of this experiment was not to replace the primary leakage-safe hybrid model, but to test whether ordered price-history patterns could add value in selected markets.</w:t>
      </w:r>
    </w:p>
    <w:p w14:paraId="1CA31A84" w14:textId="77777777" w:rsidR="00975984" w:rsidRDefault="00975984" w:rsidP="00975984">
      <w:pPr>
        <w:spacing w:line="360" w:lineRule="auto"/>
        <w:jc w:val="both"/>
        <w:rPr>
          <w:rFonts w:ascii="Times New Roman" w:hAnsi="Times New Roman" w:cs="Times New Roman"/>
        </w:rPr>
      </w:pPr>
      <w:r w:rsidRPr="005A4F88">
        <w:rPr>
          <w:rFonts w:ascii="Times New Roman" w:hAnsi="Times New Roman" w:cs="Times New Roman"/>
        </w:rPr>
        <w:t>The results show that the sequence component was not uniformly beneficial across districts. In several markets, the validation process assigned an LSTM weight of 0%, meaning the model correctly fell back to persistence or hybrid behaviour. This is an important academic finding because it shows that deep learning was tested under a fair chronological protocol but was not overclaimed where the data did not support it.</w:t>
      </w:r>
    </w:p>
    <w:p w14:paraId="116F27BA" w14:textId="77777777" w:rsidR="005A06A3" w:rsidRDefault="005A06A3" w:rsidP="00975984">
      <w:pPr>
        <w:spacing w:line="360" w:lineRule="auto"/>
        <w:jc w:val="both"/>
        <w:rPr>
          <w:rFonts w:ascii="Times New Roman" w:hAnsi="Times New Roman" w:cs="Times New Roman"/>
          <w:b/>
          <w:bCs/>
        </w:rPr>
      </w:pPr>
    </w:p>
    <w:p w14:paraId="5A69249B" w14:textId="77777777" w:rsidR="005A06A3" w:rsidRDefault="005A06A3" w:rsidP="00975984">
      <w:pPr>
        <w:spacing w:line="360" w:lineRule="auto"/>
        <w:jc w:val="both"/>
        <w:rPr>
          <w:rFonts w:ascii="Times New Roman" w:hAnsi="Times New Roman" w:cs="Times New Roman"/>
          <w:b/>
          <w:bCs/>
        </w:rPr>
      </w:pPr>
    </w:p>
    <w:p w14:paraId="383CF107" w14:textId="7053D040" w:rsidR="00975984" w:rsidRDefault="00975984" w:rsidP="00975984">
      <w:pPr>
        <w:spacing w:line="360" w:lineRule="auto"/>
        <w:jc w:val="both"/>
        <w:rPr>
          <w:rFonts w:ascii="Times New Roman" w:hAnsi="Times New Roman" w:cs="Times New Roman"/>
          <w:b/>
          <w:bCs/>
        </w:rPr>
      </w:pPr>
      <w:r w:rsidRPr="00286DF2">
        <w:rPr>
          <w:rFonts w:ascii="Times New Roman" w:hAnsi="Times New Roman" w:cs="Times New Roman"/>
          <w:b/>
          <w:bCs/>
        </w:rPr>
        <w:lastRenderedPageBreak/>
        <w:t>Features Given to LSTM</w:t>
      </w:r>
    </w:p>
    <w:p w14:paraId="14F7606E" w14:textId="77777777" w:rsidR="00975984" w:rsidRPr="00286DF2" w:rsidRDefault="00975984" w:rsidP="00975984">
      <w:pPr>
        <w:spacing w:line="360" w:lineRule="auto"/>
        <w:jc w:val="both"/>
        <w:rPr>
          <w:rFonts w:ascii="Times New Roman" w:hAnsi="Times New Roman" w:cs="Times New Roman"/>
        </w:rPr>
      </w:pPr>
      <w:proofErr w:type="spellStart"/>
      <w:r w:rsidRPr="00286DF2">
        <w:rPr>
          <w:rFonts w:ascii="Times New Roman" w:hAnsi="Times New Roman" w:cs="Times New Roman"/>
        </w:rPr>
        <w:t>ModalPrice</w:t>
      </w:r>
      <w:proofErr w:type="spellEnd"/>
    </w:p>
    <w:p w14:paraId="713B08FD" w14:textId="77777777" w:rsidR="00975984" w:rsidRPr="00286DF2" w:rsidRDefault="00975984" w:rsidP="00975984">
      <w:pPr>
        <w:spacing w:line="360" w:lineRule="auto"/>
        <w:jc w:val="both"/>
        <w:rPr>
          <w:rFonts w:ascii="Times New Roman" w:hAnsi="Times New Roman" w:cs="Times New Roman"/>
        </w:rPr>
      </w:pPr>
      <w:proofErr w:type="spellStart"/>
      <w:r w:rsidRPr="00286DF2">
        <w:rPr>
          <w:rFonts w:ascii="Times New Roman" w:hAnsi="Times New Roman" w:cs="Times New Roman"/>
        </w:rPr>
        <w:t>ArrivalQty</w:t>
      </w:r>
      <w:proofErr w:type="spellEnd"/>
    </w:p>
    <w:p w14:paraId="00D4D87C" w14:textId="77777777" w:rsidR="00975984" w:rsidRPr="00286DF2" w:rsidRDefault="00975984" w:rsidP="00975984">
      <w:pPr>
        <w:spacing w:line="360" w:lineRule="auto"/>
        <w:jc w:val="both"/>
        <w:rPr>
          <w:rFonts w:ascii="Times New Roman" w:hAnsi="Times New Roman" w:cs="Times New Roman"/>
        </w:rPr>
      </w:pPr>
      <w:proofErr w:type="spellStart"/>
      <w:r w:rsidRPr="00286DF2">
        <w:rPr>
          <w:rFonts w:ascii="Times New Roman" w:hAnsi="Times New Roman" w:cs="Times New Roman"/>
        </w:rPr>
        <w:t>days_since_previous_report</w:t>
      </w:r>
      <w:proofErr w:type="spellEnd"/>
    </w:p>
    <w:p w14:paraId="0081C938" w14:textId="77777777" w:rsidR="00975984" w:rsidRPr="00286DF2" w:rsidRDefault="00975984" w:rsidP="00975984">
      <w:pPr>
        <w:spacing w:line="360" w:lineRule="auto"/>
        <w:jc w:val="both"/>
        <w:rPr>
          <w:rFonts w:ascii="Times New Roman" w:hAnsi="Times New Roman" w:cs="Times New Roman"/>
        </w:rPr>
      </w:pPr>
      <w:r w:rsidRPr="00286DF2">
        <w:rPr>
          <w:rFonts w:ascii="Times New Roman" w:hAnsi="Times New Roman" w:cs="Times New Roman"/>
        </w:rPr>
        <w:t>price_change_1</w:t>
      </w:r>
    </w:p>
    <w:p w14:paraId="0E11175B" w14:textId="77777777" w:rsidR="00975984" w:rsidRPr="00286DF2" w:rsidRDefault="00975984" w:rsidP="00975984">
      <w:pPr>
        <w:spacing w:line="360" w:lineRule="auto"/>
        <w:jc w:val="both"/>
        <w:rPr>
          <w:rFonts w:ascii="Times New Roman" w:hAnsi="Times New Roman" w:cs="Times New Roman"/>
        </w:rPr>
      </w:pPr>
      <w:r w:rsidRPr="00286DF2">
        <w:rPr>
          <w:rFonts w:ascii="Times New Roman" w:hAnsi="Times New Roman" w:cs="Times New Roman"/>
        </w:rPr>
        <w:t>price_roll_mean3</w:t>
      </w:r>
    </w:p>
    <w:p w14:paraId="40B9AAE7" w14:textId="77777777" w:rsidR="00975984" w:rsidRPr="00286DF2" w:rsidRDefault="00975984" w:rsidP="00975984">
      <w:pPr>
        <w:spacing w:line="360" w:lineRule="auto"/>
        <w:jc w:val="both"/>
        <w:rPr>
          <w:rFonts w:ascii="Times New Roman" w:hAnsi="Times New Roman" w:cs="Times New Roman"/>
        </w:rPr>
      </w:pPr>
      <w:r w:rsidRPr="00286DF2">
        <w:rPr>
          <w:rFonts w:ascii="Times New Roman" w:hAnsi="Times New Roman" w:cs="Times New Roman"/>
        </w:rPr>
        <w:t>price_roll_std3</w:t>
      </w:r>
    </w:p>
    <w:p w14:paraId="2DDE2AE3" w14:textId="77777777" w:rsidR="00975984" w:rsidRPr="00286DF2" w:rsidRDefault="00975984" w:rsidP="00975984">
      <w:pPr>
        <w:spacing w:line="360" w:lineRule="auto"/>
        <w:jc w:val="both"/>
        <w:rPr>
          <w:rFonts w:ascii="Times New Roman" w:hAnsi="Times New Roman" w:cs="Times New Roman"/>
        </w:rPr>
      </w:pPr>
      <w:r w:rsidRPr="00286DF2">
        <w:rPr>
          <w:rFonts w:ascii="Times New Roman" w:hAnsi="Times New Roman" w:cs="Times New Roman"/>
        </w:rPr>
        <w:t>arrival_roll_mean3</w:t>
      </w:r>
    </w:p>
    <w:p w14:paraId="3F2002DC" w14:textId="77777777" w:rsidR="00975984" w:rsidRPr="00286DF2" w:rsidRDefault="00975984" w:rsidP="00975984">
      <w:pPr>
        <w:spacing w:line="360" w:lineRule="auto"/>
        <w:jc w:val="both"/>
        <w:rPr>
          <w:rFonts w:ascii="Times New Roman" w:hAnsi="Times New Roman" w:cs="Times New Roman"/>
        </w:rPr>
      </w:pPr>
      <w:proofErr w:type="spellStart"/>
      <w:r w:rsidRPr="00286DF2">
        <w:rPr>
          <w:rFonts w:ascii="Times New Roman" w:hAnsi="Times New Roman" w:cs="Times New Roman"/>
        </w:rPr>
        <w:t>month_sin</w:t>
      </w:r>
      <w:proofErr w:type="spellEnd"/>
    </w:p>
    <w:p w14:paraId="4A1A74D5" w14:textId="77777777" w:rsidR="00975984" w:rsidRPr="00286DF2" w:rsidRDefault="00975984" w:rsidP="00975984">
      <w:pPr>
        <w:spacing w:line="360" w:lineRule="auto"/>
        <w:jc w:val="both"/>
        <w:rPr>
          <w:rFonts w:ascii="Times New Roman" w:hAnsi="Times New Roman" w:cs="Times New Roman"/>
        </w:rPr>
      </w:pPr>
      <w:proofErr w:type="spellStart"/>
      <w:r w:rsidRPr="00286DF2">
        <w:rPr>
          <w:rFonts w:ascii="Times New Roman" w:hAnsi="Times New Roman" w:cs="Times New Roman"/>
        </w:rPr>
        <w:t>month_cos</w:t>
      </w:r>
      <w:proofErr w:type="spellEnd"/>
    </w:p>
    <w:p w14:paraId="7400F115" w14:textId="77777777" w:rsidR="00975984" w:rsidRPr="00286DF2" w:rsidRDefault="00975984" w:rsidP="00975984">
      <w:pPr>
        <w:spacing w:line="360" w:lineRule="auto"/>
        <w:jc w:val="both"/>
        <w:rPr>
          <w:rFonts w:ascii="Times New Roman" w:hAnsi="Times New Roman" w:cs="Times New Roman"/>
        </w:rPr>
      </w:pPr>
      <w:proofErr w:type="spellStart"/>
      <w:r w:rsidRPr="00286DF2">
        <w:rPr>
          <w:rFonts w:ascii="Times New Roman" w:hAnsi="Times New Roman" w:cs="Times New Roman"/>
        </w:rPr>
        <w:t>day_of_year_sin</w:t>
      </w:r>
      <w:proofErr w:type="spellEnd"/>
    </w:p>
    <w:p w14:paraId="632DAD6F" w14:textId="77777777" w:rsidR="00975984" w:rsidRPr="00286DF2" w:rsidRDefault="00975984" w:rsidP="00975984">
      <w:pPr>
        <w:spacing w:line="360" w:lineRule="auto"/>
        <w:jc w:val="both"/>
        <w:rPr>
          <w:rFonts w:ascii="Times New Roman" w:hAnsi="Times New Roman" w:cs="Times New Roman"/>
        </w:rPr>
      </w:pPr>
      <w:proofErr w:type="spellStart"/>
      <w:r w:rsidRPr="00286DF2">
        <w:rPr>
          <w:rFonts w:ascii="Times New Roman" w:hAnsi="Times New Roman" w:cs="Times New Roman"/>
        </w:rPr>
        <w:t>day_of_year_cos</w:t>
      </w:r>
      <w:proofErr w:type="spellEnd"/>
    </w:p>
    <w:p w14:paraId="6A63706F" w14:textId="77777777" w:rsidR="00975984" w:rsidRPr="00286DF2" w:rsidRDefault="00975984" w:rsidP="00975984">
      <w:pPr>
        <w:spacing w:line="360" w:lineRule="auto"/>
        <w:jc w:val="both"/>
        <w:rPr>
          <w:rFonts w:ascii="Times New Roman" w:hAnsi="Times New Roman" w:cs="Times New Roman"/>
        </w:rPr>
      </w:pPr>
      <w:proofErr w:type="spellStart"/>
      <w:r w:rsidRPr="00286DF2">
        <w:rPr>
          <w:rFonts w:ascii="Times New Roman" w:hAnsi="Times New Roman" w:cs="Times New Roman"/>
        </w:rPr>
        <w:t>report_number</w:t>
      </w:r>
      <w:proofErr w:type="spellEnd"/>
    </w:p>
    <w:tbl>
      <w:tblPr>
        <w:tblStyle w:val="TableGrid"/>
        <w:tblW w:w="9918" w:type="dxa"/>
        <w:tblLayout w:type="fixed"/>
        <w:tblLook w:val="04A0" w:firstRow="1" w:lastRow="0" w:firstColumn="1" w:lastColumn="0" w:noHBand="0" w:noVBand="1"/>
      </w:tblPr>
      <w:tblGrid>
        <w:gridCol w:w="1296"/>
        <w:gridCol w:w="3235"/>
        <w:gridCol w:w="1134"/>
        <w:gridCol w:w="993"/>
        <w:gridCol w:w="1046"/>
        <w:gridCol w:w="2214"/>
      </w:tblGrid>
      <w:tr w:rsidR="00975984" w:rsidRPr="001C72E9" w14:paraId="44A7FFDC" w14:textId="77777777" w:rsidTr="004B548A">
        <w:tc>
          <w:tcPr>
            <w:tcW w:w="1296" w:type="dxa"/>
            <w:vAlign w:val="center"/>
          </w:tcPr>
          <w:p w14:paraId="03DD4EDC"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b/>
              </w:rPr>
              <w:t>District</w:t>
            </w:r>
          </w:p>
        </w:tc>
        <w:tc>
          <w:tcPr>
            <w:tcW w:w="3235" w:type="dxa"/>
            <w:vAlign w:val="center"/>
          </w:tcPr>
          <w:p w14:paraId="5C26FD0D"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b/>
              </w:rPr>
              <w:t>Market</w:t>
            </w:r>
          </w:p>
        </w:tc>
        <w:tc>
          <w:tcPr>
            <w:tcW w:w="1134" w:type="dxa"/>
            <w:vAlign w:val="center"/>
          </w:tcPr>
          <w:p w14:paraId="5EC6BF3A"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b/>
              </w:rPr>
              <w:t>MAE</w:t>
            </w:r>
          </w:p>
        </w:tc>
        <w:tc>
          <w:tcPr>
            <w:tcW w:w="993" w:type="dxa"/>
            <w:vAlign w:val="center"/>
          </w:tcPr>
          <w:p w14:paraId="09A2F64E"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b/>
              </w:rPr>
              <w:t>R2</w:t>
            </w:r>
          </w:p>
        </w:tc>
        <w:tc>
          <w:tcPr>
            <w:tcW w:w="1046" w:type="dxa"/>
            <w:vAlign w:val="center"/>
          </w:tcPr>
          <w:p w14:paraId="4BCFC6D5"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b/>
              </w:rPr>
              <w:t>LSTM wt.</w:t>
            </w:r>
          </w:p>
        </w:tc>
        <w:tc>
          <w:tcPr>
            <w:tcW w:w="2214" w:type="dxa"/>
            <w:vAlign w:val="center"/>
          </w:tcPr>
          <w:p w14:paraId="7D0BB191"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b/>
              </w:rPr>
              <w:t>Interpretation</w:t>
            </w:r>
          </w:p>
        </w:tc>
      </w:tr>
      <w:tr w:rsidR="00975984" w:rsidRPr="001C72E9" w14:paraId="00A7FA09" w14:textId="77777777" w:rsidTr="004B548A">
        <w:tc>
          <w:tcPr>
            <w:tcW w:w="1296" w:type="dxa"/>
            <w:vAlign w:val="center"/>
          </w:tcPr>
          <w:p w14:paraId="7C0F823F" w14:textId="77777777" w:rsidR="00975984" w:rsidRPr="001C72E9" w:rsidRDefault="00975984" w:rsidP="004B548A">
            <w:pPr>
              <w:rPr>
                <w:rFonts w:ascii="Times New Roman" w:hAnsi="Times New Roman" w:cs="Times New Roman"/>
              </w:rPr>
            </w:pPr>
            <w:proofErr w:type="spellStart"/>
            <w:r w:rsidRPr="001C72E9">
              <w:rPr>
                <w:rFonts w:ascii="Times New Roman" w:hAnsi="Times New Roman" w:cs="Times New Roman"/>
              </w:rPr>
              <w:t>Amarawati</w:t>
            </w:r>
            <w:proofErr w:type="spellEnd"/>
          </w:p>
        </w:tc>
        <w:tc>
          <w:tcPr>
            <w:tcW w:w="3235" w:type="dxa"/>
            <w:vAlign w:val="center"/>
          </w:tcPr>
          <w:p w14:paraId="7A04973B" w14:textId="77777777" w:rsidR="00975984" w:rsidRPr="001C72E9" w:rsidRDefault="00975984" w:rsidP="004B548A">
            <w:pPr>
              <w:rPr>
                <w:rFonts w:ascii="Times New Roman" w:hAnsi="Times New Roman" w:cs="Times New Roman"/>
              </w:rPr>
            </w:pPr>
            <w:proofErr w:type="gramStart"/>
            <w:r w:rsidRPr="001C72E9">
              <w:rPr>
                <w:rFonts w:ascii="Times New Roman" w:hAnsi="Times New Roman" w:cs="Times New Roman"/>
              </w:rPr>
              <w:t>Amrawati(</w:t>
            </w:r>
            <w:proofErr w:type="gramEnd"/>
            <w:r w:rsidRPr="001C72E9">
              <w:rPr>
                <w:rFonts w:ascii="Times New Roman" w:hAnsi="Times New Roman" w:cs="Times New Roman"/>
              </w:rPr>
              <w:t>Frui &amp; Veg. Market) APMC</w:t>
            </w:r>
          </w:p>
        </w:tc>
        <w:tc>
          <w:tcPr>
            <w:tcW w:w="1134" w:type="dxa"/>
            <w:vAlign w:val="center"/>
          </w:tcPr>
          <w:p w14:paraId="1D2AA573"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771</w:t>
            </w:r>
          </w:p>
        </w:tc>
        <w:tc>
          <w:tcPr>
            <w:tcW w:w="993" w:type="dxa"/>
            <w:vAlign w:val="center"/>
          </w:tcPr>
          <w:p w14:paraId="0819FFBA"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0.663</w:t>
            </w:r>
          </w:p>
        </w:tc>
        <w:tc>
          <w:tcPr>
            <w:tcW w:w="1046" w:type="dxa"/>
            <w:vAlign w:val="center"/>
          </w:tcPr>
          <w:p w14:paraId="687438F7"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20%</w:t>
            </w:r>
          </w:p>
        </w:tc>
        <w:tc>
          <w:tcPr>
            <w:tcW w:w="2214" w:type="dxa"/>
            <w:vAlign w:val="center"/>
          </w:tcPr>
          <w:p w14:paraId="4DBA56FD"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Useful sequence gain</w:t>
            </w:r>
          </w:p>
        </w:tc>
      </w:tr>
      <w:tr w:rsidR="00975984" w:rsidRPr="001C72E9" w14:paraId="2314B689" w14:textId="77777777" w:rsidTr="004B548A">
        <w:tc>
          <w:tcPr>
            <w:tcW w:w="1296" w:type="dxa"/>
            <w:vAlign w:val="center"/>
          </w:tcPr>
          <w:p w14:paraId="472FE1BE"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Nagpur</w:t>
            </w:r>
          </w:p>
        </w:tc>
        <w:tc>
          <w:tcPr>
            <w:tcW w:w="3235" w:type="dxa"/>
            <w:vAlign w:val="center"/>
          </w:tcPr>
          <w:p w14:paraId="12F411E4" w14:textId="77777777" w:rsidR="00975984" w:rsidRPr="001C72E9" w:rsidRDefault="00975984" w:rsidP="004B548A">
            <w:pPr>
              <w:rPr>
                <w:rFonts w:ascii="Times New Roman" w:hAnsi="Times New Roman" w:cs="Times New Roman"/>
              </w:rPr>
            </w:pPr>
            <w:proofErr w:type="spellStart"/>
            <w:r w:rsidRPr="001C72E9">
              <w:rPr>
                <w:rFonts w:ascii="Times New Roman" w:hAnsi="Times New Roman" w:cs="Times New Roman"/>
              </w:rPr>
              <w:t>Kamthi</w:t>
            </w:r>
            <w:proofErr w:type="spellEnd"/>
            <w:r w:rsidRPr="001C72E9">
              <w:rPr>
                <w:rFonts w:ascii="Times New Roman" w:hAnsi="Times New Roman" w:cs="Times New Roman"/>
              </w:rPr>
              <w:t xml:space="preserve"> APMC</w:t>
            </w:r>
          </w:p>
        </w:tc>
        <w:tc>
          <w:tcPr>
            <w:tcW w:w="1134" w:type="dxa"/>
            <w:vAlign w:val="center"/>
          </w:tcPr>
          <w:p w14:paraId="385F0AEE"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451</w:t>
            </w:r>
          </w:p>
        </w:tc>
        <w:tc>
          <w:tcPr>
            <w:tcW w:w="993" w:type="dxa"/>
            <w:vAlign w:val="center"/>
          </w:tcPr>
          <w:p w14:paraId="313321A8"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0.815</w:t>
            </w:r>
          </w:p>
        </w:tc>
        <w:tc>
          <w:tcPr>
            <w:tcW w:w="1046" w:type="dxa"/>
            <w:vAlign w:val="center"/>
          </w:tcPr>
          <w:p w14:paraId="119EF1AA"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w:t>
            </w:r>
          </w:p>
        </w:tc>
        <w:tc>
          <w:tcPr>
            <w:tcW w:w="2214" w:type="dxa"/>
            <w:vAlign w:val="center"/>
          </w:tcPr>
          <w:p w14:paraId="19A9D31D"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Fallback to persistence/hybrid</w:t>
            </w:r>
          </w:p>
        </w:tc>
      </w:tr>
      <w:tr w:rsidR="00975984" w:rsidRPr="001C72E9" w14:paraId="3ED13CB1" w14:textId="77777777" w:rsidTr="004B548A">
        <w:tc>
          <w:tcPr>
            <w:tcW w:w="1296" w:type="dxa"/>
            <w:vAlign w:val="center"/>
          </w:tcPr>
          <w:p w14:paraId="6CAB65AE"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Nagpur</w:t>
            </w:r>
          </w:p>
        </w:tc>
        <w:tc>
          <w:tcPr>
            <w:tcW w:w="3235" w:type="dxa"/>
            <w:vAlign w:val="center"/>
          </w:tcPr>
          <w:p w14:paraId="0668C218"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Nagpur APMC</w:t>
            </w:r>
          </w:p>
        </w:tc>
        <w:tc>
          <w:tcPr>
            <w:tcW w:w="1134" w:type="dxa"/>
            <w:vAlign w:val="center"/>
          </w:tcPr>
          <w:p w14:paraId="7BEACC2F"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730</w:t>
            </w:r>
          </w:p>
        </w:tc>
        <w:tc>
          <w:tcPr>
            <w:tcW w:w="993" w:type="dxa"/>
            <w:vAlign w:val="center"/>
          </w:tcPr>
          <w:p w14:paraId="79A8337D"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0.243</w:t>
            </w:r>
          </w:p>
        </w:tc>
        <w:tc>
          <w:tcPr>
            <w:tcW w:w="1046" w:type="dxa"/>
            <w:vAlign w:val="center"/>
          </w:tcPr>
          <w:p w14:paraId="44CC2B89"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w:t>
            </w:r>
          </w:p>
        </w:tc>
        <w:tc>
          <w:tcPr>
            <w:tcW w:w="2214" w:type="dxa"/>
            <w:vAlign w:val="center"/>
          </w:tcPr>
          <w:p w14:paraId="67AEFA9D"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Fallback to persistence/hybrid</w:t>
            </w:r>
          </w:p>
        </w:tc>
      </w:tr>
      <w:tr w:rsidR="00975984" w:rsidRPr="001C72E9" w14:paraId="48D1F6B5" w14:textId="77777777" w:rsidTr="004B548A">
        <w:tc>
          <w:tcPr>
            <w:tcW w:w="1296" w:type="dxa"/>
            <w:vAlign w:val="center"/>
          </w:tcPr>
          <w:p w14:paraId="7C121C1A" w14:textId="77777777" w:rsidR="00975984" w:rsidRPr="001C72E9" w:rsidRDefault="00975984" w:rsidP="004B548A">
            <w:pPr>
              <w:rPr>
                <w:rFonts w:ascii="Times New Roman" w:hAnsi="Times New Roman" w:cs="Times New Roman"/>
              </w:rPr>
            </w:pPr>
            <w:proofErr w:type="spellStart"/>
            <w:r w:rsidRPr="001C72E9">
              <w:rPr>
                <w:rFonts w:ascii="Times New Roman" w:hAnsi="Times New Roman" w:cs="Times New Roman"/>
              </w:rPr>
              <w:t>Ahilyanagar</w:t>
            </w:r>
            <w:proofErr w:type="spellEnd"/>
          </w:p>
        </w:tc>
        <w:tc>
          <w:tcPr>
            <w:tcW w:w="3235" w:type="dxa"/>
            <w:vAlign w:val="center"/>
          </w:tcPr>
          <w:p w14:paraId="5DCD0E6D" w14:textId="77777777" w:rsidR="00975984" w:rsidRPr="001C72E9" w:rsidRDefault="00975984" w:rsidP="004B548A">
            <w:pPr>
              <w:rPr>
                <w:rFonts w:ascii="Times New Roman" w:hAnsi="Times New Roman" w:cs="Times New Roman"/>
              </w:rPr>
            </w:pPr>
            <w:proofErr w:type="spellStart"/>
            <w:r w:rsidRPr="001C72E9">
              <w:rPr>
                <w:rFonts w:ascii="Times New Roman" w:hAnsi="Times New Roman" w:cs="Times New Roman"/>
              </w:rPr>
              <w:t>Shrirampur</w:t>
            </w:r>
            <w:proofErr w:type="spellEnd"/>
            <w:r w:rsidRPr="001C72E9">
              <w:rPr>
                <w:rFonts w:ascii="Times New Roman" w:hAnsi="Times New Roman" w:cs="Times New Roman"/>
              </w:rPr>
              <w:t xml:space="preserve"> APMC</w:t>
            </w:r>
          </w:p>
        </w:tc>
        <w:tc>
          <w:tcPr>
            <w:tcW w:w="1134" w:type="dxa"/>
            <w:vAlign w:val="center"/>
          </w:tcPr>
          <w:p w14:paraId="1EAF448A"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1,189</w:t>
            </w:r>
          </w:p>
        </w:tc>
        <w:tc>
          <w:tcPr>
            <w:tcW w:w="993" w:type="dxa"/>
            <w:vAlign w:val="center"/>
          </w:tcPr>
          <w:p w14:paraId="44E52CE9"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0.691</w:t>
            </w:r>
          </w:p>
        </w:tc>
        <w:tc>
          <w:tcPr>
            <w:tcW w:w="1046" w:type="dxa"/>
            <w:vAlign w:val="center"/>
          </w:tcPr>
          <w:p w14:paraId="26F8CB20"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w:t>
            </w:r>
          </w:p>
        </w:tc>
        <w:tc>
          <w:tcPr>
            <w:tcW w:w="2214" w:type="dxa"/>
            <w:vAlign w:val="center"/>
          </w:tcPr>
          <w:p w14:paraId="3195545B"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Fallback to persistence/hybrid</w:t>
            </w:r>
          </w:p>
        </w:tc>
      </w:tr>
      <w:tr w:rsidR="00975984" w:rsidRPr="001C72E9" w14:paraId="0A1D5CBC" w14:textId="77777777" w:rsidTr="004B548A">
        <w:tc>
          <w:tcPr>
            <w:tcW w:w="1296" w:type="dxa"/>
            <w:vAlign w:val="center"/>
          </w:tcPr>
          <w:p w14:paraId="39F25AD1"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Nashik</w:t>
            </w:r>
          </w:p>
        </w:tc>
        <w:tc>
          <w:tcPr>
            <w:tcW w:w="3235" w:type="dxa"/>
            <w:vAlign w:val="center"/>
          </w:tcPr>
          <w:p w14:paraId="2192CE55"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Nasik APMC</w:t>
            </w:r>
          </w:p>
        </w:tc>
        <w:tc>
          <w:tcPr>
            <w:tcW w:w="1134" w:type="dxa"/>
            <w:vAlign w:val="center"/>
          </w:tcPr>
          <w:p w14:paraId="18025485"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1,298</w:t>
            </w:r>
          </w:p>
        </w:tc>
        <w:tc>
          <w:tcPr>
            <w:tcW w:w="993" w:type="dxa"/>
            <w:vAlign w:val="center"/>
          </w:tcPr>
          <w:p w14:paraId="2C712A4A"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0.875</w:t>
            </w:r>
          </w:p>
        </w:tc>
        <w:tc>
          <w:tcPr>
            <w:tcW w:w="1046" w:type="dxa"/>
            <w:vAlign w:val="center"/>
          </w:tcPr>
          <w:p w14:paraId="0C7026A9"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w:t>
            </w:r>
          </w:p>
        </w:tc>
        <w:tc>
          <w:tcPr>
            <w:tcW w:w="2214" w:type="dxa"/>
            <w:vAlign w:val="center"/>
          </w:tcPr>
          <w:p w14:paraId="4587E9B3"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Fallback to persistence/hybrid</w:t>
            </w:r>
          </w:p>
        </w:tc>
      </w:tr>
      <w:tr w:rsidR="00975984" w:rsidRPr="00F77209" w14:paraId="3B7C5878" w14:textId="77777777" w:rsidTr="004B548A">
        <w:tc>
          <w:tcPr>
            <w:tcW w:w="1296" w:type="dxa"/>
            <w:vAlign w:val="center"/>
          </w:tcPr>
          <w:p w14:paraId="237B5092" w14:textId="77777777" w:rsidR="00975984" w:rsidRPr="00F77209" w:rsidRDefault="00975984" w:rsidP="004B548A">
            <w:pPr>
              <w:rPr>
                <w:rFonts w:ascii="Times New Roman" w:hAnsi="Times New Roman" w:cs="Times New Roman"/>
                <w:sz w:val="24"/>
                <w:szCs w:val="24"/>
              </w:rPr>
            </w:pPr>
            <w:r w:rsidRPr="00F77209">
              <w:rPr>
                <w:rFonts w:ascii="Times New Roman" w:hAnsi="Times New Roman" w:cs="Times New Roman"/>
                <w:sz w:val="24"/>
                <w:szCs w:val="24"/>
              </w:rPr>
              <w:t>Pune</w:t>
            </w:r>
          </w:p>
        </w:tc>
        <w:tc>
          <w:tcPr>
            <w:tcW w:w="3235" w:type="dxa"/>
            <w:vAlign w:val="center"/>
          </w:tcPr>
          <w:p w14:paraId="4CCEB453" w14:textId="77777777" w:rsidR="00975984" w:rsidRPr="00F77209" w:rsidRDefault="00975984" w:rsidP="004B548A">
            <w:pPr>
              <w:rPr>
                <w:rFonts w:ascii="Times New Roman" w:hAnsi="Times New Roman" w:cs="Times New Roman"/>
                <w:sz w:val="24"/>
                <w:szCs w:val="24"/>
              </w:rPr>
            </w:pPr>
            <w:proofErr w:type="gramStart"/>
            <w:r w:rsidRPr="00F77209">
              <w:rPr>
                <w:rFonts w:ascii="Times New Roman" w:hAnsi="Times New Roman" w:cs="Times New Roman"/>
                <w:sz w:val="24"/>
                <w:szCs w:val="24"/>
              </w:rPr>
              <w:t>Pune(</w:t>
            </w:r>
            <w:proofErr w:type="gramEnd"/>
            <w:r w:rsidRPr="00F77209">
              <w:rPr>
                <w:rFonts w:ascii="Times New Roman" w:hAnsi="Times New Roman" w:cs="Times New Roman"/>
                <w:sz w:val="24"/>
                <w:szCs w:val="24"/>
              </w:rPr>
              <w:t>Moshi) APMC</w:t>
            </w:r>
          </w:p>
        </w:tc>
        <w:tc>
          <w:tcPr>
            <w:tcW w:w="1134" w:type="dxa"/>
            <w:vAlign w:val="center"/>
          </w:tcPr>
          <w:p w14:paraId="30E8B257" w14:textId="77777777" w:rsidR="00975984" w:rsidRPr="00F77209" w:rsidRDefault="00975984" w:rsidP="004B548A">
            <w:pPr>
              <w:jc w:val="center"/>
              <w:rPr>
                <w:rFonts w:ascii="Times New Roman" w:hAnsi="Times New Roman" w:cs="Times New Roman"/>
                <w:sz w:val="24"/>
                <w:szCs w:val="24"/>
              </w:rPr>
            </w:pPr>
            <w:r w:rsidRPr="00F77209">
              <w:rPr>
                <w:rFonts w:ascii="Times New Roman" w:hAnsi="Times New Roman" w:cs="Times New Roman"/>
                <w:sz w:val="24"/>
                <w:szCs w:val="24"/>
              </w:rPr>
              <w:t>Rs. 1,890</w:t>
            </w:r>
          </w:p>
        </w:tc>
        <w:tc>
          <w:tcPr>
            <w:tcW w:w="993" w:type="dxa"/>
            <w:vAlign w:val="center"/>
          </w:tcPr>
          <w:p w14:paraId="6A0E7371" w14:textId="77777777" w:rsidR="00975984" w:rsidRPr="00F77209" w:rsidRDefault="00975984" w:rsidP="004B548A">
            <w:pPr>
              <w:jc w:val="center"/>
              <w:rPr>
                <w:rFonts w:ascii="Times New Roman" w:hAnsi="Times New Roman" w:cs="Times New Roman"/>
                <w:sz w:val="24"/>
                <w:szCs w:val="24"/>
              </w:rPr>
            </w:pPr>
            <w:r w:rsidRPr="00F77209">
              <w:rPr>
                <w:rFonts w:ascii="Times New Roman" w:hAnsi="Times New Roman" w:cs="Times New Roman"/>
                <w:sz w:val="24"/>
                <w:szCs w:val="24"/>
              </w:rPr>
              <w:t>0.073</w:t>
            </w:r>
          </w:p>
        </w:tc>
        <w:tc>
          <w:tcPr>
            <w:tcW w:w="1046" w:type="dxa"/>
            <w:vAlign w:val="center"/>
          </w:tcPr>
          <w:p w14:paraId="476FACF6" w14:textId="77777777" w:rsidR="00975984" w:rsidRPr="00F77209" w:rsidRDefault="00975984" w:rsidP="004B548A">
            <w:pPr>
              <w:jc w:val="center"/>
              <w:rPr>
                <w:rFonts w:ascii="Times New Roman" w:hAnsi="Times New Roman" w:cs="Times New Roman"/>
                <w:sz w:val="24"/>
                <w:szCs w:val="24"/>
              </w:rPr>
            </w:pPr>
            <w:r w:rsidRPr="00F77209">
              <w:rPr>
                <w:rFonts w:ascii="Times New Roman" w:hAnsi="Times New Roman" w:cs="Times New Roman"/>
                <w:sz w:val="24"/>
                <w:szCs w:val="24"/>
              </w:rPr>
              <w:t>0%</w:t>
            </w:r>
          </w:p>
        </w:tc>
        <w:tc>
          <w:tcPr>
            <w:tcW w:w="2214" w:type="dxa"/>
            <w:vAlign w:val="center"/>
          </w:tcPr>
          <w:p w14:paraId="224B3D53" w14:textId="77777777" w:rsidR="00975984" w:rsidRPr="00F77209" w:rsidRDefault="00975984" w:rsidP="004B548A">
            <w:pPr>
              <w:jc w:val="both"/>
              <w:rPr>
                <w:rFonts w:ascii="Times New Roman" w:hAnsi="Times New Roman" w:cs="Times New Roman"/>
                <w:sz w:val="24"/>
                <w:szCs w:val="24"/>
              </w:rPr>
            </w:pPr>
            <w:r w:rsidRPr="00F77209">
              <w:rPr>
                <w:rFonts w:ascii="Times New Roman" w:hAnsi="Times New Roman" w:cs="Times New Roman"/>
                <w:sz w:val="24"/>
                <w:szCs w:val="24"/>
              </w:rPr>
              <w:t>Fallback to persistence/hybrid</w:t>
            </w:r>
          </w:p>
        </w:tc>
      </w:tr>
      <w:tr w:rsidR="00975984" w:rsidRPr="001C72E9" w14:paraId="03F4DF78" w14:textId="77777777" w:rsidTr="004B548A">
        <w:tc>
          <w:tcPr>
            <w:tcW w:w="1296" w:type="dxa"/>
            <w:vAlign w:val="center"/>
          </w:tcPr>
          <w:p w14:paraId="2C5AB9BA"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Mumbai</w:t>
            </w:r>
          </w:p>
        </w:tc>
        <w:tc>
          <w:tcPr>
            <w:tcW w:w="3235" w:type="dxa"/>
            <w:vAlign w:val="center"/>
          </w:tcPr>
          <w:p w14:paraId="2F93EF03" w14:textId="77777777" w:rsidR="00975984" w:rsidRPr="001C72E9" w:rsidRDefault="00975984" w:rsidP="004B548A">
            <w:pPr>
              <w:rPr>
                <w:rFonts w:ascii="Times New Roman" w:hAnsi="Times New Roman" w:cs="Times New Roman"/>
              </w:rPr>
            </w:pPr>
            <w:r w:rsidRPr="001C72E9">
              <w:rPr>
                <w:rFonts w:ascii="Times New Roman" w:hAnsi="Times New Roman" w:cs="Times New Roman"/>
              </w:rPr>
              <w:t>Mumbai- Fruit Market APMC</w:t>
            </w:r>
          </w:p>
        </w:tc>
        <w:tc>
          <w:tcPr>
            <w:tcW w:w="1134" w:type="dxa"/>
            <w:vAlign w:val="center"/>
          </w:tcPr>
          <w:p w14:paraId="594502C8"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1,965</w:t>
            </w:r>
          </w:p>
        </w:tc>
        <w:tc>
          <w:tcPr>
            <w:tcW w:w="993" w:type="dxa"/>
            <w:vAlign w:val="center"/>
          </w:tcPr>
          <w:p w14:paraId="47889171"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0.875</w:t>
            </w:r>
          </w:p>
        </w:tc>
        <w:tc>
          <w:tcPr>
            <w:tcW w:w="1046" w:type="dxa"/>
            <w:vAlign w:val="center"/>
          </w:tcPr>
          <w:p w14:paraId="5D406D46"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w:t>
            </w:r>
          </w:p>
        </w:tc>
        <w:tc>
          <w:tcPr>
            <w:tcW w:w="2214" w:type="dxa"/>
            <w:vAlign w:val="center"/>
          </w:tcPr>
          <w:p w14:paraId="0BACEC60" w14:textId="77777777" w:rsidR="00975984" w:rsidRPr="001C72E9" w:rsidRDefault="00975984" w:rsidP="004B548A">
            <w:pPr>
              <w:jc w:val="both"/>
              <w:rPr>
                <w:rFonts w:ascii="Times New Roman" w:hAnsi="Times New Roman" w:cs="Times New Roman"/>
              </w:rPr>
            </w:pPr>
            <w:r w:rsidRPr="001C72E9">
              <w:rPr>
                <w:rFonts w:ascii="Times New Roman" w:hAnsi="Times New Roman" w:cs="Times New Roman"/>
              </w:rPr>
              <w:t>Fallback to persistence/hybrid</w:t>
            </w:r>
          </w:p>
        </w:tc>
      </w:tr>
      <w:tr w:rsidR="00975984" w:rsidRPr="001C72E9" w14:paraId="20A66A55" w14:textId="77777777" w:rsidTr="004B548A">
        <w:tc>
          <w:tcPr>
            <w:tcW w:w="1296" w:type="dxa"/>
            <w:vAlign w:val="center"/>
          </w:tcPr>
          <w:p w14:paraId="642DA1BC" w14:textId="77777777" w:rsidR="00975984" w:rsidRPr="001C72E9" w:rsidRDefault="00975984" w:rsidP="004B548A">
            <w:pPr>
              <w:rPr>
                <w:rFonts w:ascii="Times New Roman" w:hAnsi="Times New Roman" w:cs="Times New Roman"/>
              </w:rPr>
            </w:pPr>
            <w:proofErr w:type="spellStart"/>
            <w:r w:rsidRPr="001C72E9">
              <w:rPr>
                <w:rFonts w:ascii="Times New Roman" w:hAnsi="Times New Roman" w:cs="Times New Roman"/>
              </w:rPr>
              <w:t>Sangli</w:t>
            </w:r>
            <w:proofErr w:type="spellEnd"/>
          </w:p>
        </w:tc>
        <w:tc>
          <w:tcPr>
            <w:tcW w:w="3235" w:type="dxa"/>
            <w:vAlign w:val="center"/>
          </w:tcPr>
          <w:p w14:paraId="45A28A67" w14:textId="77777777" w:rsidR="00975984" w:rsidRPr="001C72E9" w:rsidRDefault="00975984" w:rsidP="004B548A">
            <w:pPr>
              <w:rPr>
                <w:rFonts w:ascii="Times New Roman" w:hAnsi="Times New Roman" w:cs="Times New Roman"/>
              </w:rPr>
            </w:pPr>
            <w:proofErr w:type="spellStart"/>
            <w:proofErr w:type="gramStart"/>
            <w:r w:rsidRPr="001C72E9">
              <w:rPr>
                <w:rFonts w:ascii="Times New Roman" w:hAnsi="Times New Roman" w:cs="Times New Roman"/>
              </w:rPr>
              <w:t>Sangli</w:t>
            </w:r>
            <w:proofErr w:type="spellEnd"/>
            <w:r w:rsidRPr="001C72E9">
              <w:rPr>
                <w:rFonts w:ascii="Times New Roman" w:hAnsi="Times New Roman" w:cs="Times New Roman"/>
              </w:rPr>
              <w:t>(</w:t>
            </w:r>
            <w:proofErr w:type="gramEnd"/>
            <w:r w:rsidRPr="001C72E9">
              <w:rPr>
                <w:rFonts w:ascii="Times New Roman" w:hAnsi="Times New Roman" w:cs="Times New Roman"/>
              </w:rPr>
              <w:t xml:space="preserve">Phale, </w:t>
            </w:r>
            <w:proofErr w:type="spellStart"/>
            <w:r w:rsidRPr="001C72E9">
              <w:rPr>
                <w:rFonts w:ascii="Times New Roman" w:hAnsi="Times New Roman" w:cs="Times New Roman"/>
              </w:rPr>
              <w:t>Bhajipala</w:t>
            </w:r>
            <w:proofErr w:type="spellEnd"/>
            <w:r w:rsidRPr="001C72E9">
              <w:rPr>
                <w:rFonts w:ascii="Times New Roman" w:hAnsi="Times New Roman" w:cs="Times New Roman"/>
              </w:rPr>
              <w:t xml:space="preserve"> Market) APMC</w:t>
            </w:r>
          </w:p>
        </w:tc>
        <w:tc>
          <w:tcPr>
            <w:tcW w:w="1134" w:type="dxa"/>
            <w:vAlign w:val="center"/>
          </w:tcPr>
          <w:p w14:paraId="07A47AD9"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2,289</w:t>
            </w:r>
          </w:p>
        </w:tc>
        <w:tc>
          <w:tcPr>
            <w:tcW w:w="993" w:type="dxa"/>
            <w:vAlign w:val="center"/>
          </w:tcPr>
          <w:p w14:paraId="4C0979C0"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0.595</w:t>
            </w:r>
          </w:p>
        </w:tc>
        <w:tc>
          <w:tcPr>
            <w:tcW w:w="1046" w:type="dxa"/>
            <w:vAlign w:val="center"/>
          </w:tcPr>
          <w:p w14:paraId="229086F4"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w:t>
            </w:r>
          </w:p>
        </w:tc>
        <w:tc>
          <w:tcPr>
            <w:tcW w:w="2214" w:type="dxa"/>
            <w:vAlign w:val="center"/>
          </w:tcPr>
          <w:p w14:paraId="1D960E11" w14:textId="77777777" w:rsidR="00975984" w:rsidRPr="001C72E9" w:rsidRDefault="00975984" w:rsidP="004B548A">
            <w:pPr>
              <w:jc w:val="both"/>
              <w:rPr>
                <w:rFonts w:ascii="Times New Roman" w:hAnsi="Times New Roman" w:cs="Times New Roman"/>
              </w:rPr>
            </w:pPr>
            <w:r w:rsidRPr="001C72E9">
              <w:rPr>
                <w:rFonts w:ascii="Times New Roman" w:hAnsi="Times New Roman" w:cs="Times New Roman"/>
              </w:rPr>
              <w:t>Fallback to persistence/hybrid</w:t>
            </w:r>
          </w:p>
        </w:tc>
      </w:tr>
      <w:tr w:rsidR="00975984" w:rsidRPr="001C72E9" w14:paraId="5B6A2BF5" w14:textId="77777777" w:rsidTr="004B548A">
        <w:tc>
          <w:tcPr>
            <w:tcW w:w="1296" w:type="dxa"/>
            <w:vAlign w:val="center"/>
          </w:tcPr>
          <w:p w14:paraId="2B4A15A6" w14:textId="77777777" w:rsidR="00975984" w:rsidRPr="001C72E9" w:rsidRDefault="00975984" w:rsidP="004B548A">
            <w:pPr>
              <w:rPr>
                <w:rFonts w:ascii="Times New Roman" w:hAnsi="Times New Roman" w:cs="Times New Roman"/>
              </w:rPr>
            </w:pPr>
            <w:proofErr w:type="spellStart"/>
            <w:r w:rsidRPr="001C72E9">
              <w:rPr>
                <w:rFonts w:ascii="Times New Roman" w:hAnsi="Times New Roman" w:cs="Times New Roman"/>
              </w:rPr>
              <w:t>Chattrapati</w:t>
            </w:r>
            <w:proofErr w:type="spellEnd"/>
            <w:r w:rsidRPr="001C72E9">
              <w:rPr>
                <w:rFonts w:ascii="Times New Roman" w:hAnsi="Times New Roman" w:cs="Times New Roman"/>
              </w:rPr>
              <w:t xml:space="preserve"> </w:t>
            </w:r>
            <w:proofErr w:type="spellStart"/>
            <w:r w:rsidRPr="001C72E9">
              <w:rPr>
                <w:rFonts w:ascii="Times New Roman" w:hAnsi="Times New Roman" w:cs="Times New Roman"/>
              </w:rPr>
              <w:t>Sambhajinagar</w:t>
            </w:r>
            <w:proofErr w:type="spellEnd"/>
          </w:p>
        </w:tc>
        <w:tc>
          <w:tcPr>
            <w:tcW w:w="3235" w:type="dxa"/>
            <w:vAlign w:val="center"/>
          </w:tcPr>
          <w:p w14:paraId="542D41D1" w14:textId="77777777" w:rsidR="00975984" w:rsidRPr="001C72E9" w:rsidRDefault="00975984" w:rsidP="004B548A">
            <w:pPr>
              <w:rPr>
                <w:rFonts w:ascii="Times New Roman" w:hAnsi="Times New Roman" w:cs="Times New Roman"/>
              </w:rPr>
            </w:pPr>
            <w:proofErr w:type="spellStart"/>
            <w:r w:rsidRPr="001C72E9">
              <w:rPr>
                <w:rFonts w:ascii="Times New Roman" w:hAnsi="Times New Roman" w:cs="Times New Roman"/>
              </w:rPr>
              <w:t>Chattrapati</w:t>
            </w:r>
            <w:proofErr w:type="spellEnd"/>
            <w:r w:rsidRPr="001C72E9">
              <w:rPr>
                <w:rFonts w:ascii="Times New Roman" w:hAnsi="Times New Roman" w:cs="Times New Roman"/>
              </w:rPr>
              <w:t xml:space="preserve"> </w:t>
            </w:r>
            <w:proofErr w:type="spellStart"/>
            <w:r w:rsidRPr="001C72E9">
              <w:rPr>
                <w:rFonts w:ascii="Times New Roman" w:hAnsi="Times New Roman" w:cs="Times New Roman"/>
              </w:rPr>
              <w:t>Sambhajinagar</w:t>
            </w:r>
            <w:proofErr w:type="spellEnd"/>
            <w:r w:rsidRPr="001C72E9">
              <w:rPr>
                <w:rFonts w:ascii="Times New Roman" w:hAnsi="Times New Roman" w:cs="Times New Roman"/>
              </w:rPr>
              <w:t xml:space="preserve"> APMC</w:t>
            </w:r>
          </w:p>
        </w:tc>
        <w:tc>
          <w:tcPr>
            <w:tcW w:w="1134" w:type="dxa"/>
            <w:vAlign w:val="center"/>
          </w:tcPr>
          <w:p w14:paraId="6742D7D3"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1,949</w:t>
            </w:r>
          </w:p>
        </w:tc>
        <w:tc>
          <w:tcPr>
            <w:tcW w:w="993" w:type="dxa"/>
            <w:vAlign w:val="center"/>
          </w:tcPr>
          <w:p w14:paraId="0A5E9EE2"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0.657</w:t>
            </w:r>
          </w:p>
        </w:tc>
        <w:tc>
          <w:tcPr>
            <w:tcW w:w="1046" w:type="dxa"/>
            <w:vAlign w:val="center"/>
          </w:tcPr>
          <w:p w14:paraId="6B0206C9"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25%</w:t>
            </w:r>
          </w:p>
        </w:tc>
        <w:tc>
          <w:tcPr>
            <w:tcW w:w="2214" w:type="dxa"/>
            <w:vAlign w:val="center"/>
          </w:tcPr>
          <w:p w14:paraId="47CB402F" w14:textId="77777777" w:rsidR="00975984" w:rsidRPr="001C72E9" w:rsidRDefault="00975984" w:rsidP="004B548A">
            <w:pPr>
              <w:jc w:val="both"/>
              <w:rPr>
                <w:rFonts w:ascii="Times New Roman" w:hAnsi="Times New Roman" w:cs="Times New Roman"/>
              </w:rPr>
            </w:pPr>
            <w:r w:rsidRPr="001C72E9">
              <w:rPr>
                <w:rFonts w:ascii="Times New Roman" w:hAnsi="Times New Roman" w:cs="Times New Roman"/>
              </w:rPr>
              <w:t>Validation selected LSTM, but test did not improve</w:t>
            </w:r>
          </w:p>
        </w:tc>
      </w:tr>
      <w:tr w:rsidR="00975984" w:rsidRPr="001C72E9" w14:paraId="19CAE960" w14:textId="77777777" w:rsidTr="004B548A">
        <w:tc>
          <w:tcPr>
            <w:tcW w:w="1296" w:type="dxa"/>
            <w:vAlign w:val="center"/>
          </w:tcPr>
          <w:p w14:paraId="13252A87" w14:textId="77777777" w:rsidR="00975984" w:rsidRPr="00840A6F" w:rsidRDefault="00975984" w:rsidP="004B548A">
            <w:pPr>
              <w:rPr>
                <w:rFonts w:ascii="Times New Roman" w:hAnsi="Times New Roman" w:cs="Times New Roman"/>
              </w:rPr>
            </w:pPr>
            <w:r w:rsidRPr="00840A6F">
              <w:rPr>
                <w:rFonts w:ascii="Times New Roman" w:hAnsi="Times New Roman" w:cs="Times New Roman"/>
              </w:rPr>
              <w:t>Solapur</w:t>
            </w:r>
          </w:p>
        </w:tc>
        <w:tc>
          <w:tcPr>
            <w:tcW w:w="3235" w:type="dxa"/>
            <w:vAlign w:val="center"/>
          </w:tcPr>
          <w:p w14:paraId="13DD2C53" w14:textId="77777777" w:rsidR="00975984" w:rsidRPr="00840A6F" w:rsidRDefault="00975984" w:rsidP="004B548A">
            <w:pPr>
              <w:rPr>
                <w:rFonts w:ascii="Times New Roman" w:hAnsi="Times New Roman" w:cs="Times New Roman"/>
              </w:rPr>
            </w:pPr>
            <w:r w:rsidRPr="00840A6F">
              <w:rPr>
                <w:rFonts w:ascii="Times New Roman" w:hAnsi="Times New Roman" w:cs="Times New Roman"/>
              </w:rPr>
              <w:t>Shri Siddeshwar APMC</w:t>
            </w:r>
          </w:p>
        </w:tc>
        <w:tc>
          <w:tcPr>
            <w:tcW w:w="1134" w:type="dxa"/>
            <w:vAlign w:val="center"/>
          </w:tcPr>
          <w:p w14:paraId="26FA373B"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Rs. 1,283</w:t>
            </w:r>
          </w:p>
        </w:tc>
        <w:tc>
          <w:tcPr>
            <w:tcW w:w="993" w:type="dxa"/>
            <w:vAlign w:val="center"/>
          </w:tcPr>
          <w:p w14:paraId="6825AC6C"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0.335</w:t>
            </w:r>
          </w:p>
        </w:tc>
        <w:tc>
          <w:tcPr>
            <w:tcW w:w="1046" w:type="dxa"/>
            <w:vAlign w:val="center"/>
          </w:tcPr>
          <w:p w14:paraId="08548AD9" w14:textId="77777777" w:rsidR="00975984" w:rsidRPr="001C72E9" w:rsidRDefault="00975984" w:rsidP="004B548A">
            <w:pPr>
              <w:jc w:val="center"/>
              <w:rPr>
                <w:rFonts w:ascii="Times New Roman" w:hAnsi="Times New Roman" w:cs="Times New Roman"/>
              </w:rPr>
            </w:pPr>
            <w:r w:rsidRPr="001C72E9">
              <w:rPr>
                <w:rFonts w:ascii="Times New Roman" w:hAnsi="Times New Roman" w:cs="Times New Roman"/>
              </w:rPr>
              <w:t>25%</w:t>
            </w:r>
          </w:p>
        </w:tc>
        <w:tc>
          <w:tcPr>
            <w:tcW w:w="2214" w:type="dxa"/>
            <w:vAlign w:val="center"/>
          </w:tcPr>
          <w:p w14:paraId="2E5F519E" w14:textId="77777777" w:rsidR="00975984" w:rsidRPr="001C72E9" w:rsidRDefault="00975984" w:rsidP="004B548A">
            <w:pPr>
              <w:jc w:val="both"/>
              <w:rPr>
                <w:rFonts w:ascii="Times New Roman" w:hAnsi="Times New Roman" w:cs="Times New Roman"/>
              </w:rPr>
            </w:pPr>
            <w:r w:rsidRPr="001C72E9">
              <w:rPr>
                <w:rFonts w:ascii="Times New Roman" w:hAnsi="Times New Roman" w:cs="Times New Roman"/>
              </w:rPr>
              <w:t>Validation selected LSTM, but test did not improve</w:t>
            </w:r>
          </w:p>
        </w:tc>
      </w:tr>
    </w:tbl>
    <w:p w14:paraId="1867CC96" w14:textId="77777777" w:rsidR="00975984" w:rsidRPr="0070666F" w:rsidRDefault="00975984" w:rsidP="00975984">
      <w:pPr>
        <w:spacing w:line="360" w:lineRule="auto"/>
        <w:jc w:val="center"/>
        <w:rPr>
          <w:rFonts w:ascii="Times New Roman" w:hAnsi="Times New Roman" w:cs="Times New Roman"/>
          <w:bCs/>
          <w:i/>
          <w:iCs/>
        </w:rPr>
      </w:pPr>
      <w:r w:rsidRPr="0070666F">
        <w:rPr>
          <w:rFonts w:ascii="Times New Roman" w:hAnsi="Times New Roman" w:cs="Times New Roman"/>
          <w:bCs/>
          <w:i/>
          <w:iCs/>
        </w:rPr>
        <w:t>Table 4.2: Eligible-market LSTM/sequence benchmark summary</w:t>
      </w:r>
    </w:p>
    <w:p w14:paraId="61205F9F" w14:textId="77777777" w:rsidR="00975984" w:rsidRPr="00286DF2" w:rsidRDefault="00975984" w:rsidP="00975984">
      <w:pPr>
        <w:spacing w:line="360" w:lineRule="auto"/>
        <w:jc w:val="both"/>
        <w:rPr>
          <w:rFonts w:ascii="Times New Roman" w:hAnsi="Times New Roman" w:cs="Times New Roman"/>
          <w:color w:val="000000" w:themeColor="text1"/>
        </w:rPr>
      </w:pPr>
      <w:r w:rsidRPr="00286DF2">
        <w:rPr>
          <w:rFonts w:ascii="Times New Roman" w:hAnsi="Times New Roman" w:cs="Times New Roman"/>
          <w:color w:val="000000" w:themeColor="text1"/>
        </w:rPr>
        <w:t xml:space="preserve">Of all the market data being evaluated, </w:t>
      </w:r>
      <w:proofErr w:type="spellStart"/>
      <w:r w:rsidRPr="00286DF2">
        <w:rPr>
          <w:rFonts w:ascii="Times New Roman" w:hAnsi="Times New Roman" w:cs="Times New Roman"/>
          <w:color w:val="000000" w:themeColor="text1"/>
        </w:rPr>
        <w:t>Amarawati</w:t>
      </w:r>
      <w:proofErr w:type="spellEnd"/>
      <w:r w:rsidRPr="00286DF2">
        <w:rPr>
          <w:rFonts w:ascii="Times New Roman" w:hAnsi="Times New Roman" w:cs="Times New Roman"/>
          <w:color w:val="000000" w:themeColor="text1"/>
        </w:rPr>
        <w:t xml:space="preserve"> (</w:t>
      </w:r>
      <w:proofErr w:type="spellStart"/>
      <w:r w:rsidRPr="00286DF2">
        <w:rPr>
          <w:rFonts w:ascii="Times New Roman" w:hAnsi="Times New Roman" w:cs="Times New Roman"/>
          <w:color w:val="000000" w:themeColor="text1"/>
        </w:rPr>
        <w:t>Amrawati</w:t>
      </w:r>
      <w:proofErr w:type="spellEnd"/>
      <w:r w:rsidRPr="00286DF2">
        <w:rPr>
          <w:rFonts w:ascii="Times New Roman" w:hAnsi="Times New Roman" w:cs="Times New Roman"/>
          <w:color w:val="000000" w:themeColor="text1"/>
        </w:rPr>
        <w:t xml:space="preserve"> Fruit and Vegetable Market APMC) still turned out to be one of the best examples where the signal helped make a difference. With the recent fine-tuning, MAE oriented </w:t>
      </w:r>
      <w:proofErr w:type="spellStart"/>
      <w:r w:rsidRPr="00286DF2">
        <w:rPr>
          <w:rFonts w:ascii="Times New Roman" w:hAnsi="Times New Roman" w:cs="Times New Roman"/>
          <w:color w:val="000000" w:themeColor="text1"/>
        </w:rPr>
        <w:t>LSTM_Hybrid</w:t>
      </w:r>
      <w:proofErr w:type="spellEnd"/>
      <w:r w:rsidRPr="00286DF2">
        <w:rPr>
          <w:rFonts w:ascii="Times New Roman" w:hAnsi="Times New Roman" w:cs="Times New Roman"/>
          <w:color w:val="000000" w:themeColor="text1"/>
        </w:rPr>
        <w:t xml:space="preserve"> generated a MAE of Rs. 772 and R2 of 0.664, whereas R2 oriented LSTM_Hybrid_R2 had MAE of Rs. 768 and R2 of 0.665. In other words, it is possible to see that the improvements in terms of MAE and R2 were minor. At the same time, the dashboard mentions markets like Nashik and Pune, where the use </w:t>
      </w:r>
      <w:r w:rsidRPr="00286DF2">
        <w:rPr>
          <w:rFonts w:ascii="Times New Roman" w:hAnsi="Times New Roman" w:cs="Times New Roman"/>
          <w:color w:val="000000" w:themeColor="text1"/>
        </w:rPr>
        <w:lastRenderedPageBreak/>
        <w:t>of the R2 oriented variant allows one to improve R2 at the expense of increasing MAE. Thus, it would be correct to say that the results of R2 improvement represent the benchmark only.</w:t>
      </w:r>
    </w:p>
    <w:tbl>
      <w:tblPr>
        <w:tblStyle w:val="TableGrid"/>
        <w:tblW w:w="0" w:type="auto"/>
        <w:tblLook w:val="04A0" w:firstRow="1" w:lastRow="0" w:firstColumn="1" w:lastColumn="0" w:noHBand="0" w:noVBand="1"/>
      </w:tblPr>
      <w:tblGrid>
        <w:gridCol w:w="1492"/>
        <w:gridCol w:w="1656"/>
        <w:gridCol w:w="1466"/>
        <w:gridCol w:w="1463"/>
        <w:gridCol w:w="1468"/>
        <w:gridCol w:w="1471"/>
      </w:tblGrid>
      <w:tr w:rsidR="00975984" w:rsidRPr="00286DF2" w14:paraId="3C684DCE" w14:textId="77777777" w:rsidTr="004B548A">
        <w:tc>
          <w:tcPr>
            <w:tcW w:w="1492" w:type="dxa"/>
            <w:vAlign w:val="center"/>
          </w:tcPr>
          <w:p w14:paraId="32013B64" w14:textId="77777777" w:rsidR="00975984" w:rsidRPr="00286DF2" w:rsidRDefault="00975984" w:rsidP="004B548A">
            <w:pPr>
              <w:jc w:val="center"/>
              <w:rPr>
                <w:sz w:val="24"/>
                <w:szCs w:val="24"/>
              </w:rPr>
            </w:pPr>
            <w:r w:rsidRPr="00286DF2">
              <w:rPr>
                <w:rFonts w:ascii="Times New Roman" w:hAnsi="Times New Roman"/>
                <w:b/>
                <w:sz w:val="24"/>
                <w:szCs w:val="24"/>
              </w:rPr>
              <w:t>District</w:t>
            </w:r>
          </w:p>
        </w:tc>
        <w:tc>
          <w:tcPr>
            <w:tcW w:w="1656" w:type="dxa"/>
            <w:vAlign w:val="center"/>
          </w:tcPr>
          <w:p w14:paraId="745042FE" w14:textId="77777777" w:rsidR="00975984" w:rsidRPr="00286DF2" w:rsidRDefault="00975984" w:rsidP="004B548A">
            <w:pPr>
              <w:jc w:val="center"/>
              <w:rPr>
                <w:sz w:val="24"/>
                <w:szCs w:val="24"/>
              </w:rPr>
            </w:pPr>
            <w:r w:rsidRPr="00286DF2">
              <w:rPr>
                <w:rFonts w:ascii="Times New Roman" w:hAnsi="Times New Roman"/>
                <w:b/>
                <w:sz w:val="24"/>
                <w:szCs w:val="24"/>
              </w:rPr>
              <w:t>Market</w:t>
            </w:r>
          </w:p>
        </w:tc>
        <w:tc>
          <w:tcPr>
            <w:tcW w:w="1466" w:type="dxa"/>
            <w:vAlign w:val="center"/>
          </w:tcPr>
          <w:p w14:paraId="4626F80B" w14:textId="77777777" w:rsidR="00975984" w:rsidRPr="00286DF2" w:rsidRDefault="00975984" w:rsidP="004B548A">
            <w:pPr>
              <w:jc w:val="center"/>
              <w:rPr>
                <w:sz w:val="24"/>
                <w:szCs w:val="24"/>
              </w:rPr>
            </w:pPr>
            <w:r w:rsidRPr="00286DF2">
              <w:rPr>
                <w:rFonts w:ascii="Times New Roman" w:hAnsi="Times New Roman"/>
                <w:b/>
                <w:sz w:val="24"/>
                <w:szCs w:val="24"/>
              </w:rPr>
              <w:t>R2 MAE-tuned</w:t>
            </w:r>
          </w:p>
        </w:tc>
        <w:tc>
          <w:tcPr>
            <w:tcW w:w="1463" w:type="dxa"/>
            <w:vAlign w:val="center"/>
          </w:tcPr>
          <w:p w14:paraId="60069BE1" w14:textId="77777777" w:rsidR="00975984" w:rsidRPr="00286DF2" w:rsidRDefault="00975984" w:rsidP="004B548A">
            <w:pPr>
              <w:jc w:val="center"/>
              <w:rPr>
                <w:sz w:val="24"/>
                <w:szCs w:val="24"/>
              </w:rPr>
            </w:pPr>
            <w:r w:rsidRPr="00286DF2">
              <w:rPr>
                <w:rFonts w:ascii="Times New Roman" w:hAnsi="Times New Roman"/>
                <w:b/>
                <w:sz w:val="24"/>
                <w:szCs w:val="24"/>
              </w:rPr>
              <w:t>R2-tuned R2</w:t>
            </w:r>
          </w:p>
        </w:tc>
        <w:tc>
          <w:tcPr>
            <w:tcW w:w="1468" w:type="dxa"/>
            <w:vAlign w:val="center"/>
          </w:tcPr>
          <w:p w14:paraId="7896F76D" w14:textId="77777777" w:rsidR="00975984" w:rsidRPr="00286DF2" w:rsidRDefault="00975984" w:rsidP="004B548A">
            <w:pPr>
              <w:jc w:val="center"/>
              <w:rPr>
                <w:sz w:val="24"/>
                <w:szCs w:val="24"/>
              </w:rPr>
            </w:pPr>
            <w:r w:rsidRPr="00286DF2">
              <w:rPr>
                <w:rFonts w:ascii="Times New Roman" w:hAnsi="Times New Roman"/>
                <w:b/>
                <w:sz w:val="24"/>
                <w:szCs w:val="24"/>
              </w:rPr>
              <w:t>R2 gain</w:t>
            </w:r>
          </w:p>
        </w:tc>
        <w:tc>
          <w:tcPr>
            <w:tcW w:w="1471" w:type="dxa"/>
            <w:vAlign w:val="center"/>
          </w:tcPr>
          <w:p w14:paraId="529F17FE" w14:textId="77777777" w:rsidR="00975984" w:rsidRPr="00286DF2" w:rsidRDefault="00975984" w:rsidP="004B548A">
            <w:pPr>
              <w:jc w:val="center"/>
              <w:rPr>
                <w:sz w:val="24"/>
                <w:szCs w:val="24"/>
              </w:rPr>
            </w:pPr>
            <w:r w:rsidRPr="00286DF2">
              <w:rPr>
                <w:rFonts w:ascii="Times New Roman" w:hAnsi="Times New Roman"/>
                <w:b/>
                <w:sz w:val="24"/>
                <w:szCs w:val="24"/>
              </w:rPr>
              <w:t>MAE change</w:t>
            </w:r>
          </w:p>
        </w:tc>
      </w:tr>
      <w:tr w:rsidR="00975984" w:rsidRPr="00286DF2" w14:paraId="326C26DE" w14:textId="77777777" w:rsidTr="004B548A">
        <w:tc>
          <w:tcPr>
            <w:tcW w:w="1492" w:type="dxa"/>
            <w:vAlign w:val="center"/>
          </w:tcPr>
          <w:p w14:paraId="087DAC35" w14:textId="77777777" w:rsidR="00975984" w:rsidRPr="00286DF2" w:rsidRDefault="00975984" w:rsidP="004B548A">
            <w:pPr>
              <w:jc w:val="center"/>
              <w:rPr>
                <w:sz w:val="24"/>
                <w:szCs w:val="24"/>
              </w:rPr>
            </w:pPr>
            <w:r w:rsidRPr="00286DF2">
              <w:rPr>
                <w:rFonts w:ascii="Times New Roman" w:hAnsi="Times New Roman"/>
                <w:sz w:val="24"/>
                <w:szCs w:val="24"/>
              </w:rPr>
              <w:t>Nashik</w:t>
            </w:r>
          </w:p>
        </w:tc>
        <w:tc>
          <w:tcPr>
            <w:tcW w:w="1656" w:type="dxa"/>
            <w:vAlign w:val="center"/>
          </w:tcPr>
          <w:p w14:paraId="584434F6" w14:textId="77777777" w:rsidR="00975984" w:rsidRPr="00286DF2" w:rsidRDefault="00975984" w:rsidP="004B548A">
            <w:pPr>
              <w:jc w:val="center"/>
              <w:rPr>
                <w:sz w:val="24"/>
                <w:szCs w:val="24"/>
              </w:rPr>
            </w:pPr>
            <w:r w:rsidRPr="00286DF2">
              <w:rPr>
                <w:rFonts w:ascii="Times New Roman" w:hAnsi="Times New Roman"/>
                <w:sz w:val="24"/>
                <w:szCs w:val="24"/>
              </w:rPr>
              <w:t>Nasik APMC</w:t>
            </w:r>
          </w:p>
        </w:tc>
        <w:tc>
          <w:tcPr>
            <w:tcW w:w="1466" w:type="dxa"/>
            <w:vAlign w:val="center"/>
          </w:tcPr>
          <w:p w14:paraId="4BB094B0" w14:textId="77777777" w:rsidR="00975984" w:rsidRPr="00286DF2" w:rsidRDefault="00975984" w:rsidP="004B548A">
            <w:pPr>
              <w:jc w:val="center"/>
              <w:rPr>
                <w:sz w:val="24"/>
                <w:szCs w:val="24"/>
              </w:rPr>
            </w:pPr>
            <w:r w:rsidRPr="00286DF2">
              <w:rPr>
                <w:rFonts w:ascii="Times New Roman" w:hAnsi="Times New Roman"/>
                <w:sz w:val="24"/>
                <w:szCs w:val="24"/>
              </w:rPr>
              <w:t>0.875</w:t>
            </w:r>
          </w:p>
        </w:tc>
        <w:tc>
          <w:tcPr>
            <w:tcW w:w="1463" w:type="dxa"/>
            <w:vAlign w:val="center"/>
          </w:tcPr>
          <w:p w14:paraId="5044FD2D" w14:textId="77777777" w:rsidR="00975984" w:rsidRPr="00286DF2" w:rsidRDefault="00975984" w:rsidP="004B548A">
            <w:pPr>
              <w:jc w:val="center"/>
              <w:rPr>
                <w:sz w:val="24"/>
                <w:szCs w:val="24"/>
              </w:rPr>
            </w:pPr>
            <w:r w:rsidRPr="00286DF2">
              <w:rPr>
                <w:rFonts w:ascii="Times New Roman" w:hAnsi="Times New Roman"/>
                <w:sz w:val="24"/>
                <w:szCs w:val="24"/>
              </w:rPr>
              <w:t>0.885</w:t>
            </w:r>
          </w:p>
        </w:tc>
        <w:tc>
          <w:tcPr>
            <w:tcW w:w="1468" w:type="dxa"/>
            <w:vAlign w:val="center"/>
          </w:tcPr>
          <w:p w14:paraId="01B18E01" w14:textId="77777777" w:rsidR="00975984" w:rsidRPr="00286DF2" w:rsidRDefault="00975984" w:rsidP="004B548A">
            <w:pPr>
              <w:jc w:val="center"/>
              <w:rPr>
                <w:sz w:val="24"/>
                <w:szCs w:val="24"/>
              </w:rPr>
            </w:pPr>
            <w:r w:rsidRPr="00286DF2">
              <w:rPr>
                <w:rFonts w:ascii="Times New Roman" w:hAnsi="Times New Roman"/>
                <w:sz w:val="24"/>
                <w:szCs w:val="24"/>
              </w:rPr>
              <w:t>+0.010</w:t>
            </w:r>
          </w:p>
        </w:tc>
        <w:tc>
          <w:tcPr>
            <w:tcW w:w="1471" w:type="dxa"/>
            <w:vAlign w:val="center"/>
          </w:tcPr>
          <w:p w14:paraId="13A169FF" w14:textId="77777777" w:rsidR="00975984" w:rsidRPr="00286DF2" w:rsidRDefault="00975984" w:rsidP="004B548A">
            <w:pPr>
              <w:jc w:val="center"/>
              <w:rPr>
                <w:sz w:val="24"/>
                <w:szCs w:val="24"/>
              </w:rPr>
            </w:pPr>
            <w:r w:rsidRPr="00286DF2">
              <w:rPr>
                <w:rFonts w:ascii="Times New Roman" w:hAnsi="Times New Roman"/>
                <w:sz w:val="24"/>
                <w:szCs w:val="24"/>
              </w:rPr>
              <w:t>Rs. 80</w:t>
            </w:r>
          </w:p>
        </w:tc>
      </w:tr>
      <w:tr w:rsidR="00975984" w:rsidRPr="00286DF2" w14:paraId="1BE3C533" w14:textId="77777777" w:rsidTr="004B548A">
        <w:tc>
          <w:tcPr>
            <w:tcW w:w="1492" w:type="dxa"/>
            <w:vAlign w:val="center"/>
          </w:tcPr>
          <w:p w14:paraId="7A1BEB36" w14:textId="77777777" w:rsidR="00975984" w:rsidRPr="00286DF2" w:rsidRDefault="00975984" w:rsidP="004B548A">
            <w:pPr>
              <w:jc w:val="center"/>
              <w:rPr>
                <w:sz w:val="24"/>
                <w:szCs w:val="24"/>
              </w:rPr>
            </w:pPr>
            <w:r w:rsidRPr="00286DF2">
              <w:rPr>
                <w:rFonts w:ascii="Times New Roman" w:hAnsi="Times New Roman"/>
                <w:sz w:val="24"/>
                <w:szCs w:val="24"/>
              </w:rPr>
              <w:t>Nagpur</w:t>
            </w:r>
          </w:p>
        </w:tc>
        <w:tc>
          <w:tcPr>
            <w:tcW w:w="1656" w:type="dxa"/>
            <w:vAlign w:val="center"/>
          </w:tcPr>
          <w:p w14:paraId="1C1B6B48" w14:textId="77777777" w:rsidR="00975984" w:rsidRPr="00286DF2" w:rsidRDefault="00975984" w:rsidP="004B548A">
            <w:pPr>
              <w:jc w:val="center"/>
              <w:rPr>
                <w:sz w:val="24"/>
                <w:szCs w:val="24"/>
              </w:rPr>
            </w:pPr>
            <w:proofErr w:type="spellStart"/>
            <w:r w:rsidRPr="00286DF2">
              <w:rPr>
                <w:rFonts w:ascii="Times New Roman" w:hAnsi="Times New Roman"/>
                <w:sz w:val="24"/>
                <w:szCs w:val="24"/>
              </w:rPr>
              <w:t>Kamthi</w:t>
            </w:r>
            <w:proofErr w:type="spellEnd"/>
            <w:r w:rsidRPr="00286DF2">
              <w:rPr>
                <w:rFonts w:ascii="Times New Roman" w:hAnsi="Times New Roman"/>
                <w:sz w:val="24"/>
                <w:szCs w:val="24"/>
              </w:rPr>
              <w:t xml:space="preserve"> APMC</w:t>
            </w:r>
          </w:p>
        </w:tc>
        <w:tc>
          <w:tcPr>
            <w:tcW w:w="1466" w:type="dxa"/>
            <w:vAlign w:val="center"/>
          </w:tcPr>
          <w:p w14:paraId="62EF7BF3" w14:textId="77777777" w:rsidR="00975984" w:rsidRPr="00286DF2" w:rsidRDefault="00975984" w:rsidP="004B548A">
            <w:pPr>
              <w:jc w:val="center"/>
              <w:rPr>
                <w:sz w:val="24"/>
                <w:szCs w:val="24"/>
              </w:rPr>
            </w:pPr>
            <w:r w:rsidRPr="00286DF2">
              <w:rPr>
                <w:rFonts w:ascii="Times New Roman" w:hAnsi="Times New Roman"/>
                <w:sz w:val="24"/>
                <w:szCs w:val="24"/>
              </w:rPr>
              <w:t>0.815</w:t>
            </w:r>
          </w:p>
        </w:tc>
        <w:tc>
          <w:tcPr>
            <w:tcW w:w="1463" w:type="dxa"/>
            <w:vAlign w:val="center"/>
          </w:tcPr>
          <w:p w14:paraId="18730E78" w14:textId="77777777" w:rsidR="00975984" w:rsidRPr="00286DF2" w:rsidRDefault="00975984" w:rsidP="004B548A">
            <w:pPr>
              <w:jc w:val="center"/>
              <w:rPr>
                <w:sz w:val="24"/>
                <w:szCs w:val="24"/>
              </w:rPr>
            </w:pPr>
            <w:r w:rsidRPr="00286DF2">
              <w:rPr>
                <w:rFonts w:ascii="Times New Roman" w:hAnsi="Times New Roman"/>
                <w:sz w:val="24"/>
                <w:szCs w:val="24"/>
              </w:rPr>
              <w:t>0.815</w:t>
            </w:r>
          </w:p>
        </w:tc>
        <w:tc>
          <w:tcPr>
            <w:tcW w:w="1468" w:type="dxa"/>
            <w:vAlign w:val="center"/>
          </w:tcPr>
          <w:p w14:paraId="10FEC85F" w14:textId="77777777" w:rsidR="00975984" w:rsidRPr="00286DF2" w:rsidRDefault="00975984" w:rsidP="004B548A">
            <w:pPr>
              <w:jc w:val="center"/>
              <w:rPr>
                <w:sz w:val="24"/>
                <w:szCs w:val="24"/>
              </w:rPr>
            </w:pPr>
            <w:r w:rsidRPr="00286DF2">
              <w:rPr>
                <w:rFonts w:ascii="Times New Roman" w:hAnsi="Times New Roman"/>
                <w:sz w:val="24"/>
                <w:szCs w:val="24"/>
              </w:rPr>
              <w:t>+0.000</w:t>
            </w:r>
          </w:p>
        </w:tc>
        <w:tc>
          <w:tcPr>
            <w:tcW w:w="1471" w:type="dxa"/>
            <w:vAlign w:val="center"/>
          </w:tcPr>
          <w:p w14:paraId="19598F86" w14:textId="77777777" w:rsidR="00975984" w:rsidRPr="00286DF2" w:rsidRDefault="00975984" w:rsidP="004B548A">
            <w:pPr>
              <w:jc w:val="center"/>
              <w:rPr>
                <w:sz w:val="24"/>
                <w:szCs w:val="24"/>
              </w:rPr>
            </w:pPr>
            <w:r w:rsidRPr="00286DF2">
              <w:rPr>
                <w:rFonts w:ascii="Times New Roman" w:hAnsi="Times New Roman"/>
                <w:sz w:val="24"/>
                <w:szCs w:val="24"/>
              </w:rPr>
              <w:t>Rs. 0</w:t>
            </w:r>
          </w:p>
        </w:tc>
      </w:tr>
      <w:tr w:rsidR="00975984" w:rsidRPr="00286DF2" w14:paraId="4FCB71AA" w14:textId="77777777" w:rsidTr="004B548A">
        <w:tc>
          <w:tcPr>
            <w:tcW w:w="1492" w:type="dxa"/>
            <w:vAlign w:val="center"/>
          </w:tcPr>
          <w:p w14:paraId="0C10EDE0" w14:textId="77777777" w:rsidR="00975984" w:rsidRPr="00286DF2" w:rsidRDefault="00975984" w:rsidP="004B548A">
            <w:pPr>
              <w:jc w:val="center"/>
              <w:rPr>
                <w:sz w:val="24"/>
                <w:szCs w:val="24"/>
              </w:rPr>
            </w:pPr>
            <w:proofErr w:type="spellStart"/>
            <w:r w:rsidRPr="00286DF2">
              <w:rPr>
                <w:rFonts w:ascii="Times New Roman" w:hAnsi="Times New Roman"/>
                <w:sz w:val="24"/>
                <w:szCs w:val="24"/>
              </w:rPr>
              <w:t>Amarawati</w:t>
            </w:r>
            <w:proofErr w:type="spellEnd"/>
          </w:p>
        </w:tc>
        <w:tc>
          <w:tcPr>
            <w:tcW w:w="1656" w:type="dxa"/>
            <w:vAlign w:val="center"/>
          </w:tcPr>
          <w:p w14:paraId="008274A2" w14:textId="77777777" w:rsidR="00975984" w:rsidRPr="00286DF2" w:rsidRDefault="00975984" w:rsidP="004B548A">
            <w:pPr>
              <w:jc w:val="center"/>
              <w:rPr>
                <w:sz w:val="24"/>
                <w:szCs w:val="24"/>
              </w:rPr>
            </w:pPr>
            <w:proofErr w:type="gramStart"/>
            <w:r w:rsidRPr="00286DF2">
              <w:rPr>
                <w:rFonts w:ascii="Times New Roman" w:hAnsi="Times New Roman"/>
                <w:sz w:val="24"/>
                <w:szCs w:val="24"/>
              </w:rPr>
              <w:t>Amrawati(</w:t>
            </w:r>
            <w:proofErr w:type="gramEnd"/>
            <w:r w:rsidRPr="00286DF2">
              <w:rPr>
                <w:rFonts w:ascii="Times New Roman" w:hAnsi="Times New Roman"/>
                <w:sz w:val="24"/>
                <w:szCs w:val="24"/>
              </w:rPr>
              <w:t>Frui &amp; Veg. Market) APMC</w:t>
            </w:r>
          </w:p>
        </w:tc>
        <w:tc>
          <w:tcPr>
            <w:tcW w:w="1466" w:type="dxa"/>
            <w:vAlign w:val="center"/>
          </w:tcPr>
          <w:p w14:paraId="27C11E8E" w14:textId="77777777" w:rsidR="00975984" w:rsidRPr="00286DF2" w:rsidRDefault="00975984" w:rsidP="004B548A">
            <w:pPr>
              <w:jc w:val="center"/>
              <w:rPr>
                <w:sz w:val="24"/>
                <w:szCs w:val="24"/>
              </w:rPr>
            </w:pPr>
            <w:r w:rsidRPr="00286DF2">
              <w:rPr>
                <w:rFonts w:ascii="Times New Roman" w:hAnsi="Times New Roman"/>
                <w:sz w:val="24"/>
                <w:szCs w:val="24"/>
              </w:rPr>
              <w:t>0.664</w:t>
            </w:r>
          </w:p>
        </w:tc>
        <w:tc>
          <w:tcPr>
            <w:tcW w:w="1463" w:type="dxa"/>
            <w:vAlign w:val="center"/>
          </w:tcPr>
          <w:p w14:paraId="36BDEDCD" w14:textId="77777777" w:rsidR="00975984" w:rsidRPr="00286DF2" w:rsidRDefault="00975984" w:rsidP="004B548A">
            <w:pPr>
              <w:jc w:val="center"/>
              <w:rPr>
                <w:sz w:val="24"/>
                <w:szCs w:val="24"/>
              </w:rPr>
            </w:pPr>
            <w:r w:rsidRPr="00286DF2">
              <w:rPr>
                <w:rFonts w:ascii="Times New Roman" w:hAnsi="Times New Roman"/>
                <w:sz w:val="24"/>
                <w:szCs w:val="24"/>
              </w:rPr>
              <w:t>0.665</w:t>
            </w:r>
          </w:p>
        </w:tc>
        <w:tc>
          <w:tcPr>
            <w:tcW w:w="1468" w:type="dxa"/>
            <w:vAlign w:val="center"/>
          </w:tcPr>
          <w:p w14:paraId="2F58AA00" w14:textId="77777777" w:rsidR="00975984" w:rsidRPr="00286DF2" w:rsidRDefault="00975984" w:rsidP="004B548A">
            <w:pPr>
              <w:jc w:val="center"/>
              <w:rPr>
                <w:sz w:val="24"/>
                <w:szCs w:val="24"/>
              </w:rPr>
            </w:pPr>
            <w:r w:rsidRPr="00286DF2">
              <w:rPr>
                <w:rFonts w:ascii="Times New Roman" w:hAnsi="Times New Roman"/>
                <w:sz w:val="24"/>
                <w:szCs w:val="24"/>
              </w:rPr>
              <w:t>+0.001</w:t>
            </w:r>
          </w:p>
        </w:tc>
        <w:tc>
          <w:tcPr>
            <w:tcW w:w="1471" w:type="dxa"/>
            <w:vAlign w:val="center"/>
          </w:tcPr>
          <w:p w14:paraId="777E9FF5" w14:textId="77777777" w:rsidR="00975984" w:rsidRPr="00286DF2" w:rsidRDefault="00975984" w:rsidP="004B548A">
            <w:pPr>
              <w:jc w:val="center"/>
              <w:rPr>
                <w:sz w:val="24"/>
                <w:szCs w:val="24"/>
              </w:rPr>
            </w:pPr>
            <w:r w:rsidRPr="00286DF2">
              <w:rPr>
                <w:rFonts w:ascii="Times New Roman" w:hAnsi="Times New Roman"/>
                <w:sz w:val="24"/>
                <w:szCs w:val="24"/>
              </w:rPr>
              <w:t>Rs. -4</w:t>
            </w:r>
          </w:p>
        </w:tc>
      </w:tr>
      <w:tr w:rsidR="00975984" w:rsidRPr="00286DF2" w14:paraId="55F14DAC" w14:textId="77777777" w:rsidTr="004B548A">
        <w:tc>
          <w:tcPr>
            <w:tcW w:w="1492" w:type="dxa"/>
            <w:vAlign w:val="center"/>
          </w:tcPr>
          <w:p w14:paraId="4AD463BE" w14:textId="77777777" w:rsidR="00975984" w:rsidRPr="00286DF2" w:rsidRDefault="00975984" w:rsidP="004B548A">
            <w:pPr>
              <w:jc w:val="center"/>
              <w:rPr>
                <w:sz w:val="24"/>
                <w:szCs w:val="24"/>
              </w:rPr>
            </w:pPr>
            <w:r w:rsidRPr="00286DF2">
              <w:rPr>
                <w:rFonts w:ascii="Times New Roman" w:hAnsi="Times New Roman"/>
                <w:sz w:val="24"/>
                <w:szCs w:val="24"/>
              </w:rPr>
              <w:t>Pune</w:t>
            </w:r>
          </w:p>
        </w:tc>
        <w:tc>
          <w:tcPr>
            <w:tcW w:w="1656" w:type="dxa"/>
            <w:vAlign w:val="center"/>
          </w:tcPr>
          <w:p w14:paraId="510359D2" w14:textId="77777777" w:rsidR="00975984" w:rsidRPr="00286DF2" w:rsidRDefault="00975984" w:rsidP="004B548A">
            <w:pPr>
              <w:jc w:val="center"/>
              <w:rPr>
                <w:sz w:val="24"/>
                <w:szCs w:val="24"/>
              </w:rPr>
            </w:pPr>
            <w:proofErr w:type="gramStart"/>
            <w:r w:rsidRPr="00286DF2">
              <w:rPr>
                <w:rFonts w:ascii="Times New Roman" w:hAnsi="Times New Roman"/>
                <w:sz w:val="24"/>
                <w:szCs w:val="24"/>
              </w:rPr>
              <w:t>Pune(</w:t>
            </w:r>
            <w:proofErr w:type="gramEnd"/>
            <w:r w:rsidRPr="00286DF2">
              <w:rPr>
                <w:rFonts w:ascii="Times New Roman" w:hAnsi="Times New Roman"/>
                <w:sz w:val="24"/>
                <w:szCs w:val="24"/>
              </w:rPr>
              <w:t>Moshi) APMC</w:t>
            </w:r>
          </w:p>
        </w:tc>
        <w:tc>
          <w:tcPr>
            <w:tcW w:w="1466" w:type="dxa"/>
            <w:vAlign w:val="center"/>
          </w:tcPr>
          <w:p w14:paraId="0899B96A" w14:textId="77777777" w:rsidR="00975984" w:rsidRPr="00286DF2" w:rsidRDefault="00975984" w:rsidP="004B548A">
            <w:pPr>
              <w:jc w:val="center"/>
              <w:rPr>
                <w:sz w:val="24"/>
                <w:szCs w:val="24"/>
              </w:rPr>
            </w:pPr>
            <w:r w:rsidRPr="00286DF2">
              <w:rPr>
                <w:rFonts w:ascii="Times New Roman" w:hAnsi="Times New Roman"/>
                <w:sz w:val="24"/>
                <w:szCs w:val="24"/>
              </w:rPr>
              <w:t>0.073</w:t>
            </w:r>
          </w:p>
        </w:tc>
        <w:tc>
          <w:tcPr>
            <w:tcW w:w="1463" w:type="dxa"/>
            <w:vAlign w:val="center"/>
          </w:tcPr>
          <w:p w14:paraId="0C6ACF1C" w14:textId="77777777" w:rsidR="00975984" w:rsidRPr="00286DF2" w:rsidRDefault="00975984" w:rsidP="004B548A">
            <w:pPr>
              <w:jc w:val="center"/>
              <w:rPr>
                <w:sz w:val="24"/>
                <w:szCs w:val="24"/>
              </w:rPr>
            </w:pPr>
            <w:r w:rsidRPr="00286DF2">
              <w:rPr>
                <w:rFonts w:ascii="Times New Roman" w:hAnsi="Times New Roman"/>
                <w:sz w:val="24"/>
                <w:szCs w:val="24"/>
              </w:rPr>
              <w:t>0.137</w:t>
            </w:r>
          </w:p>
        </w:tc>
        <w:tc>
          <w:tcPr>
            <w:tcW w:w="1468" w:type="dxa"/>
            <w:vAlign w:val="center"/>
          </w:tcPr>
          <w:p w14:paraId="7898101A" w14:textId="77777777" w:rsidR="00975984" w:rsidRPr="00286DF2" w:rsidRDefault="00975984" w:rsidP="004B548A">
            <w:pPr>
              <w:jc w:val="center"/>
              <w:rPr>
                <w:sz w:val="24"/>
                <w:szCs w:val="24"/>
              </w:rPr>
            </w:pPr>
            <w:r w:rsidRPr="00286DF2">
              <w:rPr>
                <w:rFonts w:ascii="Times New Roman" w:hAnsi="Times New Roman"/>
                <w:sz w:val="24"/>
                <w:szCs w:val="24"/>
              </w:rPr>
              <w:t>+0.064</w:t>
            </w:r>
          </w:p>
        </w:tc>
        <w:tc>
          <w:tcPr>
            <w:tcW w:w="1471" w:type="dxa"/>
            <w:vAlign w:val="center"/>
          </w:tcPr>
          <w:p w14:paraId="7CAEB8B7" w14:textId="77777777" w:rsidR="00975984" w:rsidRPr="00286DF2" w:rsidRDefault="00975984" w:rsidP="004B548A">
            <w:pPr>
              <w:jc w:val="center"/>
              <w:rPr>
                <w:sz w:val="24"/>
                <w:szCs w:val="24"/>
              </w:rPr>
            </w:pPr>
            <w:r w:rsidRPr="00286DF2">
              <w:rPr>
                <w:rFonts w:ascii="Times New Roman" w:hAnsi="Times New Roman"/>
                <w:sz w:val="24"/>
                <w:szCs w:val="24"/>
              </w:rPr>
              <w:t>Rs. 197</w:t>
            </w:r>
          </w:p>
        </w:tc>
      </w:tr>
    </w:tbl>
    <w:p w14:paraId="253DAFCE" w14:textId="77777777" w:rsidR="00975984" w:rsidRPr="00286DF2" w:rsidRDefault="00975984" w:rsidP="00975984">
      <w:pPr>
        <w:jc w:val="center"/>
        <w:rPr>
          <w:bCs/>
          <w:i/>
          <w:iCs/>
        </w:rPr>
      </w:pPr>
      <w:r w:rsidRPr="00286DF2">
        <w:rPr>
          <w:rFonts w:ascii="Times New Roman" w:hAnsi="Times New Roman"/>
          <w:bCs/>
          <w:i/>
          <w:iCs/>
          <w:sz w:val="22"/>
        </w:rPr>
        <w:t>Table 4.2a: R2-oriented LSTM hybrid comparison for selected markets</w:t>
      </w:r>
    </w:p>
    <w:p w14:paraId="4A8E3007" w14:textId="77777777" w:rsidR="00975984" w:rsidRPr="00286DF2" w:rsidRDefault="00975984" w:rsidP="00975984">
      <w:pPr>
        <w:spacing w:line="360" w:lineRule="auto"/>
        <w:jc w:val="both"/>
        <w:rPr>
          <w:rFonts w:ascii="Times New Roman" w:hAnsi="Times New Roman" w:cs="Times New Roman"/>
          <w:color w:val="000000" w:themeColor="text1"/>
        </w:rPr>
      </w:pPr>
      <w:r w:rsidRPr="00286DF2">
        <w:rPr>
          <w:rFonts w:ascii="Times New Roman" w:hAnsi="Times New Roman" w:cs="Times New Roman"/>
          <w:color w:val="000000" w:themeColor="text1"/>
        </w:rPr>
        <w:t>The version of R2 that has been calibrated would be helpful in describing variances but not necessarily as an accurate forecast with the minimum error since Nashik has been upgraded from R2 0.875 to 0.885, and Pune has been upgraded from R2 0.073 to 0.137 but with an increase in MAE of Pune.</w:t>
      </w:r>
    </w:p>
    <w:p w14:paraId="49A052FA" w14:textId="77777777" w:rsidR="005A06A3" w:rsidRDefault="005A06A3" w:rsidP="00975984">
      <w:pPr>
        <w:spacing w:line="360" w:lineRule="auto"/>
        <w:jc w:val="both"/>
        <w:rPr>
          <w:rFonts w:ascii="Times New Roman" w:hAnsi="Times New Roman" w:cs="Times New Roman"/>
          <w:b/>
          <w:bCs/>
          <w:color w:val="000000" w:themeColor="text1"/>
        </w:rPr>
      </w:pPr>
    </w:p>
    <w:p w14:paraId="4BD54D3E" w14:textId="0EAE23CE" w:rsidR="00975984" w:rsidRDefault="00975984" w:rsidP="00975984">
      <w:pPr>
        <w:spacing w:line="360" w:lineRule="auto"/>
        <w:jc w:val="both"/>
        <w:rPr>
          <w:rFonts w:ascii="Times New Roman" w:hAnsi="Times New Roman" w:cs="Times New Roman"/>
          <w:b/>
          <w:bCs/>
          <w:color w:val="000000" w:themeColor="text1"/>
        </w:rPr>
      </w:pPr>
      <w:r w:rsidRPr="00BB3856">
        <w:rPr>
          <w:rFonts w:ascii="Times New Roman" w:hAnsi="Times New Roman" w:cs="Times New Roman"/>
          <w:b/>
          <w:bCs/>
          <w:color w:val="000000" w:themeColor="text1"/>
        </w:rPr>
        <w:t>4.4 Explainability Analysis</w:t>
      </w:r>
    </w:p>
    <w:p w14:paraId="51010F0D" w14:textId="77777777" w:rsidR="00975984" w:rsidRPr="00F804D8" w:rsidRDefault="00975984" w:rsidP="00975984">
      <w:pPr>
        <w:spacing w:line="360" w:lineRule="auto"/>
        <w:jc w:val="both"/>
        <w:rPr>
          <w:rFonts w:ascii="Times New Roman" w:hAnsi="Times New Roman" w:cs="Times New Roman"/>
        </w:rPr>
      </w:pPr>
      <w:r w:rsidRPr="00BB3856">
        <w:rPr>
          <w:rFonts w:ascii="Times New Roman" w:hAnsi="Times New Roman" w:cs="Times New Roman"/>
          <w:b/>
          <w:bCs/>
          <w:color w:val="000000" w:themeColor="text1"/>
        </w:rPr>
        <w:t>4.4.1 Global Feature Importance</w:t>
      </w:r>
    </w:p>
    <w:p w14:paraId="30AB4329"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b w:val="0"/>
          <w:bCs w:val="0"/>
          <w:noProof/>
          <w:sz w:val="24"/>
          <w:szCs w:val="24"/>
        </w:rPr>
        <w:lastRenderedPageBreak/>
        <w:drawing>
          <wp:inline distT="0" distB="0" distL="0" distR="0" wp14:anchorId="56C62DBC" wp14:editId="0BD57970">
            <wp:extent cx="5731510" cy="6393180"/>
            <wp:effectExtent l="0" t="0" r="2540" b="7620"/>
            <wp:docPr id="11614371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84222" name="Picture 183498422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6393180"/>
                    </a:xfrm>
                    <a:prstGeom prst="rect">
                      <a:avLst/>
                    </a:prstGeom>
                  </pic:spPr>
                </pic:pic>
              </a:graphicData>
            </a:graphic>
          </wp:inline>
        </w:drawing>
      </w:r>
    </w:p>
    <w:p w14:paraId="353C42C7" w14:textId="77777777" w:rsidR="00975984" w:rsidRPr="00E2606C" w:rsidRDefault="00975984" w:rsidP="00975984">
      <w:pPr>
        <w:spacing w:before="60" w:after="120" w:line="360" w:lineRule="auto"/>
        <w:jc w:val="center"/>
        <w:rPr>
          <w:rFonts w:ascii="Times New Roman" w:hAnsi="Times New Roman" w:cs="Times New Roman"/>
          <w:i/>
          <w:iCs/>
          <w:color w:val="000000" w:themeColor="text1"/>
        </w:rPr>
      </w:pPr>
      <w:r>
        <w:rPr>
          <w:rFonts w:ascii="Times New Roman" w:hAnsi="Times New Roman" w:cs="Times New Roman"/>
          <w:i/>
          <w:iCs/>
          <w:color w:val="000000" w:themeColor="text1"/>
        </w:rPr>
        <w:t>Figure 4.7: SHAP summary plot of the most influential features</w:t>
      </w:r>
    </w:p>
    <w:tbl>
      <w:tblPr>
        <w:tblStyle w:val="TableGridLight"/>
        <w:tblW w:w="9360" w:type="dxa"/>
        <w:tblLook w:val="04A0" w:firstRow="1" w:lastRow="0" w:firstColumn="1" w:lastColumn="0" w:noHBand="0" w:noVBand="1"/>
      </w:tblPr>
      <w:tblGrid>
        <w:gridCol w:w="5680"/>
        <w:gridCol w:w="3680"/>
      </w:tblGrid>
      <w:tr w:rsidR="00975984" w:rsidRPr="00BB3856" w14:paraId="3ADE84F9" w14:textId="77777777" w:rsidTr="004B548A">
        <w:tc>
          <w:tcPr>
            <w:tcW w:w="5680" w:type="dxa"/>
          </w:tcPr>
          <w:p w14:paraId="63DA9FB0"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b/>
                <w:bCs/>
              </w:rPr>
              <w:t>Feature</w:t>
            </w:r>
          </w:p>
        </w:tc>
        <w:tc>
          <w:tcPr>
            <w:tcW w:w="3680" w:type="dxa"/>
          </w:tcPr>
          <w:p w14:paraId="552D0325" w14:textId="77777777" w:rsidR="00975984" w:rsidRPr="00BB3856" w:rsidRDefault="00975984" w:rsidP="004B548A">
            <w:pPr>
              <w:spacing w:line="360" w:lineRule="auto"/>
              <w:rPr>
                <w:rFonts w:ascii="Times New Roman" w:hAnsi="Times New Roman" w:cs="Times New Roman"/>
              </w:rPr>
            </w:pPr>
            <w:r w:rsidRPr="00BB3856">
              <w:rPr>
                <w:rFonts w:ascii="Times New Roman" w:hAnsi="Times New Roman" w:cs="Times New Roman"/>
              </w:rPr>
              <w:t>Mean Absolute SHAP Value</w:t>
            </w:r>
          </w:p>
        </w:tc>
      </w:tr>
      <w:tr w:rsidR="00975984" w:rsidRPr="00BB3856" w14:paraId="1B8A4088" w14:textId="77777777" w:rsidTr="004B548A">
        <w:tc>
          <w:tcPr>
            <w:tcW w:w="5680" w:type="dxa"/>
          </w:tcPr>
          <w:p w14:paraId="05A018D5"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num__price_vs_roll_mean10</w:t>
            </w:r>
          </w:p>
        </w:tc>
        <w:tc>
          <w:tcPr>
            <w:tcW w:w="3680" w:type="dxa"/>
          </w:tcPr>
          <w:p w14:paraId="69E544B8"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0.037446</w:t>
            </w:r>
          </w:p>
        </w:tc>
      </w:tr>
      <w:tr w:rsidR="00975984" w:rsidRPr="00BB3856" w14:paraId="6756BD31" w14:textId="77777777" w:rsidTr="004B548A">
        <w:tc>
          <w:tcPr>
            <w:tcW w:w="5680" w:type="dxa"/>
          </w:tcPr>
          <w:p w14:paraId="21DA5449"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num__price_vs_roll_mean5</w:t>
            </w:r>
          </w:p>
        </w:tc>
        <w:tc>
          <w:tcPr>
            <w:tcW w:w="3680" w:type="dxa"/>
          </w:tcPr>
          <w:p w14:paraId="4FE034CF"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0.024306</w:t>
            </w:r>
          </w:p>
        </w:tc>
      </w:tr>
      <w:tr w:rsidR="00975984" w:rsidRPr="00BB3856" w14:paraId="5B3C6AFA" w14:textId="77777777" w:rsidTr="004B548A">
        <w:tc>
          <w:tcPr>
            <w:tcW w:w="5680" w:type="dxa"/>
          </w:tcPr>
          <w:p w14:paraId="05A4F265"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num__price_change_1</w:t>
            </w:r>
          </w:p>
        </w:tc>
        <w:tc>
          <w:tcPr>
            <w:tcW w:w="3680" w:type="dxa"/>
          </w:tcPr>
          <w:p w14:paraId="23F3CE41"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0.022127</w:t>
            </w:r>
          </w:p>
        </w:tc>
      </w:tr>
      <w:tr w:rsidR="00975984" w:rsidRPr="00BB3856" w14:paraId="0DA3A82E" w14:textId="77777777" w:rsidTr="004B548A">
        <w:tc>
          <w:tcPr>
            <w:tcW w:w="5680" w:type="dxa"/>
          </w:tcPr>
          <w:p w14:paraId="37E0F115"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num__price_lag1</w:t>
            </w:r>
          </w:p>
        </w:tc>
        <w:tc>
          <w:tcPr>
            <w:tcW w:w="3680" w:type="dxa"/>
          </w:tcPr>
          <w:p w14:paraId="4B8D7A8F"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0.021774</w:t>
            </w:r>
          </w:p>
        </w:tc>
      </w:tr>
      <w:tr w:rsidR="00975984" w:rsidRPr="00BB3856" w14:paraId="1D3F337B" w14:textId="77777777" w:rsidTr="004B548A">
        <w:tc>
          <w:tcPr>
            <w:tcW w:w="5680" w:type="dxa"/>
          </w:tcPr>
          <w:p w14:paraId="5A779339" w14:textId="77777777" w:rsidR="00975984" w:rsidRPr="00BB3856" w:rsidRDefault="00975984" w:rsidP="004B548A">
            <w:pPr>
              <w:spacing w:line="360" w:lineRule="auto"/>
              <w:jc w:val="both"/>
              <w:rPr>
                <w:rFonts w:ascii="Times New Roman" w:hAnsi="Times New Roman" w:cs="Times New Roman"/>
              </w:rPr>
            </w:pPr>
            <w:proofErr w:type="spellStart"/>
            <w:r w:rsidRPr="00BB3856">
              <w:rPr>
                <w:rFonts w:ascii="Times New Roman" w:hAnsi="Times New Roman" w:cs="Times New Roman"/>
              </w:rPr>
              <w:t>num</w:t>
            </w:r>
            <w:proofErr w:type="spellEnd"/>
            <w:r w:rsidRPr="00BB3856">
              <w:rPr>
                <w:rFonts w:ascii="Times New Roman" w:hAnsi="Times New Roman" w:cs="Times New Roman"/>
              </w:rPr>
              <w:t>__</w:t>
            </w:r>
            <w:proofErr w:type="spellStart"/>
            <w:r w:rsidRPr="00BB3856">
              <w:rPr>
                <w:rFonts w:ascii="Times New Roman" w:hAnsi="Times New Roman" w:cs="Times New Roman"/>
              </w:rPr>
              <w:t>mango_season</w:t>
            </w:r>
            <w:proofErr w:type="spellEnd"/>
          </w:p>
        </w:tc>
        <w:tc>
          <w:tcPr>
            <w:tcW w:w="3680" w:type="dxa"/>
          </w:tcPr>
          <w:p w14:paraId="3857D97C"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0.009502</w:t>
            </w:r>
          </w:p>
        </w:tc>
      </w:tr>
      <w:tr w:rsidR="00975984" w:rsidRPr="00BB3856" w14:paraId="1B434AA1" w14:textId="77777777" w:rsidTr="004B548A">
        <w:tc>
          <w:tcPr>
            <w:tcW w:w="5680" w:type="dxa"/>
          </w:tcPr>
          <w:p w14:paraId="1CA6A976"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num__price_vs_roll_mean3</w:t>
            </w:r>
          </w:p>
        </w:tc>
        <w:tc>
          <w:tcPr>
            <w:tcW w:w="3680" w:type="dxa"/>
          </w:tcPr>
          <w:p w14:paraId="40BFDB0D"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0.009269</w:t>
            </w:r>
          </w:p>
        </w:tc>
      </w:tr>
      <w:tr w:rsidR="00975984" w:rsidRPr="00BB3856" w14:paraId="4C57B7A9" w14:textId="77777777" w:rsidTr="004B548A">
        <w:tc>
          <w:tcPr>
            <w:tcW w:w="5680" w:type="dxa"/>
          </w:tcPr>
          <w:p w14:paraId="7F92D235"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lastRenderedPageBreak/>
              <w:t>num__price_volatility_5</w:t>
            </w:r>
          </w:p>
        </w:tc>
        <w:tc>
          <w:tcPr>
            <w:tcW w:w="3680" w:type="dxa"/>
          </w:tcPr>
          <w:p w14:paraId="3E9745A6"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0.009168</w:t>
            </w:r>
          </w:p>
        </w:tc>
      </w:tr>
      <w:tr w:rsidR="00975984" w:rsidRPr="00BB3856" w14:paraId="3C96A69B" w14:textId="77777777" w:rsidTr="004B548A">
        <w:tc>
          <w:tcPr>
            <w:tcW w:w="5680" w:type="dxa"/>
          </w:tcPr>
          <w:p w14:paraId="5C2DBDBD" w14:textId="77777777" w:rsidR="00975984" w:rsidRPr="00BB3856" w:rsidRDefault="00975984" w:rsidP="004B548A">
            <w:pPr>
              <w:spacing w:line="360" w:lineRule="auto"/>
              <w:jc w:val="both"/>
              <w:rPr>
                <w:rFonts w:ascii="Times New Roman" w:hAnsi="Times New Roman" w:cs="Times New Roman"/>
              </w:rPr>
            </w:pPr>
            <w:proofErr w:type="spellStart"/>
            <w:r w:rsidRPr="00BB3856">
              <w:rPr>
                <w:rFonts w:ascii="Times New Roman" w:hAnsi="Times New Roman" w:cs="Times New Roman"/>
              </w:rPr>
              <w:t>num</w:t>
            </w:r>
            <w:proofErr w:type="spellEnd"/>
            <w:r w:rsidRPr="00BB3856">
              <w:rPr>
                <w:rFonts w:ascii="Times New Roman" w:hAnsi="Times New Roman" w:cs="Times New Roman"/>
              </w:rPr>
              <w:t>__</w:t>
            </w:r>
            <w:proofErr w:type="spellStart"/>
            <w:r w:rsidRPr="00BB3856">
              <w:rPr>
                <w:rFonts w:ascii="Times New Roman" w:hAnsi="Times New Roman" w:cs="Times New Roman"/>
              </w:rPr>
              <w:t>day_of_year</w:t>
            </w:r>
            <w:proofErr w:type="spellEnd"/>
          </w:p>
        </w:tc>
        <w:tc>
          <w:tcPr>
            <w:tcW w:w="3680" w:type="dxa"/>
          </w:tcPr>
          <w:p w14:paraId="61D4D25A" w14:textId="77777777" w:rsidR="00975984" w:rsidRPr="00BB3856" w:rsidRDefault="00975984" w:rsidP="004B548A">
            <w:pPr>
              <w:spacing w:line="360" w:lineRule="auto"/>
              <w:jc w:val="both"/>
              <w:rPr>
                <w:rFonts w:ascii="Times New Roman" w:hAnsi="Times New Roman" w:cs="Times New Roman"/>
              </w:rPr>
            </w:pPr>
            <w:r w:rsidRPr="00BB3856">
              <w:rPr>
                <w:rFonts w:ascii="Times New Roman" w:hAnsi="Times New Roman" w:cs="Times New Roman"/>
              </w:rPr>
              <w:t>0.008310</w:t>
            </w:r>
          </w:p>
        </w:tc>
      </w:tr>
    </w:tbl>
    <w:p w14:paraId="7A824EF6" w14:textId="77777777" w:rsidR="00975984" w:rsidRPr="00E2606C" w:rsidRDefault="00975984" w:rsidP="00975984">
      <w:pPr>
        <w:spacing w:after="8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Table 4.3: Top SHAP features and their mean absolute importance values</w:t>
      </w:r>
    </w:p>
    <w:p w14:paraId="741C3E95"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 xml:space="preserve">The SHAP analysis identifies the eight features with the strongest average influence on model predictions. Seven of the eight are price-derived variables — recent lags, rolling deviations, and volatility measures. The eighth, </w:t>
      </w:r>
      <w:proofErr w:type="spellStart"/>
      <w:r w:rsidRPr="00BB3856">
        <w:rPr>
          <w:rFonts w:ascii="Times New Roman" w:hAnsi="Times New Roman" w:cs="Times New Roman"/>
        </w:rPr>
        <w:t>mango_season</w:t>
      </w:r>
      <w:proofErr w:type="spellEnd"/>
      <w:r w:rsidRPr="00BB3856">
        <w:rPr>
          <w:rFonts w:ascii="Times New Roman" w:hAnsi="Times New Roman" w:cs="Times New Roman"/>
        </w:rPr>
        <w:t>, reflects the broader seasonal context.</w:t>
      </w:r>
    </w:p>
    <w:p w14:paraId="7A99C6D9"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The most influential feature is price_vs_roll_mean10: the deviation of the current price from the ten-observation rolling average. A large positive deviation suggests the market is currently trading above its recent norm, which the model interprets as a signal that reversion may occur. Similarly, price_vs_roll_mean5 captures shorter-term deviations, while price_vs_roll_mean3 captures very recent local shifts. Together these features allow the model to assess whether the current price is an outlier relative to the recent trend at multiple time scales.</w:t>
      </w:r>
    </w:p>
    <w:p w14:paraId="786E623F"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price_change_1 records the one-step price movement, reflecting immediate momentum. price_lag1 provides the most recent observed price directly. These two features give the model a strong short-term anchor.</w:t>
      </w:r>
    </w:p>
    <w:p w14:paraId="3DBC0EFC"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 xml:space="preserve">price_volatility_5 helps the model distinguish between stable and volatile markets. In volatile conditions, the model may produce wider uncertainty estimates and moderate its predictions accordingly. </w:t>
      </w:r>
      <w:proofErr w:type="spellStart"/>
      <w:r w:rsidRPr="00BB3856">
        <w:rPr>
          <w:rFonts w:ascii="Times New Roman" w:hAnsi="Times New Roman" w:cs="Times New Roman"/>
        </w:rPr>
        <w:t>day_of_year</w:t>
      </w:r>
      <w:proofErr w:type="spellEnd"/>
      <w:r w:rsidRPr="00BB3856">
        <w:rPr>
          <w:rFonts w:ascii="Times New Roman" w:hAnsi="Times New Roman" w:cs="Times New Roman"/>
        </w:rPr>
        <w:t xml:space="preserve"> helps the model capture gradual within-year seasonal variation that a binary season flag might not fully represent.</w:t>
      </w:r>
    </w:p>
    <w:p w14:paraId="7297BC60" w14:textId="77777777" w:rsidR="00975984"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Notably, location-based features do not appear among the top eight. This is consistent with the ablation findings discussed in Section 4.5.4.</w:t>
      </w:r>
    </w:p>
    <w:p w14:paraId="42229F1E" w14:textId="77777777" w:rsidR="00975984" w:rsidRDefault="00975984" w:rsidP="00975984">
      <w:pPr>
        <w:spacing w:before="80" w:after="120" w:line="360" w:lineRule="auto"/>
        <w:jc w:val="both"/>
        <w:rPr>
          <w:rFonts w:ascii="Times New Roman" w:hAnsi="Times New Roman" w:cs="Times New Roman"/>
        </w:rPr>
      </w:pPr>
    </w:p>
    <w:p w14:paraId="453F1FA2" w14:textId="77777777" w:rsidR="00975984" w:rsidRDefault="00975984" w:rsidP="00975984">
      <w:pPr>
        <w:spacing w:before="80" w:after="120" w:line="360" w:lineRule="auto"/>
        <w:jc w:val="both"/>
        <w:rPr>
          <w:rFonts w:ascii="Times New Roman" w:hAnsi="Times New Roman" w:cs="Times New Roman"/>
        </w:rPr>
      </w:pPr>
    </w:p>
    <w:p w14:paraId="21AD6C9C" w14:textId="77777777" w:rsidR="00975984" w:rsidRDefault="00975984" w:rsidP="00975984">
      <w:pPr>
        <w:spacing w:before="80" w:after="120" w:line="360" w:lineRule="auto"/>
        <w:jc w:val="both"/>
        <w:rPr>
          <w:rFonts w:ascii="Times New Roman" w:hAnsi="Times New Roman" w:cs="Times New Roman"/>
        </w:rPr>
      </w:pPr>
    </w:p>
    <w:p w14:paraId="152C5F96" w14:textId="77777777" w:rsidR="00975984" w:rsidRDefault="00975984" w:rsidP="00975984">
      <w:pPr>
        <w:spacing w:before="80" w:after="120" w:line="360" w:lineRule="auto"/>
        <w:jc w:val="both"/>
        <w:rPr>
          <w:rFonts w:ascii="Times New Roman" w:hAnsi="Times New Roman" w:cs="Times New Roman"/>
        </w:rPr>
      </w:pPr>
    </w:p>
    <w:p w14:paraId="5FF3DCCB" w14:textId="77777777" w:rsidR="00975984" w:rsidRDefault="00975984" w:rsidP="00975984">
      <w:pPr>
        <w:spacing w:before="80" w:after="120" w:line="360" w:lineRule="auto"/>
        <w:jc w:val="both"/>
        <w:rPr>
          <w:rFonts w:ascii="Times New Roman" w:hAnsi="Times New Roman" w:cs="Times New Roman"/>
        </w:rPr>
      </w:pPr>
    </w:p>
    <w:p w14:paraId="4EF98895" w14:textId="77777777" w:rsidR="005A06A3" w:rsidRDefault="005A06A3" w:rsidP="00975984">
      <w:pPr>
        <w:spacing w:before="80" w:after="120" w:line="360" w:lineRule="auto"/>
        <w:jc w:val="both"/>
        <w:rPr>
          <w:rFonts w:ascii="Times New Roman" w:hAnsi="Times New Roman" w:cs="Times New Roman"/>
          <w:b/>
          <w:bCs/>
          <w:color w:val="000000" w:themeColor="text1"/>
        </w:rPr>
      </w:pPr>
    </w:p>
    <w:p w14:paraId="62BBDF9C" w14:textId="77777777" w:rsidR="005A06A3" w:rsidRDefault="005A06A3" w:rsidP="00975984">
      <w:pPr>
        <w:spacing w:before="80" w:after="120" w:line="360" w:lineRule="auto"/>
        <w:jc w:val="both"/>
        <w:rPr>
          <w:rFonts w:ascii="Times New Roman" w:hAnsi="Times New Roman" w:cs="Times New Roman"/>
          <w:b/>
          <w:bCs/>
          <w:color w:val="000000" w:themeColor="text1"/>
        </w:rPr>
      </w:pPr>
    </w:p>
    <w:p w14:paraId="741004FB" w14:textId="77777777" w:rsidR="005A06A3" w:rsidRDefault="005A06A3" w:rsidP="00975984">
      <w:pPr>
        <w:spacing w:before="80" w:after="120" w:line="360" w:lineRule="auto"/>
        <w:jc w:val="both"/>
        <w:rPr>
          <w:rFonts w:ascii="Times New Roman" w:hAnsi="Times New Roman" w:cs="Times New Roman"/>
          <w:b/>
          <w:bCs/>
          <w:color w:val="000000" w:themeColor="text1"/>
        </w:rPr>
      </w:pPr>
    </w:p>
    <w:p w14:paraId="6D542BBB" w14:textId="77777777" w:rsidR="005A06A3" w:rsidRDefault="005A06A3" w:rsidP="00975984">
      <w:pPr>
        <w:spacing w:before="80" w:after="120" w:line="360" w:lineRule="auto"/>
        <w:jc w:val="both"/>
        <w:rPr>
          <w:rFonts w:ascii="Times New Roman" w:hAnsi="Times New Roman" w:cs="Times New Roman"/>
          <w:b/>
          <w:bCs/>
          <w:color w:val="000000" w:themeColor="text1"/>
        </w:rPr>
      </w:pPr>
    </w:p>
    <w:p w14:paraId="11432F8F" w14:textId="259C040D" w:rsidR="00975984" w:rsidRPr="00BB3856" w:rsidRDefault="00975984" w:rsidP="00975984">
      <w:pPr>
        <w:spacing w:before="80" w:after="120" w:line="360" w:lineRule="auto"/>
        <w:jc w:val="both"/>
        <w:rPr>
          <w:rFonts w:ascii="Times New Roman" w:hAnsi="Times New Roman" w:cs="Times New Roman"/>
          <w:b/>
          <w:bCs/>
        </w:rPr>
      </w:pPr>
      <w:r w:rsidRPr="00BB3856">
        <w:rPr>
          <w:rFonts w:ascii="Times New Roman" w:hAnsi="Times New Roman" w:cs="Times New Roman"/>
          <w:b/>
          <w:bCs/>
          <w:color w:val="000000" w:themeColor="text1"/>
        </w:rPr>
        <w:lastRenderedPageBreak/>
        <w:t>4.4.2 SHAP Dependence Plot</w:t>
      </w:r>
    </w:p>
    <w:p w14:paraId="59844116"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A085FF" wp14:editId="044145FB">
            <wp:extent cx="5731510" cy="3040380"/>
            <wp:effectExtent l="0" t="0" r="2540" b="7620"/>
            <wp:docPr id="955482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48237" name="Picture 95548237"/>
                    <pic:cNvPicPr/>
                  </pic:nvPicPr>
                  <pic:blipFill>
                    <a:blip r:embed="rId15">
                      <a:extLst>
                        <a:ext uri="{28A0092B-C50C-407E-A947-70E740481C1C}">
                          <a14:useLocalDpi xmlns:a14="http://schemas.microsoft.com/office/drawing/2010/main" val="0"/>
                        </a:ext>
                      </a:extLst>
                    </a:blip>
                    <a:stretch>
                      <a:fillRect/>
                    </a:stretch>
                  </pic:blipFill>
                  <pic:spPr>
                    <a:xfrm>
                      <a:off x="0" y="0"/>
                      <a:ext cx="5731510" cy="3040380"/>
                    </a:xfrm>
                    <a:prstGeom prst="rect">
                      <a:avLst/>
                    </a:prstGeom>
                  </pic:spPr>
                </pic:pic>
              </a:graphicData>
            </a:graphic>
          </wp:inline>
        </w:drawing>
      </w:r>
    </w:p>
    <w:p w14:paraId="41C1D56A"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4.8: SHAP dependence plot for price deviation from the 10-step rolling mean</w:t>
      </w:r>
    </w:p>
    <w:p w14:paraId="442516FA" w14:textId="77777777" w:rsidR="00975984"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From the dependence plot for the feature price_vs_roll_mean10, one can observe that the dependence of the feature on its SHAP value is non-linear. If the current price is much lower than the rolling mean, then the SHAP value will be positive; the model will increase the prediction because it expects the price to revert back to its mean. On the other hand, when the current price is higher than the rolling mean, the SHAP value is negative; the model will decrease the predicted value</w:t>
      </w:r>
      <w:r>
        <w:rPr>
          <w:rFonts w:ascii="Times New Roman" w:hAnsi="Times New Roman" w:cs="Times New Roman"/>
        </w:rPr>
        <w:t>.</w:t>
      </w:r>
    </w:p>
    <w:p w14:paraId="5DEF5BFF" w14:textId="77777777" w:rsidR="00975984" w:rsidRDefault="00975984" w:rsidP="00975984">
      <w:pPr>
        <w:spacing w:before="80" w:after="120" w:line="360" w:lineRule="auto"/>
        <w:jc w:val="both"/>
        <w:rPr>
          <w:rFonts w:ascii="Times New Roman" w:hAnsi="Times New Roman" w:cs="Times New Roman"/>
        </w:rPr>
      </w:pPr>
    </w:p>
    <w:p w14:paraId="42A9240C" w14:textId="77777777" w:rsidR="00975984" w:rsidRDefault="00975984" w:rsidP="00975984">
      <w:pPr>
        <w:spacing w:before="80" w:after="120" w:line="360" w:lineRule="auto"/>
        <w:jc w:val="both"/>
        <w:rPr>
          <w:rFonts w:ascii="Times New Roman" w:hAnsi="Times New Roman" w:cs="Times New Roman"/>
        </w:rPr>
      </w:pPr>
    </w:p>
    <w:p w14:paraId="6DD8B51A" w14:textId="77777777" w:rsidR="00975984" w:rsidRDefault="00975984" w:rsidP="00975984">
      <w:pPr>
        <w:spacing w:before="80" w:after="120" w:line="360" w:lineRule="auto"/>
        <w:jc w:val="both"/>
        <w:rPr>
          <w:rFonts w:ascii="Times New Roman" w:hAnsi="Times New Roman" w:cs="Times New Roman"/>
        </w:rPr>
      </w:pPr>
    </w:p>
    <w:p w14:paraId="2DA890FF" w14:textId="77777777" w:rsidR="00975984" w:rsidRDefault="00975984" w:rsidP="00975984">
      <w:pPr>
        <w:spacing w:before="80" w:after="120" w:line="360" w:lineRule="auto"/>
        <w:jc w:val="both"/>
        <w:rPr>
          <w:rFonts w:ascii="Times New Roman" w:hAnsi="Times New Roman" w:cs="Times New Roman"/>
        </w:rPr>
      </w:pPr>
    </w:p>
    <w:p w14:paraId="36CF4581" w14:textId="77777777" w:rsidR="00975984" w:rsidRDefault="00975984" w:rsidP="00975984">
      <w:pPr>
        <w:spacing w:before="80" w:after="120" w:line="360" w:lineRule="auto"/>
        <w:jc w:val="both"/>
        <w:rPr>
          <w:rFonts w:ascii="Times New Roman" w:hAnsi="Times New Roman" w:cs="Times New Roman"/>
        </w:rPr>
      </w:pPr>
    </w:p>
    <w:p w14:paraId="48AA288D" w14:textId="77777777" w:rsidR="00975984" w:rsidRDefault="00975984" w:rsidP="00975984">
      <w:pPr>
        <w:spacing w:before="80" w:after="120" w:line="360" w:lineRule="auto"/>
        <w:jc w:val="both"/>
        <w:rPr>
          <w:rFonts w:ascii="Times New Roman" w:hAnsi="Times New Roman" w:cs="Times New Roman"/>
        </w:rPr>
      </w:pPr>
    </w:p>
    <w:p w14:paraId="42E27606" w14:textId="77777777" w:rsidR="00975984" w:rsidRDefault="00975984" w:rsidP="00975984">
      <w:pPr>
        <w:spacing w:before="80" w:after="120" w:line="360" w:lineRule="auto"/>
        <w:jc w:val="both"/>
        <w:rPr>
          <w:rFonts w:ascii="Times New Roman" w:hAnsi="Times New Roman" w:cs="Times New Roman"/>
        </w:rPr>
      </w:pPr>
    </w:p>
    <w:p w14:paraId="04D6A4FE" w14:textId="77777777" w:rsidR="00975984" w:rsidRDefault="00975984" w:rsidP="00975984">
      <w:pPr>
        <w:spacing w:before="80" w:after="120" w:line="360" w:lineRule="auto"/>
        <w:jc w:val="both"/>
        <w:rPr>
          <w:rFonts w:ascii="Times New Roman" w:hAnsi="Times New Roman" w:cs="Times New Roman"/>
        </w:rPr>
      </w:pPr>
    </w:p>
    <w:p w14:paraId="39844B76" w14:textId="77777777" w:rsidR="00975984" w:rsidRDefault="00975984" w:rsidP="00975984">
      <w:pPr>
        <w:spacing w:before="80" w:after="120" w:line="360" w:lineRule="auto"/>
        <w:jc w:val="both"/>
        <w:rPr>
          <w:rFonts w:ascii="Times New Roman" w:hAnsi="Times New Roman" w:cs="Times New Roman"/>
        </w:rPr>
      </w:pPr>
    </w:p>
    <w:p w14:paraId="234FC7A2" w14:textId="77777777" w:rsidR="00975984" w:rsidRDefault="00975984" w:rsidP="00975984">
      <w:pPr>
        <w:spacing w:before="80" w:after="120" w:line="360" w:lineRule="auto"/>
        <w:jc w:val="both"/>
        <w:rPr>
          <w:rFonts w:ascii="Times New Roman" w:hAnsi="Times New Roman" w:cs="Times New Roman"/>
        </w:rPr>
      </w:pPr>
    </w:p>
    <w:p w14:paraId="46AA5C8E" w14:textId="77777777" w:rsidR="00975984" w:rsidRPr="00BB3856" w:rsidRDefault="00975984" w:rsidP="00975984">
      <w:pPr>
        <w:spacing w:before="80" w:after="120" w:line="360" w:lineRule="auto"/>
        <w:jc w:val="both"/>
        <w:rPr>
          <w:rFonts w:ascii="Times New Roman" w:hAnsi="Times New Roman" w:cs="Times New Roman"/>
          <w:b/>
          <w:bCs/>
        </w:rPr>
      </w:pPr>
      <w:r w:rsidRPr="00BB3856">
        <w:rPr>
          <w:rFonts w:ascii="Times New Roman" w:hAnsi="Times New Roman" w:cs="Times New Roman"/>
          <w:b/>
          <w:bCs/>
          <w:color w:val="000000" w:themeColor="text1"/>
        </w:rPr>
        <w:lastRenderedPageBreak/>
        <w:t>4.4.3 Local Prediction Explanation</w:t>
      </w:r>
    </w:p>
    <w:p w14:paraId="10AD911A"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266674" wp14:editId="773559C9">
            <wp:extent cx="5731510" cy="4831080"/>
            <wp:effectExtent l="0" t="0" r="2540" b="7620"/>
            <wp:docPr id="7439640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964020" name="Picture 74396402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831080"/>
                    </a:xfrm>
                    <a:prstGeom prst="rect">
                      <a:avLst/>
                    </a:prstGeom>
                  </pic:spPr>
                </pic:pic>
              </a:graphicData>
            </a:graphic>
          </wp:inline>
        </w:drawing>
      </w:r>
    </w:p>
    <w:p w14:paraId="6DA439EE"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4.9: SHAP waterfall explanation for an individual prediction</w:t>
      </w:r>
    </w:p>
    <w:p w14:paraId="504F5519"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rPr>
        <w:t>The waterfall chart in Figure 4.9 explains one individual prediction by showing how each feature moves the model output upward or downward from the baseline expectation. In the illustrated case, recent negative price change, seasonality, and deviation from rolling price means are the dominant upward contributors to the final forecast.</w:t>
      </w:r>
    </w:p>
    <w:p w14:paraId="0E8080D1" w14:textId="77777777" w:rsidR="00975984" w:rsidRDefault="00975984" w:rsidP="00975984">
      <w:pPr>
        <w:spacing w:line="360" w:lineRule="auto"/>
        <w:jc w:val="both"/>
        <w:rPr>
          <w:rFonts w:ascii="Times New Roman" w:hAnsi="Times New Roman" w:cs="Times New Roman"/>
        </w:rPr>
      </w:pPr>
      <w:r w:rsidRPr="00BB3856">
        <w:rPr>
          <w:rFonts w:ascii="Times New Roman" w:hAnsi="Times New Roman" w:cs="Times New Roman"/>
        </w:rPr>
        <w:t>This local explanation is important because it converts the model from a black box into a traceable decision aid. A user can see not only the predicted value but also the market conditions that caused the prediction to rise or fall.</w:t>
      </w:r>
    </w:p>
    <w:p w14:paraId="72DA9881" w14:textId="77777777" w:rsidR="00975984" w:rsidRDefault="00975984" w:rsidP="00975984">
      <w:pPr>
        <w:spacing w:line="360" w:lineRule="auto"/>
        <w:jc w:val="both"/>
        <w:rPr>
          <w:rFonts w:ascii="Times New Roman" w:hAnsi="Times New Roman" w:cs="Times New Roman"/>
        </w:rPr>
      </w:pPr>
    </w:p>
    <w:p w14:paraId="4719911D" w14:textId="77777777" w:rsidR="00975984" w:rsidRDefault="00975984" w:rsidP="00975984">
      <w:pPr>
        <w:spacing w:line="360" w:lineRule="auto"/>
        <w:jc w:val="both"/>
        <w:rPr>
          <w:rFonts w:ascii="Times New Roman" w:hAnsi="Times New Roman" w:cs="Times New Roman"/>
        </w:rPr>
      </w:pPr>
    </w:p>
    <w:p w14:paraId="3AE0CFF1" w14:textId="77777777" w:rsidR="00975984" w:rsidRDefault="00975984" w:rsidP="00975984">
      <w:pPr>
        <w:spacing w:line="360" w:lineRule="auto"/>
        <w:jc w:val="both"/>
        <w:rPr>
          <w:rFonts w:ascii="Times New Roman" w:hAnsi="Times New Roman" w:cs="Times New Roman"/>
        </w:rPr>
      </w:pPr>
    </w:p>
    <w:p w14:paraId="6CCE98B3" w14:textId="77777777" w:rsidR="00975984" w:rsidRDefault="00975984" w:rsidP="00975984">
      <w:pPr>
        <w:spacing w:line="360" w:lineRule="auto"/>
        <w:jc w:val="both"/>
        <w:rPr>
          <w:rFonts w:ascii="Times New Roman" w:hAnsi="Times New Roman" w:cs="Times New Roman"/>
          <w:b/>
          <w:bCs/>
          <w:color w:val="000000" w:themeColor="text1"/>
        </w:rPr>
      </w:pPr>
    </w:p>
    <w:p w14:paraId="3E72066D" w14:textId="77777777" w:rsidR="00975984" w:rsidRDefault="00975984" w:rsidP="00975984">
      <w:pPr>
        <w:spacing w:line="360" w:lineRule="auto"/>
        <w:jc w:val="both"/>
        <w:rPr>
          <w:rFonts w:ascii="Times New Roman" w:hAnsi="Times New Roman" w:cs="Times New Roman"/>
          <w:b/>
          <w:bCs/>
          <w:color w:val="000000" w:themeColor="text1"/>
        </w:rPr>
      </w:pPr>
    </w:p>
    <w:p w14:paraId="5D961230" w14:textId="4CC50C34" w:rsidR="00975984" w:rsidRPr="00BB3856" w:rsidRDefault="00975984" w:rsidP="00975984">
      <w:pPr>
        <w:spacing w:line="360" w:lineRule="auto"/>
        <w:jc w:val="both"/>
        <w:rPr>
          <w:rFonts w:ascii="Times New Roman" w:hAnsi="Times New Roman" w:cs="Times New Roman"/>
          <w:b/>
          <w:bCs/>
          <w:color w:val="000000" w:themeColor="text1"/>
        </w:rPr>
      </w:pPr>
      <w:r w:rsidRPr="00BB3856">
        <w:rPr>
          <w:rFonts w:ascii="Times New Roman" w:hAnsi="Times New Roman" w:cs="Times New Roman"/>
          <w:b/>
          <w:bCs/>
          <w:color w:val="000000" w:themeColor="text1"/>
        </w:rPr>
        <w:lastRenderedPageBreak/>
        <w:t>4.5 Test Set Diagnostics</w:t>
      </w:r>
    </w:p>
    <w:p w14:paraId="614499C5" w14:textId="77777777" w:rsidR="00975984" w:rsidRPr="00BB3856" w:rsidRDefault="00975984" w:rsidP="00975984">
      <w:pPr>
        <w:pStyle w:val="Heading3"/>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4.5.1 Chronological Test Set Diagnostics</w:t>
      </w:r>
    </w:p>
    <w:p w14:paraId="1FCC0EB5"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C27891" wp14:editId="439838F4">
            <wp:extent cx="5731510" cy="4178300"/>
            <wp:effectExtent l="0" t="0" r="2540" b="0"/>
            <wp:docPr id="2135461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46112" name="Picture 2135461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178300"/>
                    </a:xfrm>
                    <a:prstGeom prst="rect">
                      <a:avLst/>
                    </a:prstGeom>
                  </pic:spPr>
                </pic:pic>
              </a:graphicData>
            </a:graphic>
          </wp:inline>
        </w:drawing>
      </w:r>
    </w:p>
    <w:p w14:paraId="725CFE0F"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Figure 4.10: Untouched chronological test set diagnostics</w:t>
      </w:r>
    </w:p>
    <w:p w14:paraId="748B6A26" w14:textId="77777777" w:rsidR="00975984" w:rsidRDefault="00975984" w:rsidP="00975984">
      <w:pPr>
        <w:spacing w:line="360" w:lineRule="auto"/>
        <w:jc w:val="both"/>
        <w:rPr>
          <w:rFonts w:ascii="Times New Roman" w:hAnsi="Times New Roman" w:cs="Times New Roman"/>
        </w:rPr>
      </w:pPr>
      <w:r w:rsidRPr="00BB3856">
        <w:rPr>
          <w:rFonts w:ascii="Times New Roman" w:hAnsi="Times New Roman" w:cs="Times New Roman"/>
        </w:rPr>
        <w:t xml:space="preserve">The diagnostic plots for the hybrid model confirm that most residuals are concentrated near zero, although large errors still occur during sharp price spikes. The residual distribution remains </w:t>
      </w:r>
      <w:proofErr w:type="spellStart"/>
      <w:r w:rsidRPr="00BB3856">
        <w:rPr>
          <w:rFonts w:ascii="Times New Roman" w:hAnsi="Times New Roman" w:cs="Times New Roman"/>
        </w:rPr>
        <w:t>centered</w:t>
      </w:r>
      <w:proofErr w:type="spellEnd"/>
      <w:r w:rsidRPr="00BB3856">
        <w:rPr>
          <w:rFonts w:ascii="Times New Roman" w:hAnsi="Times New Roman" w:cs="Times New Roman"/>
        </w:rPr>
        <w:t>, which suggests that the model is not strongly biased upward or downward overall, but the prediction trace also shows that abrupt extremes are only partially captured.</w:t>
      </w:r>
    </w:p>
    <w:p w14:paraId="237438CE" w14:textId="77777777" w:rsidR="00975984" w:rsidRDefault="00975984" w:rsidP="00975984">
      <w:pPr>
        <w:spacing w:line="360" w:lineRule="auto"/>
        <w:jc w:val="both"/>
        <w:rPr>
          <w:rFonts w:ascii="Times New Roman" w:hAnsi="Times New Roman" w:cs="Times New Roman"/>
        </w:rPr>
      </w:pPr>
    </w:p>
    <w:p w14:paraId="3CB3FA32" w14:textId="77777777" w:rsidR="00975984" w:rsidRDefault="00975984" w:rsidP="00975984">
      <w:pPr>
        <w:spacing w:line="360" w:lineRule="auto"/>
        <w:jc w:val="both"/>
        <w:rPr>
          <w:rFonts w:ascii="Times New Roman" w:hAnsi="Times New Roman" w:cs="Times New Roman"/>
        </w:rPr>
      </w:pPr>
    </w:p>
    <w:p w14:paraId="5F923551" w14:textId="77777777" w:rsidR="00975984" w:rsidRDefault="00975984" w:rsidP="00975984">
      <w:pPr>
        <w:spacing w:line="360" w:lineRule="auto"/>
        <w:jc w:val="both"/>
        <w:rPr>
          <w:rFonts w:ascii="Times New Roman" w:hAnsi="Times New Roman" w:cs="Times New Roman"/>
        </w:rPr>
      </w:pPr>
    </w:p>
    <w:p w14:paraId="07144683" w14:textId="77777777" w:rsidR="00975984" w:rsidRDefault="00975984" w:rsidP="00975984">
      <w:pPr>
        <w:spacing w:line="360" w:lineRule="auto"/>
        <w:jc w:val="both"/>
        <w:rPr>
          <w:rFonts w:ascii="Times New Roman" w:hAnsi="Times New Roman" w:cs="Times New Roman"/>
        </w:rPr>
      </w:pPr>
    </w:p>
    <w:p w14:paraId="2FE1BA27" w14:textId="77777777" w:rsidR="00975984" w:rsidRDefault="00975984" w:rsidP="00975984">
      <w:pPr>
        <w:spacing w:line="360" w:lineRule="auto"/>
        <w:jc w:val="both"/>
        <w:rPr>
          <w:rFonts w:ascii="Times New Roman" w:hAnsi="Times New Roman" w:cs="Times New Roman"/>
        </w:rPr>
      </w:pPr>
    </w:p>
    <w:p w14:paraId="01AF243E" w14:textId="77777777" w:rsidR="00975984" w:rsidRDefault="00975984" w:rsidP="00975984">
      <w:pPr>
        <w:spacing w:line="360" w:lineRule="auto"/>
        <w:jc w:val="both"/>
        <w:rPr>
          <w:rFonts w:ascii="Times New Roman" w:hAnsi="Times New Roman" w:cs="Times New Roman"/>
        </w:rPr>
      </w:pPr>
    </w:p>
    <w:p w14:paraId="774D9E63" w14:textId="77777777" w:rsidR="00975984" w:rsidRDefault="00975984" w:rsidP="00975984">
      <w:pPr>
        <w:spacing w:line="360" w:lineRule="auto"/>
        <w:jc w:val="both"/>
        <w:rPr>
          <w:rFonts w:ascii="Times New Roman" w:hAnsi="Times New Roman" w:cs="Times New Roman"/>
          <w:b/>
          <w:bCs/>
          <w:color w:val="000000" w:themeColor="text1"/>
        </w:rPr>
      </w:pPr>
    </w:p>
    <w:p w14:paraId="6E521468" w14:textId="77777777" w:rsidR="00975984" w:rsidRDefault="00975984" w:rsidP="00975984">
      <w:pPr>
        <w:spacing w:line="360" w:lineRule="auto"/>
        <w:jc w:val="both"/>
        <w:rPr>
          <w:rFonts w:ascii="Times New Roman" w:hAnsi="Times New Roman" w:cs="Times New Roman"/>
          <w:b/>
          <w:bCs/>
          <w:color w:val="000000" w:themeColor="text1"/>
        </w:rPr>
      </w:pPr>
    </w:p>
    <w:p w14:paraId="54DFF631" w14:textId="77777777" w:rsidR="00975984" w:rsidRDefault="00975984" w:rsidP="00975984">
      <w:pPr>
        <w:spacing w:line="360" w:lineRule="auto"/>
        <w:jc w:val="both"/>
        <w:rPr>
          <w:rFonts w:ascii="Times New Roman" w:hAnsi="Times New Roman" w:cs="Times New Roman"/>
          <w:b/>
          <w:bCs/>
          <w:color w:val="000000" w:themeColor="text1"/>
        </w:rPr>
      </w:pPr>
    </w:p>
    <w:p w14:paraId="370E093C" w14:textId="5DE5D317" w:rsidR="00975984" w:rsidRPr="00BB3856" w:rsidRDefault="00975984" w:rsidP="00975984">
      <w:pPr>
        <w:spacing w:line="360" w:lineRule="auto"/>
        <w:jc w:val="both"/>
        <w:rPr>
          <w:rFonts w:ascii="Times New Roman" w:hAnsi="Times New Roman" w:cs="Times New Roman"/>
          <w:b/>
          <w:bCs/>
          <w:color w:val="000000" w:themeColor="text1"/>
        </w:rPr>
      </w:pPr>
      <w:r w:rsidRPr="00BB3856">
        <w:rPr>
          <w:rFonts w:ascii="Times New Roman" w:hAnsi="Times New Roman" w:cs="Times New Roman"/>
          <w:b/>
          <w:bCs/>
          <w:color w:val="000000" w:themeColor="text1"/>
        </w:rPr>
        <w:lastRenderedPageBreak/>
        <w:t>4.6 Dashboard Results</w:t>
      </w:r>
    </w:p>
    <w:p w14:paraId="30850ACE" w14:textId="77777777" w:rsidR="00975984" w:rsidRPr="00BB3856" w:rsidRDefault="00975984" w:rsidP="00975984">
      <w:pPr>
        <w:pStyle w:val="Heading3"/>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4.6.1 Next-Report Forecasting Interface</w:t>
      </w:r>
    </w:p>
    <w:p w14:paraId="7AFC60AA"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b w:val="0"/>
          <w:bCs w:val="0"/>
          <w:noProof/>
          <w:sz w:val="24"/>
          <w:szCs w:val="24"/>
        </w:rPr>
        <w:drawing>
          <wp:inline distT="0" distB="0" distL="0" distR="0" wp14:anchorId="41CDC028" wp14:editId="0D519E5E">
            <wp:extent cx="5731510" cy="2622550"/>
            <wp:effectExtent l="0" t="0" r="2540" b="6350"/>
            <wp:docPr id="13883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3428" name=""/>
                    <pic:cNvPicPr/>
                  </pic:nvPicPr>
                  <pic:blipFill>
                    <a:blip r:embed="rId18"/>
                    <a:stretch>
                      <a:fillRect/>
                    </a:stretch>
                  </pic:blipFill>
                  <pic:spPr>
                    <a:xfrm>
                      <a:off x="0" y="0"/>
                      <a:ext cx="5731510" cy="2622550"/>
                    </a:xfrm>
                    <a:prstGeom prst="rect">
                      <a:avLst/>
                    </a:prstGeom>
                  </pic:spPr>
                </pic:pic>
              </a:graphicData>
            </a:graphic>
          </wp:inline>
        </w:drawing>
      </w:r>
      <w:r>
        <w:rPr>
          <w:rFonts w:ascii="Times New Roman" w:hAnsi="Times New Roman" w:cs="Times New Roman"/>
          <w:b w:val="0"/>
          <w:bCs w:val="0"/>
          <w:noProof/>
          <w:sz w:val="24"/>
          <w:szCs w:val="24"/>
        </w:rPr>
        <w:drawing>
          <wp:inline distT="0" distB="0" distL="0" distR="0" wp14:anchorId="0F353BD7" wp14:editId="084569B8">
            <wp:extent cx="5731510" cy="2105660"/>
            <wp:effectExtent l="0" t="0" r="2540" b="8890"/>
            <wp:docPr id="31284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4733" name=""/>
                    <pic:cNvPicPr/>
                  </pic:nvPicPr>
                  <pic:blipFill>
                    <a:blip r:embed="rId19"/>
                    <a:stretch>
                      <a:fillRect/>
                    </a:stretch>
                  </pic:blipFill>
                  <pic:spPr>
                    <a:xfrm>
                      <a:off x="0" y="0"/>
                      <a:ext cx="5731510" cy="2105660"/>
                    </a:xfrm>
                    <a:prstGeom prst="rect">
                      <a:avLst/>
                    </a:prstGeom>
                  </pic:spPr>
                </pic:pic>
              </a:graphicData>
            </a:graphic>
          </wp:inline>
        </w:drawing>
      </w:r>
    </w:p>
    <w:p w14:paraId="3F15662C"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 xml:space="preserve">Figure 4.11: Next-report forecasting interface of the </w:t>
      </w:r>
      <w:proofErr w:type="spellStart"/>
      <w:r>
        <w:rPr>
          <w:rFonts w:ascii="Times New Roman" w:hAnsi="Times New Roman" w:cs="Times New Roman"/>
          <w:i/>
          <w:iCs/>
          <w:color w:val="000000" w:themeColor="text1"/>
        </w:rPr>
        <w:t>Streamlit</w:t>
      </w:r>
      <w:proofErr w:type="spellEnd"/>
      <w:r>
        <w:rPr>
          <w:rFonts w:ascii="Times New Roman" w:hAnsi="Times New Roman" w:cs="Times New Roman"/>
          <w:i/>
          <w:iCs/>
          <w:color w:val="000000" w:themeColor="text1"/>
        </w:rPr>
        <w:t xml:space="preserve"> dashboard</w:t>
      </w:r>
    </w:p>
    <w:p w14:paraId="32FD8F1C" w14:textId="77777777" w:rsidR="00975984" w:rsidRPr="00BB3856" w:rsidRDefault="00975984" w:rsidP="00975984">
      <w:pPr>
        <w:spacing w:before="80" w:after="120" w:line="360" w:lineRule="auto"/>
        <w:jc w:val="both"/>
        <w:rPr>
          <w:rFonts w:ascii="Times New Roman" w:hAnsi="Times New Roman" w:cs="Times New Roman"/>
        </w:rPr>
      </w:pPr>
      <w:r w:rsidRPr="00BB3856">
        <w:rPr>
          <w:rFonts w:ascii="Times New Roman" w:hAnsi="Times New Roman" w:cs="Times New Roman"/>
        </w:rPr>
        <w:t xml:space="preserve">Figure 4.11 presents the next-report forecasting interface for </w:t>
      </w:r>
      <w:proofErr w:type="spellStart"/>
      <w:r w:rsidRPr="00BB3856">
        <w:rPr>
          <w:rFonts w:ascii="Times New Roman" w:hAnsi="Times New Roman" w:cs="Times New Roman"/>
        </w:rPr>
        <w:t>Rahuri</w:t>
      </w:r>
      <w:proofErr w:type="spellEnd"/>
      <w:r w:rsidRPr="00BB3856">
        <w:rPr>
          <w:rFonts w:ascii="Times New Roman" w:hAnsi="Times New Roman" w:cs="Times New Roman"/>
        </w:rPr>
        <w:t xml:space="preserve"> APMC. The latest available market report is dated 29 April 2026, the latest known modal price is Rs. 9,500 per quintal, and the hybrid next-report forecast is Rs. 8,903. The accompanying empirical interval of Rs. 4,329 to Rs. 18,875 communicates uncertainty directly instead of implying a single guaranteed market quote.</w:t>
      </w:r>
    </w:p>
    <w:p w14:paraId="7784F4C1" w14:textId="77777777" w:rsidR="00975984" w:rsidRDefault="00975984" w:rsidP="00975984">
      <w:pPr>
        <w:pStyle w:val="Heading3"/>
        <w:spacing w:line="360" w:lineRule="auto"/>
        <w:rPr>
          <w:rFonts w:ascii="Times New Roman" w:hAnsi="Times New Roman" w:cs="Times New Roman"/>
          <w:color w:val="000000" w:themeColor="text1"/>
          <w:sz w:val="24"/>
          <w:szCs w:val="24"/>
        </w:rPr>
      </w:pPr>
    </w:p>
    <w:p w14:paraId="3E649F47" w14:textId="77777777" w:rsidR="00975984" w:rsidRDefault="00975984" w:rsidP="00975984">
      <w:pPr>
        <w:pStyle w:val="Heading3"/>
        <w:spacing w:line="360" w:lineRule="auto"/>
        <w:rPr>
          <w:rFonts w:ascii="Times New Roman" w:hAnsi="Times New Roman" w:cs="Times New Roman"/>
          <w:color w:val="000000" w:themeColor="text1"/>
          <w:sz w:val="24"/>
          <w:szCs w:val="24"/>
        </w:rPr>
      </w:pPr>
    </w:p>
    <w:p w14:paraId="57826E4E" w14:textId="77777777" w:rsidR="00975984" w:rsidRDefault="00975984" w:rsidP="00975984">
      <w:pPr>
        <w:pStyle w:val="Heading3"/>
        <w:spacing w:line="360" w:lineRule="auto"/>
        <w:rPr>
          <w:rFonts w:ascii="Times New Roman" w:hAnsi="Times New Roman" w:cs="Times New Roman"/>
          <w:color w:val="000000" w:themeColor="text1"/>
          <w:sz w:val="24"/>
          <w:szCs w:val="24"/>
        </w:rPr>
      </w:pPr>
    </w:p>
    <w:p w14:paraId="4467F8F1" w14:textId="353F468D" w:rsidR="00975984" w:rsidRPr="00BB3856" w:rsidRDefault="00975984" w:rsidP="00975984">
      <w:pPr>
        <w:pStyle w:val="Heading3"/>
        <w:spacing w:line="360" w:lineRule="auto"/>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lastRenderedPageBreak/>
        <w:t>4.6.2 Future Forecasting</w:t>
      </w:r>
    </w:p>
    <w:p w14:paraId="63C6123C"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9F57DAD" wp14:editId="09E33AC8">
            <wp:extent cx="5730641" cy="5086350"/>
            <wp:effectExtent l="0" t="0" r="3810" b="0"/>
            <wp:docPr id="1675612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2091" cy="5096513"/>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14:anchorId="6D52B177" wp14:editId="186F25E2">
            <wp:extent cx="5731510" cy="2933700"/>
            <wp:effectExtent l="0" t="0" r="2540" b="0"/>
            <wp:docPr id="1819782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782436" name=""/>
                    <pic:cNvPicPr/>
                  </pic:nvPicPr>
                  <pic:blipFill>
                    <a:blip r:embed="rId21"/>
                    <a:stretch>
                      <a:fillRect/>
                    </a:stretch>
                  </pic:blipFill>
                  <pic:spPr>
                    <a:xfrm>
                      <a:off x="0" y="0"/>
                      <a:ext cx="5731510" cy="2933700"/>
                    </a:xfrm>
                    <a:prstGeom prst="rect">
                      <a:avLst/>
                    </a:prstGeom>
                  </pic:spPr>
                </pic:pic>
              </a:graphicData>
            </a:graphic>
          </wp:inline>
        </w:drawing>
      </w:r>
    </w:p>
    <w:p w14:paraId="40B67C16"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 xml:space="preserve">Figure 4.12: Future forecast interface of the </w:t>
      </w:r>
      <w:proofErr w:type="spellStart"/>
      <w:r>
        <w:rPr>
          <w:rFonts w:ascii="Times New Roman" w:hAnsi="Times New Roman" w:cs="Times New Roman"/>
          <w:i/>
          <w:iCs/>
          <w:color w:val="000000" w:themeColor="text1"/>
        </w:rPr>
        <w:t>Streamlit</w:t>
      </w:r>
      <w:proofErr w:type="spellEnd"/>
      <w:r>
        <w:rPr>
          <w:rFonts w:ascii="Times New Roman" w:hAnsi="Times New Roman" w:cs="Times New Roman"/>
          <w:i/>
          <w:iCs/>
          <w:color w:val="000000" w:themeColor="text1"/>
        </w:rPr>
        <w:t xml:space="preserve"> dashboard</w:t>
      </w:r>
    </w:p>
    <w:p w14:paraId="33C32E3C"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rPr>
        <w:lastRenderedPageBreak/>
        <w:t xml:space="preserve">The future-forecast page uses recursive prediction to generate 7-day, 15-day, and 30-day scenarios. For </w:t>
      </w:r>
      <w:proofErr w:type="spellStart"/>
      <w:r w:rsidRPr="00BB3856">
        <w:rPr>
          <w:rFonts w:ascii="Times New Roman" w:hAnsi="Times New Roman" w:cs="Times New Roman"/>
        </w:rPr>
        <w:t>Rahuri</w:t>
      </w:r>
      <w:proofErr w:type="spellEnd"/>
      <w:r w:rsidRPr="00BB3856">
        <w:rPr>
          <w:rFonts w:ascii="Times New Roman" w:hAnsi="Times New Roman" w:cs="Times New Roman"/>
        </w:rPr>
        <w:t xml:space="preserve"> APMC, the projected path declines from the latest price of Rs. 9,500 to about Rs. 8,098 after 7 days, Rs. 6,761 after 15 days, and Rs. 5,035 after 30 days. These outputs should be interpreted as scenario-based expectations under the observed recent pattern, not as fixed future market prices.</w:t>
      </w:r>
    </w:p>
    <w:p w14:paraId="61D19042" w14:textId="77777777" w:rsidR="00975984" w:rsidRPr="00BB3856" w:rsidRDefault="00975984" w:rsidP="00975984">
      <w:pPr>
        <w:pStyle w:val="Heading3"/>
        <w:spacing w:line="360" w:lineRule="auto"/>
        <w:jc w:val="both"/>
        <w:rPr>
          <w:rFonts w:ascii="Times New Roman" w:hAnsi="Times New Roman" w:cs="Times New Roman"/>
          <w:b w:val="0"/>
          <w:bCs w:val="0"/>
          <w:color w:val="000000" w:themeColor="text1"/>
          <w:sz w:val="24"/>
          <w:szCs w:val="24"/>
        </w:rPr>
      </w:pPr>
      <w:r w:rsidRPr="00BB3856">
        <w:rPr>
          <w:rFonts w:ascii="Times New Roman" w:hAnsi="Times New Roman" w:cs="Times New Roman"/>
          <w:color w:val="000000" w:themeColor="text1"/>
          <w:sz w:val="24"/>
          <w:szCs w:val="24"/>
        </w:rPr>
        <w:t>4.6.3 Model Performance Interface</w:t>
      </w:r>
    </w:p>
    <w:p w14:paraId="3F98135C"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0D081E" wp14:editId="3DFD6FDE">
            <wp:extent cx="5731510" cy="2338070"/>
            <wp:effectExtent l="0" t="0" r="2540" b="5080"/>
            <wp:docPr id="1187647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647366" name=""/>
                    <pic:cNvPicPr/>
                  </pic:nvPicPr>
                  <pic:blipFill>
                    <a:blip r:embed="rId22"/>
                    <a:stretch>
                      <a:fillRect/>
                    </a:stretch>
                  </pic:blipFill>
                  <pic:spPr>
                    <a:xfrm>
                      <a:off x="0" y="0"/>
                      <a:ext cx="5731510" cy="2338070"/>
                    </a:xfrm>
                    <a:prstGeom prst="rect">
                      <a:avLst/>
                    </a:prstGeom>
                  </pic:spPr>
                </pic:pic>
              </a:graphicData>
            </a:graphic>
          </wp:inline>
        </w:drawing>
      </w:r>
    </w:p>
    <w:p w14:paraId="482B9307"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 xml:space="preserve">Figure 4.13: Model performance interface of the </w:t>
      </w:r>
      <w:proofErr w:type="spellStart"/>
      <w:r>
        <w:rPr>
          <w:rFonts w:ascii="Times New Roman" w:hAnsi="Times New Roman" w:cs="Times New Roman"/>
          <w:i/>
          <w:iCs/>
          <w:color w:val="000000" w:themeColor="text1"/>
        </w:rPr>
        <w:t>Streamlit</w:t>
      </w:r>
      <w:proofErr w:type="spellEnd"/>
      <w:r>
        <w:rPr>
          <w:rFonts w:ascii="Times New Roman" w:hAnsi="Times New Roman" w:cs="Times New Roman"/>
          <w:i/>
          <w:iCs/>
          <w:color w:val="000000" w:themeColor="text1"/>
        </w:rPr>
        <w:t xml:space="preserve"> dashboard</w:t>
      </w:r>
    </w:p>
    <w:p w14:paraId="4AB44EE1" w14:textId="77777777" w:rsidR="00975984" w:rsidRDefault="00975984" w:rsidP="00975984">
      <w:pPr>
        <w:spacing w:line="360" w:lineRule="auto"/>
        <w:jc w:val="both"/>
        <w:rPr>
          <w:rFonts w:ascii="Times New Roman" w:hAnsi="Times New Roman" w:cs="Times New Roman"/>
        </w:rPr>
      </w:pPr>
      <w:r w:rsidRPr="00BB3856">
        <w:rPr>
          <w:rFonts w:ascii="Times New Roman" w:hAnsi="Times New Roman" w:cs="Times New Roman"/>
        </w:rPr>
        <w:t>The dashboard's performance page brings the evaluation results into a compact visual form by combining the test-metric table, MAE comparison chart, and residual diagnostics. This view makes it easier to explain why Persistence has the lowest MAE, why GBR has the highest R², and why Seasonal Median is clearly weaker than the other approaches.</w:t>
      </w:r>
    </w:p>
    <w:p w14:paraId="1B9E9056" w14:textId="77777777" w:rsidR="005A06A3" w:rsidRDefault="005A06A3" w:rsidP="00975984">
      <w:pPr>
        <w:spacing w:line="360" w:lineRule="auto"/>
        <w:jc w:val="both"/>
        <w:rPr>
          <w:rFonts w:ascii="Times New Roman" w:hAnsi="Times New Roman" w:cs="Times New Roman"/>
          <w:b/>
          <w:bCs/>
          <w:color w:val="000000" w:themeColor="text1"/>
        </w:rPr>
      </w:pPr>
    </w:p>
    <w:p w14:paraId="6F6D13AD" w14:textId="77777777" w:rsidR="005A06A3" w:rsidRDefault="005A06A3" w:rsidP="00975984">
      <w:pPr>
        <w:spacing w:line="360" w:lineRule="auto"/>
        <w:jc w:val="both"/>
        <w:rPr>
          <w:rFonts w:ascii="Times New Roman" w:hAnsi="Times New Roman" w:cs="Times New Roman"/>
          <w:b/>
          <w:bCs/>
          <w:color w:val="000000" w:themeColor="text1"/>
        </w:rPr>
      </w:pPr>
    </w:p>
    <w:p w14:paraId="6FC9AB5E" w14:textId="77777777" w:rsidR="005A06A3" w:rsidRDefault="005A06A3" w:rsidP="00975984">
      <w:pPr>
        <w:spacing w:line="360" w:lineRule="auto"/>
        <w:jc w:val="both"/>
        <w:rPr>
          <w:rFonts w:ascii="Times New Roman" w:hAnsi="Times New Roman" w:cs="Times New Roman"/>
          <w:b/>
          <w:bCs/>
          <w:color w:val="000000" w:themeColor="text1"/>
        </w:rPr>
      </w:pPr>
    </w:p>
    <w:p w14:paraId="33AF5357" w14:textId="77777777" w:rsidR="005A06A3" w:rsidRDefault="005A06A3" w:rsidP="00975984">
      <w:pPr>
        <w:spacing w:line="360" w:lineRule="auto"/>
        <w:jc w:val="both"/>
        <w:rPr>
          <w:rFonts w:ascii="Times New Roman" w:hAnsi="Times New Roman" w:cs="Times New Roman"/>
          <w:b/>
          <w:bCs/>
          <w:color w:val="000000" w:themeColor="text1"/>
        </w:rPr>
      </w:pPr>
    </w:p>
    <w:p w14:paraId="3DC4A1F9" w14:textId="77777777" w:rsidR="005A06A3" w:rsidRDefault="005A06A3" w:rsidP="00975984">
      <w:pPr>
        <w:spacing w:line="360" w:lineRule="auto"/>
        <w:jc w:val="both"/>
        <w:rPr>
          <w:rFonts w:ascii="Times New Roman" w:hAnsi="Times New Roman" w:cs="Times New Roman"/>
          <w:b/>
          <w:bCs/>
          <w:color w:val="000000" w:themeColor="text1"/>
        </w:rPr>
      </w:pPr>
    </w:p>
    <w:p w14:paraId="3842BAFB" w14:textId="77777777" w:rsidR="005A06A3" w:rsidRDefault="005A06A3" w:rsidP="00975984">
      <w:pPr>
        <w:spacing w:line="360" w:lineRule="auto"/>
        <w:jc w:val="both"/>
        <w:rPr>
          <w:rFonts w:ascii="Times New Roman" w:hAnsi="Times New Roman" w:cs="Times New Roman"/>
          <w:b/>
          <w:bCs/>
          <w:color w:val="000000" w:themeColor="text1"/>
        </w:rPr>
      </w:pPr>
    </w:p>
    <w:p w14:paraId="2D5EB866" w14:textId="77777777" w:rsidR="005A06A3" w:rsidRDefault="005A06A3" w:rsidP="00975984">
      <w:pPr>
        <w:spacing w:line="360" w:lineRule="auto"/>
        <w:jc w:val="both"/>
        <w:rPr>
          <w:rFonts w:ascii="Times New Roman" w:hAnsi="Times New Roman" w:cs="Times New Roman"/>
          <w:b/>
          <w:bCs/>
          <w:color w:val="000000" w:themeColor="text1"/>
        </w:rPr>
      </w:pPr>
    </w:p>
    <w:p w14:paraId="75EC3D65" w14:textId="77777777" w:rsidR="005A06A3" w:rsidRDefault="005A06A3" w:rsidP="00975984">
      <w:pPr>
        <w:spacing w:line="360" w:lineRule="auto"/>
        <w:jc w:val="both"/>
        <w:rPr>
          <w:rFonts w:ascii="Times New Roman" w:hAnsi="Times New Roman" w:cs="Times New Roman"/>
          <w:b/>
          <w:bCs/>
          <w:color w:val="000000" w:themeColor="text1"/>
        </w:rPr>
      </w:pPr>
    </w:p>
    <w:p w14:paraId="246B5CC4" w14:textId="77777777" w:rsidR="005A06A3" w:rsidRDefault="005A06A3" w:rsidP="00975984">
      <w:pPr>
        <w:spacing w:line="360" w:lineRule="auto"/>
        <w:jc w:val="both"/>
        <w:rPr>
          <w:rFonts w:ascii="Times New Roman" w:hAnsi="Times New Roman" w:cs="Times New Roman"/>
          <w:b/>
          <w:bCs/>
          <w:color w:val="000000" w:themeColor="text1"/>
        </w:rPr>
      </w:pPr>
    </w:p>
    <w:p w14:paraId="3C57A814" w14:textId="77777777" w:rsidR="005A06A3" w:rsidRDefault="005A06A3" w:rsidP="00975984">
      <w:pPr>
        <w:spacing w:line="360" w:lineRule="auto"/>
        <w:jc w:val="both"/>
        <w:rPr>
          <w:rFonts w:ascii="Times New Roman" w:hAnsi="Times New Roman" w:cs="Times New Roman"/>
          <w:b/>
          <w:bCs/>
          <w:color w:val="000000" w:themeColor="text1"/>
        </w:rPr>
      </w:pPr>
    </w:p>
    <w:p w14:paraId="385CAC12" w14:textId="77777777" w:rsidR="005A06A3" w:rsidRDefault="005A06A3" w:rsidP="00975984">
      <w:pPr>
        <w:spacing w:line="360" w:lineRule="auto"/>
        <w:jc w:val="both"/>
        <w:rPr>
          <w:rFonts w:ascii="Times New Roman" w:hAnsi="Times New Roman" w:cs="Times New Roman"/>
          <w:b/>
          <w:bCs/>
          <w:color w:val="000000" w:themeColor="text1"/>
        </w:rPr>
      </w:pPr>
    </w:p>
    <w:p w14:paraId="3BF81D8D" w14:textId="77777777" w:rsidR="005A06A3" w:rsidRDefault="005A06A3" w:rsidP="00975984">
      <w:pPr>
        <w:spacing w:line="360" w:lineRule="auto"/>
        <w:jc w:val="both"/>
        <w:rPr>
          <w:rFonts w:ascii="Times New Roman" w:hAnsi="Times New Roman" w:cs="Times New Roman"/>
          <w:b/>
          <w:bCs/>
          <w:color w:val="000000" w:themeColor="text1"/>
        </w:rPr>
      </w:pPr>
    </w:p>
    <w:p w14:paraId="0242F7B1" w14:textId="5641F8F1" w:rsidR="00975984" w:rsidRPr="00BB3856" w:rsidRDefault="00975984" w:rsidP="00975984">
      <w:pPr>
        <w:spacing w:line="360" w:lineRule="auto"/>
        <w:jc w:val="both"/>
        <w:rPr>
          <w:rFonts w:ascii="Times New Roman" w:hAnsi="Times New Roman" w:cs="Times New Roman"/>
          <w:b/>
          <w:bCs/>
          <w:color w:val="000000" w:themeColor="text1"/>
        </w:rPr>
      </w:pPr>
      <w:r w:rsidRPr="00BB3856">
        <w:rPr>
          <w:rFonts w:ascii="Times New Roman" w:hAnsi="Times New Roman" w:cs="Times New Roman"/>
          <w:b/>
          <w:bCs/>
          <w:color w:val="000000" w:themeColor="text1"/>
        </w:rPr>
        <w:lastRenderedPageBreak/>
        <w:t>4.6.4 Feature-Group Ablation Analysis</w:t>
      </w:r>
    </w:p>
    <w:p w14:paraId="5E24EEA2" w14:textId="77777777" w:rsidR="00975984" w:rsidRPr="00E2606C" w:rsidRDefault="00975984" w:rsidP="00975984">
      <w:pPr>
        <w:pStyle w:val="Heading3"/>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B972FD" wp14:editId="6B7D177E">
            <wp:extent cx="5731510" cy="3019425"/>
            <wp:effectExtent l="0" t="0" r="2540" b="9525"/>
            <wp:docPr id="958581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81899" name=""/>
                    <pic:cNvPicPr/>
                  </pic:nvPicPr>
                  <pic:blipFill>
                    <a:blip r:embed="rId23"/>
                    <a:stretch>
                      <a:fillRect/>
                    </a:stretch>
                  </pic:blipFill>
                  <pic:spPr>
                    <a:xfrm>
                      <a:off x="0" y="0"/>
                      <a:ext cx="5731510" cy="3019425"/>
                    </a:xfrm>
                    <a:prstGeom prst="rect">
                      <a:avLst/>
                    </a:prstGeom>
                  </pic:spPr>
                </pic:pic>
              </a:graphicData>
            </a:graphic>
          </wp:inline>
        </w:drawing>
      </w:r>
      <w:r>
        <w:rPr>
          <w:rFonts w:ascii="Times New Roman" w:hAnsi="Times New Roman" w:cs="Times New Roman"/>
          <w:noProof/>
          <w:sz w:val="24"/>
          <w:szCs w:val="24"/>
        </w:rPr>
        <w:drawing>
          <wp:inline distT="0" distB="0" distL="0" distR="0" wp14:anchorId="38FB36D5" wp14:editId="18735F2D">
            <wp:extent cx="5731510" cy="1811020"/>
            <wp:effectExtent l="0" t="0" r="2540" b="0"/>
            <wp:docPr id="518731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31388" name=""/>
                    <pic:cNvPicPr/>
                  </pic:nvPicPr>
                  <pic:blipFill>
                    <a:blip r:embed="rId24"/>
                    <a:stretch>
                      <a:fillRect/>
                    </a:stretch>
                  </pic:blipFill>
                  <pic:spPr>
                    <a:xfrm>
                      <a:off x="0" y="0"/>
                      <a:ext cx="5731510" cy="1811020"/>
                    </a:xfrm>
                    <a:prstGeom prst="rect">
                      <a:avLst/>
                    </a:prstGeom>
                  </pic:spPr>
                </pic:pic>
              </a:graphicData>
            </a:graphic>
          </wp:inline>
        </w:drawing>
      </w:r>
    </w:p>
    <w:p w14:paraId="49E39292" w14:textId="77777777" w:rsidR="00975984" w:rsidRPr="00E2606C" w:rsidRDefault="00975984" w:rsidP="00975984">
      <w:pPr>
        <w:spacing w:before="60" w:after="120" w:line="360" w:lineRule="auto"/>
        <w:jc w:val="center"/>
        <w:rPr>
          <w:rFonts w:ascii="Times New Roman" w:hAnsi="Times New Roman" w:cs="Times New Roman"/>
          <w:color w:val="000000" w:themeColor="text1"/>
        </w:rPr>
      </w:pPr>
      <w:r>
        <w:rPr>
          <w:rFonts w:ascii="Times New Roman" w:hAnsi="Times New Roman" w:cs="Times New Roman"/>
          <w:i/>
          <w:iCs/>
          <w:color w:val="000000" w:themeColor="text1"/>
        </w:rPr>
        <w:t xml:space="preserve">Figure 4.14: Feature-group ablation analysis in the </w:t>
      </w:r>
      <w:proofErr w:type="spellStart"/>
      <w:r>
        <w:rPr>
          <w:rFonts w:ascii="Times New Roman" w:hAnsi="Times New Roman" w:cs="Times New Roman"/>
          <w:i/>
          <w:iCs/>
          <w:color w:val="000000" w:themeColor="text1"/>
        </w:rPr>
        <w:t>Streamlit</w:t>
      </w:r>
      <w:proofErr w:type="spellEnd"/>
      <w:r>
        <w:rPr>
          <w:rFonts w:ascii="Times New Roman" w:hAnsi="Times New Roman" w:cs="Times New Roman"/>
          <w:i/>
          <w:iCs/>
          <w:color w:val="000000" w:themeColor="text1"/>
        </w:rPr>
        <w:t xml:space="preserve"> dashboard</w:t>
      </w:r>
    </w:p>
    <w:p w14:paraId="3A7AD417"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rPr>
        <w:t xml:space="preserve">The ablation analysis re-trained </w:t>
      </w:r>
      <w:proofErr w:type="spellStart"/>
      <w:r w:rsidRPr="00BB3856">
        <w:rPr>
          <w:rFonts w:ascii="Times New Roman" w:hAnsi="Times New Roman" w:cs="Times New Roman"/>
        </w:rPr>
        <w:t>XGBoost</w:t>
      </w:r>
      <w:proofErr w:type="spellEnd"/>
      <w:r w:rsidRPr="00BB3856">
        <w:rPr>
          <w:rFonts w:ascii="Times New Roman" w:hAnsi="Times New Roman" w:cs="Times New Roman"/>
        </w:rPr>
        <w:t xml:space="preserve"> after removing one feature group at a time and compared the revised MAE with the full-model MAE of Rs. 2,279.24. Removing </w:t>
      </w:r>
      <w:proofErr w:type="spellStart"/>
      <w:r w:rsidRPr="00BB3856">
        <w:rPr>
          <w:rFonts w:ascii="Times New Roman" w:hAnsi="Times New Roman" w:cs="Times New Roman"/>
        </w:rPr>
        <w:t>PriceHistory</w:t>
      </w:r>
      <w:proofErr w:type="spellEnd"/>
      <w:r w:rsidRPr="00BB3856">
        <w:rPr>
          <w:rFonts w:ascii="Times New Roman" w:hAnsi="Times New Roman" w:cs="Times New Roman"/>
        </w:rPr>
        <w:t xml:space="preserve"> increased MAE to Rs. 2,287.25 (+8.01), removing </w:t>
      </w:r>
      <w:proofErr w:type="spellStart"/>
      <w:r w:rsidRPr="00BB3856">
        <w:rPr>
          <w:rFonts w:ascii="Times New Roman" w:hAnsi="Times New Roman" w:cs="Times New Roman"/>
        </w:rPr>
        <w:t>ArrivalHistory</w:t>
      </w:r>
      <w:proofErr w:type="spellEnd"/>
      <w:r w:rsidRPr="00BB3856">
        <w:rPr>
          <w:rFonts w:ascii="Times New Roman" w:hAnsi="Times New Roman" w:cs="Times New Roman"/>
        </w:rPr>
        <w:t xml:space="preserve"> increased it to Rs. 2,286.75 (+7.51), and removing Time increased it to Rs. 2,285.88 (+6.65).</w:t>
      </w:r>
    </w:p>
    <w:p w14:paraId="15274329"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rPr>
        <w:t>These increases show that recent price behaviour, arrival dynamics, and calendar position each contribute useful predictive signal, even though none of the three groups alone determines performance.</w:t>
      </w:r>
    </w:p>
    <w:p w14:paraId="1E483657" w14:textId="77777777" w:rsidR="00975984" w:rsidRDefault="00975984" w:rsidP="00975984">
      <w:pPr>
        <w:spacing w:line="360" w:lineRule="auto"/>
        <w:jc w:val="both"/>
        <w:rPr>
          <w:rFonts w:ascii="Times New Roman" w:hAnsi="Times New Roman" w:cs="Times New Roman"/>
        </w:rPr>
      </w:pPr>
      <w:r w:rsidRPr="00BB3856">
        <w:rPr>
          <w:rFonts w:ascii="Times New Roman" w:hAnsi="Times New Roman" w:cs="Times New Roman"/>
        </w:rPr>
        <w:t xml:space="preserve">By contrast, removing Location reduced MAE to Rs. 2,261.15 (-18.09). This suggests that the market and district identifiers, in the present </w:t>
      </w:r>
      <w:proofErr w:type="spellStart"/>
      <w:r w:rsidRPr="00BB3856">
        <w:rPr>
          <w:rFonts w:ascii="Times New Roman" w:hAnsi="Times New Roman" w:cs="Times New Roman"/>
        </w:rPr>
        <w:t>XGBoost</w:t>
      </w:r>
      <w:proofErr w:type="spellEnd"/>
      <w:r w:rsidRPr="00BB3856">
        <w:rPr>
          <w:rFonts w:ascii="Times New Roman" w:hAnsi="Times New Roman" w:cs="Times New Roman"/>
        </w:rPr>
        <w:t xml:space="preserve"> specification, added mild instability rather than dependable predictive value. The result does not indicate leakage; instead, it points to limited usefulness of location encoding in the reduced holdout setting.</w:t>
      </w:r>
    </w:p>
    <w:p w14:paraId="53597528" w14:textId="77777777" w:rsidR="00975984" w:rsidRDefault="00975984" w:rsidP="00975984">
      <w:pPr>
        <w:spacing w:line="360" w:lineRule="auto"/>
        <w:jc w:val="both"/>
        <w:rPr>
          <w:rFonts w:ascii="Times New Roman" w:hAnsi="Times New Roman" w:cs="Times New Roman"/>
        </w:rPr>
      </w:pPr>
    </w:p>
    <w:p w14:paraId="2CFACEC9" w14:textId="77777777" w:rsidR="00975984" w:rsidRDefault="00975984" w:rsidP="00975984">
      <w:pPr>
        <w:spacing w:line="360" w:lineRule="auto"/>
        <w:jc w:val="both"/>
        <w:rPr>
          <w:rFonts w:ascii="Times New Roman" w:hAnsi="Times New Roman" w:cs="Times New Roman"/>
          <w:b/>
          <w:bCs/>
          <w:color w:val="000000" w:themeColor="text1"/>
        </w:rPr>
      </w:pPr>
    </w:p>
    <w:p w14:paraId="29F0594C" w14:textId="41CE936F" w:rsidR="00975984" w:rsidRDefault="00975984" w:rsidP="00975984">
      <w:pPr>
        <w:spacing w:line="360" w:lineRule="auto"/>
        <w:jc w:val="both"/>
        <w:rPr>
          <w:rFonts w:ascii="Times New Roman" w:hAnsi="Times New Roman" w:cs="Times New Roman"/>
          <w:b/>
          <w:bCs/>
          <w:color w:val="000000" w:themeColor="text1"/>
        </w:rPr>
      </w:pPr>
      <w:r w:rsidRPr="0070666F">
        <w:rPr>
          <w:rFonts w:ascii="Times New Roman" w:hAnsi="Times New Roman" w:cs="Times New Roman"/>
          <w:b/>
          <w:bCs/>
          <w:color w:val="000000" w:themeColor="text1"/>
        </w:rPr>
        <w:t>4.6.5 LSTM Benchmark Dashboard Interface</w:t>
      </w:r>
    </w:p>
    <w:p w14:paraId="049E8351" w14:textId="77777777" w:rsidR="00975984" w:rsidRPr="00703635" w:rsidRDefault="00975984" w:rsidP="00975984">
      <w:pPr>
        <w:spacing w:line="360" w:lineRule="auto"/>
        <w:jc w:val="both"/>
        <w:rPr>
          <w:rFonts w:ascii="Times New Roman" w:hAnsi="Times New Roman" w:cs="Times New Roman"/>
          <w:color w:val="000000" w:themeColor="text1"/>
        </w:rPr>
      </w:pPr>
      <w:r w:rsidRPr="00703635">
        <w:rPr>
          <w:rFonts w:ascii="Times New Roman" w:hAnsi="Times New Roman" w:cs="Times New Roman"/>
          <w:color w:val="000000" w:themeColor="text1"/>
        </w:rPr>
        <w:t xml:space="preserve">A benchmark for LSTM is made for </w:t>
      </w:r>
      <w:proofErr w:type="spellStart"/>
      <w:r w:rsidRPr="00703635">
        <w:rPr>
          <w:rFonts w:ascii="Times New Roman" w:hAnsi="Times New Roman" w:cs="Times New Roman"/>
          <w:color w:val="000000" w:themeColor="text1"/>
        </w:rPr>
        <w:t>analyzing</w:t>
      </w:r>
      <w:proofErr w:type="spellEnd"/>
      <w:r w:rsidRPr="00703635">
        <w:rPr>
          <w:rFonts w:ascii="Times New Roman" w:hAnsi="Times New Roman" w:cs="Times New Roman"/>
          <w:color w:val="000000" w:themeColor="text1"/>
        </w:rPr>
        <w:t xml:space="preserve"> the sequence learning experiments on a market-by-market basis. The new dashboard differentiates between the model that gives the best MAE and the one that gives the best R2 value. This is important for reporting purposes since the </w:t>
      </w:r>
      <w:proofErr w:type="spellStart"/>
      <w:r w:rsidRPr="00703635">
        <w:rPr>
          <w:rFonts w:ascii="Times New Roman" w:hAnsi="Times New Roman" w:cs="Times New Roman"/>
          <w:color w:val="000000" w:themeColor="text1"/>
        </w:rPr>
        <w:t>LSTM_Hybrid</w:t>
      </w:r>
      <w:proofErr w:type="spellEnd"/>
      <w:r w:rsidRPr="00703635">
        <w:rPr>
          <w:rFonts w:ascii="Times New Roman" w:hAnsi="Times New Roman" w:cs="Times New Roman"/>
          <w:color w:val="000000" w:themeColor="text1"/>
        </w:rPr>
        <w:t xml:space="preserve"> is designed to minimize rupee error while the LSTM_Hybrid_R2 is designed for variance explained.</w:t>
      </w:r>
    </w:p>
    <w:p w14:paraId="50207193" w14:textId="77777777" w:rsidR="00975984" w:rsidRDefault="00975984" w:rsidP="00975984">
      <w:r>
        <w:rPr>
          <w:noProof/>
        </w:rPr>
        <w:drawing>
          <wp:inline distT="0" distB="0" distL="0" distR="0" wp14:anchorId="1D16F400" wp14:editId="149B75C0">
            <wp:extent cx="5731510" cy="1804670"/>
            <wp:effectExtent l="0" t="0" r="2540" b="5080"/>
            <wp:docPr id="181258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8400" name="Picture 18125840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804670"/>
                    </a:xfrm>
                    <a:prstGeom prst="rect">
                      <a:avLst/>
                    </a:prstGeom>
                  </pic:spPr>
                </pic:pic>
              </a:graphicData>
            </a:graphic>
          </wp:inline>
        </w:drawing>
      </w:r>
    </w:p>
    <w:p w14:paraId="07B1E242" w14:textId="77777777" w:rsidR="00975984" w:rsidRDefault="00975984" w:rsidP="00975984">
      <w:pPr>
        <w:jc w:val="center"/>
        <w:rPr>
          <w:rFonts w:ascii="Times New Roman" w:hAnsi="Times New Roman" w:cs="Times New Roman"/>
          <w:i/>
          <w:iCs/>
        </w:rPr>
      </w:pPr>
      <w:r w:rsidRPr="0070666F">
        <w:rPr>
          <w:rFonts w:ascii="Times New Roman" w:hAnsi="Times New Roman" w:cs="Times New Roman"/>
          <w:i/>
          <w:iCs/>
        </w:rPr>
        <w:t xml:space="preserve">Figure 4.15: Selected-market LSTM benchmark summary for </w:t>
      </w:r>
      <w:proofErr w:type="spellStart"/>
      <w:r w:rsidRPr="0070666F">
        <w:rPr>
          <w:rFonts w:ascii="Times New Roman" w:hAnsi="Times New Roman" w:cs="Times New Roman"/>
          <w:i/>
          <w:iCs/>
        </w:rPr>
        <w:t>Amarawati</w:t>
      </w:r>
      <w:proofErr w:type="spellEnd"/>
      <w:r w:rsidRPr="0070666F">
        <w:rPr>
          <w:rFonts w:ascii="Times New Roman" w:hAnsi="Times New Roman" w:cs="Times New Roman"/>
          <w:i/>
          <w:iCs/>
        </w:rPr>
        <w:t xml:space="preserve"> APMC</w:t>
      </w:r>
    </w:p>
    <w:p w14:paraId="6901956A" w14:textId="77777777" w:rsidR="00975984" w:rsidRDefault="00975984" w:rsidP="00975984">
      <w:pPr>
        <w:spacing w:line="360" w:lineRule="auto"/>
        <w:jc w:val="both"/>
        <w:rPr>
          <w:rFonts w:ascii="Times New Roman" w:hAnsi="Times New Roman" w:cs="Times New Roman"/>
        </w:rPr>
      </w:pPr>
    </w:p>
    <w:p w14:paraId="4E41A6E3" w14:textId="6755FE17" w:rsidR="00975984" w:rsidRPr="00703635" w:rsidRDefault="00975984" w:rsidP="00975984">
      <w:pPr>
        <w:spacing w:line="360" w:lineRule="auto"/>
        <w:jc w:val="both"/>
        <w:rPr>
          <w:rFonts w:ascii="Times New Roman" w:hAnsi="Times New Roman" w:cs="Times New Roman"/>
        </w:rPr>
      </w:pPr>
      <w:r w:rsidRPr="00703635">
        <w:rPr>
          <w:rFonts w:ascii="Times New Roman" w:hAnsi="Times New Roman" w:cs="Times New Roman"/>
        </w:rPr>
        <w:t>The LSTM Benchmark page makes it possible for the user to examine each qualified market individually. With the new version, the dashboard displays the chosen district and market, the best MAE, and the best R2 as individual metrics. The reason why it is necessary to distinguish them is that the model with the lowest average rupee error does not necessarily have the highest R2.</w:t>
      </w:r>
    </w:p>
    <w:p w14:paraId="47AC330C" w14:textId="77777777" w:rsidR="00975984" w:rsidRDefault="00975984" w:rsidP="00975984">
      <w:pPr>
        <w:spacing w:line="360" w:lineRule="auto"/>
        <w:jc w:val="center"/>
        <w:rPr>
          <w:rFonts w:ascii="Times New Roman" w:hAnsi="Times New Roman" w:cs="Times New Roman"/>
          <w:i/>
          <w:iCs/>
        </w:rPr>
      </w:pPr>
      <w:r>
        <w:rPr>
          <w:rFonts w:ascii="Times New Roman" w:hAnsi="Times New Roman" w:cs="Times New Roman"/>
          <w:noProof/>
        </w:rPr>
        <w:drawing>
          <wp:inline distT="0" distB="0" distL="0" distR="0" wp14:anchorId="2B0100BF" wp14:editId="6086697D">
            <wp:extent cx="5731510" cy="2605405"/>
            <wp:effectExtent l="0" t="0" r="2540" b="4445"/>
            <wp:docPr id="7148067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06779" name="Picture 71480677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605405"/>
                    </a:xfrm>
                    <a:prstGeom prst="rect">
                      <a:avLst/>
                    </a:prstGeom>
                  </pic:spPr>
                </pic:pic>
              </a:graphicData>
            </a:graphic>
          </wp:inline>
        </w:drawing>
      </w:r>
      <w:r w:rsidRPr="001C72E9">
        <w:rPr>
          <w:rFonts w:ascii="Times New Roman" w:hAnsi="Times New Roman" w:cs="Times New Roman"/>
          <w:i/>
          <w:iCs/>
        </w:rPr>
        <w:t xml:space="preserve">Figure 4.16: Model-wise comparison for </w:t>
      </w:r>
      <w:proofErr w:type="spellStart"/>
      <w:r w:rsidRPr="001C72E9">
        <w:rPr>
          <w:rFonts w:ascii="Times New Roman" w:hAnsi="Times New Roman" w:cs="Times New Roman"/>
          <w:i/>
          <w:iCs/>
        </w:rPr>
        <w:t>Amarawati</w:t>
      </w:r>
      <w:proofErr w:type="spellEnd"/>
      <w:r w:rsidRPr="001C72E9">
        <w:rPr>
          <w:rFonts w:ascii="Times New Roman" w:hAnsi="Times New Roman" w:cs="Times New Roman"/>
          <w:i/>
          <w:iCs/>
        </w:rPr>
        <w:t xml:space="preserve"> APMC</w:t>
      </w:r>
    </w:p>
    <w:p w14:paraId="342F325F" w14:textId="77777777" w:rsidR="00975984" w:rsidRDefault="00975984" w:rsidP="00975984">
      <w:pPr>
        <w:spacing w:line="360" w:lineRule="auto"/>
        <w:jc w:val="center"/>
        <w:rPr>
          <w:rFonts w:ascii="Times New Roman" w:hAnsi="Times New Roman" w:cs="Times New Roman"/>
          <w:i/>
          <w:iCs/>
        </w:rPr>
      </w:pPr>
    </w:p>
    <w:p w14:paraId="11AC2647" w14:textId="77777777" w:rsidR="00975984" w:rsidRPr="00703635" w:rsidRDefault="00975984" w:rsidP="00975984">
      <w:pPr>
        <w:spacing w:line="360" w:lineRule="auto"/>
        <w:jc w:val="both"/>
        <w:rPr>
          <w:rFonts w:ascii="Times New Roman" w:hAnsi="Times New Roman" w:cs="Times New Roman"/>
        </w:rPr>
      </w:pPr>
      <w:r w:rsidRPr="00703635">
        <w:rPr>
          <w:rFonts w:ascii="Times New Roman" w:hAnsi="Times New Roman" w:cs="Times New Roman"/>
        </w:rPr>
        <w:lastRenderedPageBreak/>
        <w:t xml:space="preserve">The model comparison table and MAE chart show that the guarded sequence approach is most useful when it is validated carefully. For </w:t>
      </w:r>
      <w:proofErr w:type="spellStart"/>
      <w:r w:rsidRPr="00703635">
        <w:rPr>
          <w:rFonts w:ascii="Times New Roman" w:hAnsi="Times New Roman" w:cs="Times New Roman"/>
        </w:rPr>
        <w:t>Amarawati</w:t>
      </w:r>
      <w:proofErr w:type="spellEnd"/>
      <w:r w:rsidRPr="00703635">
        <w:rPr>
          <w:rFonts w:ascii="Times New Roman" w:hAnsi="Times New Roman" w:cs="Times New Roman"/>
        </w:rPr>
        <w:t xml:space="preserve">, the MAE-oriented </w:t>
      </w:r>
      <w:proofErr w:type="spellStart"/>
      <w:r w:rsidRPr="00703635">
        <w:rPr>
          <w:rFonts w:ascii="Times New Roman" w:hAnsi="Times New Roman" w:cs="Times New Roman"/>
        </w:rPr>
        <w:t>LSTM_Hybrid</w:t>
      </w:r>
      <w:proofErr w:type="spellEnd"/>
      <w:r w:rsidRPr="00703635">
        <w:rPr>
          <w:rFonts w:ascii="Times New Roman" w:hAnsi="Times New Roman" w:cs="Times New Roman"/>
        </w:rPr>
        <w:t xml:space="preserve"> reached MAE of about Rs. 772 and R2 of 0.664, while the R2-oriented LSTM_Hybrid_R2 reached R2 of 0.665 with slightly lower MAE of about Rs. 768. The raw LSTM result remains weaker, confirming that the sequence model should be guarded before it is blended with the baseline forecast.</w:t>
      </w:r>
    </w:p>
    <w:p w14:paraId="14453B60" w14:textId="77777777" w:rsidR="00975984" w:rsidRDefault="00975984" w:rsidP="00975984">
      <w:pPr>
        <w:spacing w:line="360" w:lineRule="auto"/>
        <w:jc w:val="both"/>
        <w:rPr>
          <w:rFonts w:ascii="Times New Roman" w:hAnsi="Times New Roman" w:cs="Times New Roman"/>
          <w:b/>
          <w:bCs/>
        </w:rPr>
      </w:pPr>
      <w:r w:rsidRPr="00B777C3">
        <w:rPr>
          <w:rFonts w:ascii="Times New Roman" w:hAnsi="Times New Roman" w:cs="Times New Roman"/>
          <w:b/>
          <w:bCs/>
        </w:rPr>
        <w:t>4.6.6 LSTM Future Forecast Dashboard Output</w:t>
      </w:r>
    </w:p>
    <w:p w14:paraId="3F039396" w14:textId="77777777" w:rsidR="00975984" w:rsidRDefault="00975984" w:rsidP="00975984">
      <w:pPr>
        <w:spacing w:line="360" w:lineRule="auto"/>
        <w:jc w:val="both"/>
        <w:rPr>
          <w:rFonts w:ascii="Times New Roman" w:hAnsi="Times New Roman" w:cs="Times New Roman"/>
        </w:rPr>
      </w:pPr>
      <w:r w:rsidRPr="00B777C3">
        <w:rPr>
          <w:rFonts w:ascii="Times New Roman" w:hAnsi="Times New Roman" w:cs="Times New Roman"/>
        </w:rPr>
        <w:t xml:space="preserve">the LSTM component in line with the current machine learning future forecast page for which the user can choose 7-day, 15-day, and 30-day periods. The forecast is still a scenario and not an assured market quotation since the future arrival and market surprises cannot be known ahead of </w:t>
      </w:r>
      <w:proofErr w:type="spellStart"/>
      <w:proofErr w:type="gramStart"/>
      <w:r w:rsidRPr="00B777C3">
        <w:rPr>
          <w:rFonts w:ascii="Times New Roman" w:hAnsi="Times New Roman" w:cs="Times New Roman"/>
        </w:rPr>
        <w:t>time.The</w:t>
      </w:r>
      <w:proofErr w:type="spellEnd"/>
      <w:proofErr w:type="gramEnd"/>
      <w:r w:rsidRPr="00B777C3">
        <w:rPr>
          <w:rFonts w:ascii="Times New Roman" w:hAnsi="Times New Roman" w:cs="Times New Roman"/>
        </w:rPr>
        <w:t xml:space="preserve"> choice of the example report in this regard was </w:t>
      </w:r>
      <w:proofErr w:type="spellStart"/>
      <w:r w:rsidRPr="00B777C3">
        <w:rPr>
          <w:rFonts w:ascii="Times New Roman" w:hAnsi="Times New Roman" w:cs="Times New Roman"/>
        </w:rPr>
        <w:t>Amrawati</w:t>
      </w:r>
      <w:proofErr w:type="spellEnd"/>
      <w:r w:rsidRPr="00B777C3">
        <w:rPr>
          <w:rFonts w:ascii="Times New Roman" w:hAnsi="Times New Roman" w:cs="Times New Roman"/>
        </w:rPr>
        <w:t xml:space="preserve"> Fruit and Vegetable Market APMC due to its strong balanced LSTM component. The LSTM_Hybrid_R2 model was chosen to demonstrate the R2-based guarded sequence forecast. With a starting point of the most recent modal price of Rs. 2,250 on 30 April 2026, it predicted Rs. 3,106 after 7 days, Rs. 2,795 after 15 days, and Rs. 2,373 after 30 days.</w:t>
      </w:r>
    </w:p>
    <w:p w14:paraId="0741C6CD" w14:textId="77777777" w:rsidR="00975984" w:rsidRDefault="00975984" w:rsidP="00975984">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1F89D2E7" wp14:editId="056CB061">
            <wp:extent cx="5731510" cy="2515235"/>
            <wp:effectExtent l="0" t="0" r="2540" b="0"/>
            <wp:docPr id="161832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32451" name="Picture 16183245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515235"/>
                    </a:xfrm>
                    <a:prstGeom prst="rect">
                      <a:avLst/>
                    </a:prstGeom>
                  </pic:spPr>
                </pic:pic>
              </a:graphicData>
            </a:graphic>
          </wp:inline>
        </w:drawing>
      </w:r>
    </w:p>
    <w:p w14:paraId="017449C5" w14:textId="77777777" w:rsidR="00975984" w:rsidRPr="00B777C3" w:rsidRDefault="00975984" w:rsidP="00975984">
      <w:pPr>
        <w:spacing w:line="360" w:lineRule="auto"/>
        <w:jc w:val="center"/>
        <w:rPr>
          <w:rFonts w:ascii="Times New Roman" w:hAnsi="Times New Roman" w:cs="Times New Roman"/>
          <w:i/>
          <w:iCs/>
          <w:sz w:val="22"/>
          <w:szCs w:val="22"/>
        </w:rPr>
      </w:pPr>
      <w:r w:rsidRPr="00B777C3">
        <w:rPr>
          <w:rFonts w:ascii="Times New Roman" w:hAnsi="Times New Roman" w:cs="Times New Roman"/>
          <w:i/>
          <w:iCs/>
        </w:rPr>
        <w:t xml:space="preserve">Figure 4.19: LSTM_Hybrid_R2 future forecast summary for </w:t>
      </w:r>
      <w:proofErr w:type="spellStart"/>
      <w:r w:rsidRPr="00B777C3">
        <w:rPr>
          <w:rFonts w:ascii="Times New Roman" w:hAnsi="Times New Roman" w:cs="Times New Roman"/>
          <w:i/>
          <w:iCs/>
        </w:rPr>
        <w:t>Amarawati</w:t>
      </w:r>
      <w:proofErr w:type="spellEnd"/>
      <w:r w:rsidRPr="00B777C3">
        <w:rPr>
          <w:rFonts w:ascii="Times New Roman" w:hAnsi="Times New Roman" w:cs="Times New Roman"/>
          <w:i/>
          <w:iCs/>
        </w:rPr>
        <w:t xml:space="preserve"> APMC</w:t>
      </w:r>
    </w:p>
    <w:p w14:paraId="0421096F" w14:textId="77777777" w:rsidR="00975984" w:rsidRDefault="00975984" w:rsidP="00975984">
      <w:pPr>
        <w:spacing w:line="360" w:lineRule="auto"/>
        <w:jc w:val="both"/>
        <w:rPr>
          <w:rFonts w:ascii="Times New Roman" w:hAnsi="Times New Roman" w:cs="Times New Roman"/>
        </w:rPr>
      </w:pPr>
    </w:p>
    <w:p w14:paraId="653EACE2" w14:textId="7CCDF446" w:rsidR="00975984" w:rsidRPr="00B777C3" w:rsidRDefault="00975984" w:rsidP="00975984">
      <w:pPr>
        <w:spacing w:line="360" w:lineRule="auto"/>
        <w:jc w:val="both"/>
        <w:rPr>
          <w:rFonts w:ascii="Times New Roman" w:hAnsi="Times New Roman" w:cs="Times New Roman"/>
        </w:rPr>
      </w:pPr>
      <w:r w:rsidRPr="00B777C3">
        <w:rPr>
          <w:rFonts w:ascii="Times New Roman" w:hAnsi="Times New Roman" w:cs="Times New Roman"/>
        </w:rPr>
        <w:t xml:space="preserve">LSTM based engines were also added to the Future Price Prediction Page. For </w:t>
      </w:r>
      <w:proofErr w:type="spellStart"/>
      <w:r w:rsidRPr="00B777C3">
        <w:rPr>
          <w:rFonts w:ascii="Times New Roman" w:hAnsi="Times New Roman" w:cs="Times New Roman"/>
        </w:rPr>
        <w:t>Amrawati</w:t>
      </w:r>
      <w:proofErr w:type="spellEnd"/>
      <w:r w:rsidRPr="00B777C3">
        <w:rPr>
          <w:rFonts w:ascii="Times New Roman" w:hAnsi="Times New Roman" w:cs="Times New Roman"/>
        </w:rPr>
        <w:t xml:space="preserve"> Fruit &amp; Vegetable Market APMC, the last known modal price is Rs. 2,250, dated 30th April 2026. Through the use of the LSTM_Hybrid_R2 engine, the dashboard predicted that the price would be Rs. 3,106 after 7 days, Rs. 2,795 after 15 days, and Rs. 2,373 after 30 days.</w:t>
      </w:r>
    </w:p>
    <w:p w14:paraId="307B3B49" w14:textId="77777777" w:rsidR="00975984" w:rsidRDefault="00975984" w:rsidP="00975984">
      <w:pPr>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35B71F27" wp14:editId="4D32F18F">
            <wp:extent cx="5731510" cy="1725295"/>
            <wp:effectExtent l="0" t="0" r="2540" b="8255"/>
            <wp:docPr id="1987834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3484" name="Picture 19878348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725295"/>
                    </a:xfrm>
                    <a:prstGeom prst="rect">
                      <a:avLst/>
                    </a:prstGeom>
                  </pic:spPr>
                </pic:pic>
              </a:graphicData>
            </a:graphic>
          </wp:inline>
        </w:drawing>
      </w:r>
    </w:p>
    <w:p w14:paraId="029E3504" w14:textId="77777777" w:rsidR="00975984" w:rsidRDefault="00975984" w:rsidP="00975984">
      <w:pPr>
        <w:spacing w:line="360" w:lineRule="auto"/>
        <w:jc w:val="center"/>
        <w:rPr>
          <w:rFonts w:ascii="Times New Roman" w:hAnsi="Times New Roman" w:cs="Times New Roman"/>
          <w:i/>
          <w:iCs/>
        </w:rPr>
      </w:pPr>
      <w:r w:rsidRPr="00B777C3">
        <w:rPr>
          <w:rFonts w:ascii="Times New Roman" w:hAnsi="Times New Roman" w:cs="Times New Roman"/>
          <w:i/>
          <w:iCs/>
        </w:rPr>
        <w:t xml:space="preserve">Figure 4.20: Thirty-day LSTM_Hybrid_R2 forecast trend for </w:t>
      </w:r>
      <w:proofErr w:type="spellStart"/>
      <w:r w:rsidRPr="00B777C3">
        <w:rPr>
          <w:rFonts w:ascii="Times New Roman" w:hAnsi="Times New Roman" w:cs="Times New Roman"/>
          <w:i/>
          <w:iCs/>
        </w:rPr>
        <w:t>Amarawati</w:t>
      </w:r>
      <w:proofErr w:type="spellEnd"/>
      <w:r w:rsidRPr="00B777C3">
        <w:rPr>
          <w:rFonts w:ascii="Times New Roman" w:hAnsi="Times New Roman" w:cs="Times New Roman"/>
          <w:i/>
          <w:iCs/>
        </w:rPr>
        <w:t xml:space="preserve"> APMC</w:t>
      </w:r>
    </w:p>
    <w:p w14:paraId="0A649799" w14:textId="77777777" w:rsidR="00975984" w:rsidRPr="00B777C3" w:rsidRDefault="00975984" w:rsidP="00975984">
      <w:pPr>
        <w:spacing w:after="160" w:line="360" w:lineRule="auto"/>
        <w:jc w:val="both"/>
        <w:rPr>
          <w:rFonts w:ascii="Times New Roman" w:hAnsi="Times New Roman" w:cs="Times New Roman"/>
        </w:rPr>
      </w:pPr>
      <w:r w:rsidRPr="00B777C3">
        <w:rPr>
          <w:rFonts w:ascii="Times New Roman" w:hAnsi="Times New Roman" w:cs="Times New Roman"/>
        </w:rPr>
        <w:t>The trend graph shows that the LSTM_Hybrid_R2 scenario first moves upward, reaches its strongest level during the early part of the 30-day window, and then gradually corrects toward a more stable price range. This means the sequence model does not simply project a continuous increase; it captures a short-term rise followed by stabilisation.</w:t>
      </w:r>
    </w:p>
    <w:p w14:paraId="50188474" w14:textId="77777777" w:rsidR="00975984" w:rsidRPr="00B777C3" w:rsidRDefault="00975984" w:rsidP="00975984">
      <w:pPr>
        <w:spacing w:line="360" w:lineRule="auto"/>
        <w:jc w:val="center"/>
        <w:rPr>
          <w:rFonts w:ascii="Times New Roman" w:hAnsi="Times New Roman" w:cs="Times New Roman"/>
          <w:i/>
          <w:iCs/>
          <w:sz w:val="22"/>
          <w:szCs w:val="22"/>
        </w:rPr>
      </w:pPr>
    </w:p>
    <w:p w14:paraId="579E25A1" w14:textId="77777777" w:rsidR="00975984" w:rsidRDefault="00975984" w:rsidP="00975984">
      <w:pPr>
        <w:spacing w:line="360" w:lineRule="auto"/>
        <w:jc w:val="both"/>
        <w:rPr>
          <w:rFonts w:ascii="Times New Roman" w:hAnsi="Times New Roman" w:cs="Times New Roman"/>
          <w:b/>
          <w:bCs/>
          <w:sz w:val="28"/>
          <w:szCs w:val="28"/>
        </w:rPr>
      </w:pPr>
    </w:p>
    <w:p w14:paraId="691677B0" w14:textId="77777777" w:rsidR="00975984" w:rsidRDefault="00975984" w:rsidP="00975984">
      <w:pPr>
        <w:spacing w:line="360" w:lineRule="auto"/>
        <w:jc w:val="both"/>
        <w:rPr>
          <w:rFonts w:ascii="Times New Roman" w:hAnsi="Times New Roman" w:cs="Times New Roman"/>
          <w:b/>
          <w:bCs/>
          <w:sz w:val="28"/>
          <w:szCs w:val="28"/>
        </w:rPr>
      </w:pPr>
    </w:p>
    <w:p w14:paraId="1DFA91DA" w14:textId="77777777" w:rsidR="00975984" w:rsidRDefault="00975984" w:rsidP="00975984">
      <w:pPr>
        <w:spacing w:line="360" w:lineRule="auto"/>
        <w:jc w:val="both"/>
        <w:rPr>
          <w:rFonts w:ascii="Times New Roman" w:hAnsi="Times New Roman" w:cs="Times New Roman"/>
          <w:b/>
          <w:bCs/>
          <w:sz w:val="28"/>
          <w:szCs w:val="28"/>
        </w:rPr>
      </w:pPr>
    </w:p>
    <w:p w14:paraId="30BA15CA" w14:textId="77777777" w:rsidR="00975984" w:rsidRDefault="00975984" w:rsidP="00975984">
      <w:pPr>
        <w:spacing w:line="360" w:lineRule="auto"/>
        <w:jc w:val="both"/>
        <w:rPr>
          <w:rFonts w:ascii="Times New Roman" w:hAnsi="Times New Roman" w:cs="Times New Roman"/>
          <w:b/>
          <w:bCs/>
          <w:sz w:val="28"/>
          <w:szCs w:val="28"/>
        </w:rPr>
      </w:pPr>
    </w:p>
    <w:p w14:paraId="6DE2A5B2" w14:textId="77777777" w:rsidR="00975984" w:rsidRDefault="00975984" w:rsidP="00975984">
      <w:pPr>
        <w:spacing w:line="360" w:lineRule="auto"/>
        <w:jc w:val="both"/>
        <w:rPr>
          <w:rFonts w:ascii="Times New Roman" w:hAnsi="Times New Roman" w:cs="Times New Roman"/>
          <w:b/>
          <w:bCs/>
          <w:sz w:val="28"/>
          <w:szCs w:val="28"/>
        </w:rPr>
      </w:pPr>
    </w:p>
    <w:p w14:paraId="2AFB8A29" w14:textId="77777777" w:rsidR="00975984" w:rsidRDefault="00975984" w:rsidP="00975984">
      <w:pPr>
        <w:spacing w:line="360" w:lineRule="auto"/>
        <w:jc w:val="both"/>
        <w:rPr>
          <w:rFonts w:ascii="Times New Roman" w:hAnsi="Times New Roman" w:cs="Times New Roman"/>
          <w:b/>
          <w:bCs/>
          <w:sz w:val="28"/>
          <w:szCs w:val="28"/>
        </w:rPr>
      </w:pPr>
    </w:p>
    <w:p w14:paraId="0EF02156" w14:textId="77777777" w:rsidR="00975984" w:rsidRDefault="00975984" w:rsidP="00975984">
      <w:pPr>
        <w:spacing w:line="360" w:lineRule="auto"/>
        <w:jc w:val="both"/>
        <w:rPr>
          <w:rFonts w:ascii="Times New Roman" w:hAnsi="Times New Roman" w:cs="Times New Roman"/>
          <w:b/>
          <w:bCs/>
          <w:sz w:val="28"/>
          <w:szCs w:val="28"/>
        </w:rPr>
      </w:pPr>
    </w:p>
    <w:p w14:paraId="2D3B9CF0" w14:textId="77777777" w:rsidR="00975984" w:rsidRDefault="00975984" w:rsidP="00975984">
      <w:pPr>
        <w:spacing w:line="360" w:lineRule="auto"/>
        <w:jc w:val="both"/>
        <w:rPr>
          <w:rFonts w:ascii="Times New Roman" w:hAnsi="Times New Roman" w:cs="Times New Roman"/>
          <w:b/>
          <w:bCs/>
          <w:sz w:val="28"/>
          <w:szCs w:val="28"/>
        </w:rPr>
      </w:pPr>
    </w:p>
    <w:p w14:paraId="63005B9B" w14:textId="77777777" w:rsidR="00975984" w:rsidRDefault="00975984" w:rsidP="00975984">
      <w:pPr>
        <w:spacing w:line="360" w:lineRule="auto"/>
        <w:jc w:val="both"/>
        <w:rPr>
          <w:rFonts w:ascii="Times New Roman" w:hAnsi="Times New Roman" w:cs="Times New Roman"/>
          <w:b/>
          <w:bCs/>
          <w:sz w:val="28"/>
          <w:szCs w:val="28"/>
        </w:rPr>
      </w:pPr>
    </w:p>
    <w:p w14:paraId="1FC740E5" w14:textId="77777777" w:rsidR="00975984" w:rsidRDefault="00975984" w:rsidP="00975984">
      <w:pPr>
        <w:spacing w:line="360" w:lineRule="auto"/>
        <w:jc w:val="both"/>
        <w:rPr>
          <w:rFonts w:ascii="Times New Roman" w:hAnsi="Times New Roman" w:cs="Times New Roman"/>
          <w:b/>
          <w:bCs/>
          <w:sz w:val="28"/>
          <w:szCs w:val="28"/>
        </w:rPr>
      </w:pPr>
    </w:p>
    <w:p w14:paraId="3A116723" w14:textId="77777777" w:rsidR="00975984" w:rsidRDefault="00975984" w:rsidP="00975984">
      <w:pPr>
        <w:spacing w:line="360" w:lineRule="auto"/>
        <w:jc w:val="both"/>
        <w:rPr>
          <w:rFonts w:ascii="Times New Roman" w:hAnsi="Times New Roman" w:cs="Times New Roman"/>
          <w:b/>
          <w:bCs/>
          <w:sz w:val="28"/>
          <w:szCs w:val="28"/>
        </w:rPr>
      </w:pPr>
    </w:p>
    <w:p w14:paraId="48AE6A4E" w14:textId="77777777" w:rsidR="00975984" w:rsidRDefault="00975984" w:rsidP="00975984">
      <w:pPr>
        <w:spacing w:line="360" w:lineRule="auto"/>
        <w:jc w:val="both"/>
        <w:rPr>
          <w:rFonts w:ascii="Times New Roman" w:hAnsi="Times New Roman" w:cs="Times New Roman"/>
          <w:b/>
          <w:bCs/>
          <w:sz w:val="28"/>
          <w:szCs w:val="28"/>
        </w:rPr>
      </w:pPr>
    </w:p>
    <w:p w14:paraId="28B2F463" w14:textId="77777777" w:rsidR="00975984" w:rsidRDefault="00975984" w:rsidP="00975984">
      <w:pPr>
        <w:spacing w:line="360" w:lineRule="auto"/>
        <w:jc w:val="both"/>
        <w:rPr>
          <w:rFonts w:ascii="Times New Roman" w:hAnsi="Times New Roman" w:cs="Times New Roman"/>
          <w:b/>
          <w:bCs/>
          <w:sz w:val="28"/>
          <w:szCs w:val="28"/>
        </w:rPr>
      </w:pPr>
    </w:p>
    <w:p w14:paraId="2C394CC6" w14:textId="77777777" w:rsidR="00975984" w:rsidRDefault="00975984" w:rsidP="00975984">
      <w:pPr>
        <w:spacing w:line="360" w:lineRule="auto"/>
        <w:jc w:val="both"/>
        <w:rPr>
          <w:rFonts w:ascii="Times New Roman" w:hAnsi="Times New Roman" w:cs="Times New Roman"/>
          <w:b/>
          <w:bCs/>
          <w:sz w:val="28"/>
          <w:szCs w:val="28"/>
        </w:rPr>
      </w:pPr>
    </w:p>
    <w:p w14:paraId="02D25B7C" w14:textId="77777777" w:rsidR="00975984" w:rsidRDefault="00975984" w:rsidP="00975984">
      <w:pPr>
        <w:spacing w:line="360" w:lineRule="auto"/>
        <w:jc w:val="both"/>
        <w:rPr>
          <w:rFonts w:ascii="Times New Roman" w:hAnsi="Times New Roman" w:cs="Times New Roman"/>
          <w:b/>
          <w:bCs/>
          <w:sz w:val="28"/>
          <w:szCs w:val="28"/>
        </w:rPr>
      </w:pPr>
    </w:p>
    <w:p w14:paraId="038C4119" w14:textId="77777777" w:rsidR="00975984" w:rsidRDefault="00975984" w:rsidP="00975984">
      <w:pPr>
        <w:spacing w:line="360" w:lineRule="auto"/>
        <w:jc w:val="both"/>
        <w:rPr>
          <w:rFonts w:ascii="Times New Roman" w:hAnsi="Times New Roman" w:cs="Times New Roman"/>
          <w:b/>
          <w:bCs/>
          <w:sz w:val="28"/>
          <w:szCs w:val="28"/>
        </w:rPr>
      </w:pPr>
    </w:p>
    <w:p w14:paraId="3748B9EC" w14:textId="77777777" w:rsidR="00975984" w:rsidRDefault="00975984" w:rsidP="00975984">
      <w:pPr>
        <w:spacing w:line="360" w:lineRule="auto"/>
        <w:jc w:val="both"/>
        <w:rPr>
          <w:rFonts w:ascii="Times New Roman" w:hAnsi="Times New Roman" w:cs="Times New Roman"/>
          <w:b/>
          <w:bCs/>
          <w:sz w:val="28"/>
          <w:szCs w:val="28"/>
        </w:rPr>
      </w:pPr>
    </w:p>
    <w:p w14:paraId="6630FBD7" w14:textId="36AA1DDF" w:rsidR="00975984" w:rsidRPr="00F77209" w:rsidRDefault="00975984" w:rsidP="00975984">
      <w:pPr>
        <w:spacing w:line="360" w:lineRule="auto"/>
        <w:jc w:val="both"/>
        <w:rPr>
          <w:rFonts w:ascii="Times New Roman" w:hAnsi="Times New Roman" w:cs="Times New Roman"/>
          <w:b/>
          <w:bCs/>
          <w:sz w:val="28"/>
          <w:szCs w:val="28"/>
        </w:rPr>
      </w:pPr>
      <w:r w:rsidRPr="00F77209">
        <w:rPr>
          <w:rFonts w:ascii="Times New Roman" w:hAnsi="Times New Roman" w:cs="Times New Roman"/>
          <w:b/>
          <w:bCs/>
          <w:sz w:val="28"/>
          <w:szCs w:val="28"/>
        </w:rPr>
        <w:lastRenderedPageBreak/>
        <w:t>4.7 Discussion</w:t>
      </w:r>
    </w:p>
    <w:p w14:paraId="003A4837" w14:textId="77777777" w:rsidR="00975984" w:rsidRPr="00BB3856" w:rsidRDefault="00975984" w:rsidP="00975984">
      <w:pPr>
        <w:spacing w:before="80" w:after="120"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Overall, the results suggest that machine learning techniques have the capability to extract relevant structure from Maharashtra mango price data. The high R² and reasonable MAPE of the GBR model reveal that the former model has a greater capability to explain variations of prices within the test data set relative to a heuristic approach, despite the fact that the Persistence model holds equal performance based on the MAE metric. Both these results are mutually consistent since it is difficult to surpass the baseline model in terms of mean absolute error since the last price is an excellent point of reference but it cannot explain the variations.</w:t>
      </w:r>
    </w:p>
    <w:p w14:paraId="56F1290A" w14:textId="77777777" w:rsidR="00975984" w:rsidRPr="00BB3856" w:rsidRDefault="00975984" w:rsidP="00975984">
      <w:pPr>
        <w:spacing w:before="80" w:after="120" w:line="360" w:lineRule="auto"/>
        <w:jc w:val="both"/>
        <w:rPr>
          <w:rFonts w:ascii="Times New Roman" w:hAnsi="Times New Roman" w:cs="Times New Roman"/>
          <w:color w:val="000000" w:themeColor="text1"/>
        </w:rPr>
      </w:pPr>
      <w:r w:rsidRPr="00BB3856">
        <w:rPr>
          <w:rFonts w:ascii="Times New Roman" w:hAnsi="Times New Roman" w:cs="Times New Roman"/>
          <w:color w:val="000000" w:themeColor="text1"/>
        </w:rPr>
        <w:t xml:space="preserve">The SHAP results show that the most important variables in the prediction process include the rolling deviation metrics, the last price and the momentum of prices. The seasonal variables play an auxiliary but nontrivial role. The location variables are not of great importance compared to what one may initially expect in the </w:t>
      </w:r>
      <w:proofErr w:type="spellStart"/>
      <w:r w:rsidRPr="00BB3856">
        <w:rPr>
          <w:rFonts w:ascii="Times New Roman" w:hAnsi="Times New Roman" w:cs="Times New Roman"/>
          <w:color w:val="000000" w:themeColor="text1"/>
        </w:rPr>
        <w:t>XGBoost</w:t>
      </w:r>
      <w:proofErr w:type="spellEnd"/>
      <w:r w:rsidRPr="00BB3856">
        <w:rPr>
          <w:rFonts w:ascii="Times New Roman" w:hAnsi="Times New Roman" w:cs="Times New Roman"/>
          <w:color w:val="000000" w:themeColor="text1"/>
        </w:rPr>
        <w:t xml:space="preserve"> model.</w:t>
      </w:r>
    </w:p>
    <w:p w14:paraId="7CC05446" w14:textId="77777777" w:rsidR="00975984" w:rsidRPr="00BB3856" w:rsidRDefault="00975984" w:rsidP="00975984">
      <w:pPr>
        <w:spacing w:line="360" w:lineRule="auto"/>
        <w:jc w:val="both"/>
        <w:rPr>
          <w:rFonts w:ascii="Times New Roman" w:hAnsi="Times New Roman" w:cs="Times New Roman"/>
          <w:color w:val="000000" w:themeColor="text1"/>
        </w:rPr>
      </w:pPr>
      <w:r w:rsidRPr="00BB3856">
        <w:rPr>
          <w:rFonts w:ascii="Times New Roman" w:hAnsi="Times New Roman" w:cs="Times New Roman"/>
        </w:rPr>
        <w:t>A recurring weakness in all models is the difficulty of reproducing sudden and irregular price spikes. The forecasting system is therefore more reliable for normal market movement than for exceptional premium-price episodes.</w:t>
      </w:r>
    </w:p>
    <w:p w14:paraId="796E0261" w14:textId="77777777" w:rsidR="00975984" w:rsidRPr="00BB3856" w:rsidRDefault="00975984" w:rsidP="00975984">
      <w:pPr>
        <w:spacing w:line="360" w:lineRule="auto"/>
        <w:jc w:val="both"/>
        <w:rPr>
          <w:rFonts w:ascii="Times New Roman" w:hAnsi="Times New Roman" w:cs="Times New Roman"/>
        </w:rPr>
      </w:pPr>
      <w:r w:rsidRPr="00BB3856">
        <w:rPr>
          <w:rFonts w:ascii="Times New Roman" w:hAnsi="Times New Roman" w:cs="Times New Roman"/>
        </w:rPr>
        <w:t>A robust evaluation design is one of the strongest aspects of the methodology. Because the train, validation, and test windows were separated chronologically, the reported performance more closely represents real forecasting use than a random split would.</w:t>
      </w:r>
    </w:p>
    <w:p w14:paraId="0C5E344F" w14:textId="77777777" w:rsidR="00975984" w:rsidRDefault="00975984" w:rsidP="00975984">
      <w:pPr>
        <w:spacing w:before="80" w:after="120" w:line="360" w:lineRule="auto"/>
        <w:jc w:val="both"/>
        <w:rPr>
          <w:rFonts w:ascii="Times New Roman" w:hAnsi="Times New Roman" w:cs="Times New Roman"/>
        </w:rPr>
      </w:pPr>
      <w:r w:rsidRPr="00703635">
        <w:rPr>
          <w:rFonts w:ascii="Times New Roman" w:hAnsi="Times New Roman" w:cs="Times New Roman"/>
        </w:rPr>
        <w:t xml:space="preserve">This claim is additionally proven by the LSTM/Sequence benchmark results. Sequence learning was beneficial in certain market cases, specifically in </w:t>
      </w:r>
      <w:proofErr w:type="spellStart"/>
      <w:r w:rsidRPr="00703635">
        <w:rPr>
          <w:rFonts w:ascii="Times New Roman" w:hAnsi="Times New Roman" w:cs="Times New Roman"/>
        </w:rPr>
        <w:t>Amarawati</w:t>
      </w:r>
      <w:proofErr w:type="spellEnd"/>
      <w:r w:rsidRPr="00703635">
        <w:rPr>
          <w:rFonts w:ascii="Times New Roman" w:hAnsi="Times New Roman" w:cs="Times New Roman"/>
        </w:rPr>
        <w:t>, because previous price changes included temporal structure useful for improving the guarded hybrid results. The introduction of the additional LSTM_Hybrid_R2 model proves that there is a possibility to improve R2 scores in some markets, for example, Nashik and Pune, although this could result in increasing MAE. Hence, the sequence model should be regarded as a controlled comparative research element.</w:t>
      </w:r>
    </w:p>
    <w:p w14:paraId="150971ED" w14:textId="77777777" w:rsidR="00975984" w:rsidRDefault="00975984" w:rsidP="00975984">
      <w:pPr>
        <w:spacing w:before="80" w:after="120" w:line="360" w:lineRule="auto"/>
        <w:jc w:val="both"/>
        <w:rPr>
          <w:rFonts w:ascii="Times New Roman" w:hAnsi="Times New Roman" w:cs="Times New Roman"/>
        </w:rPr>
      </w:pPr>
    </w:p>
    <w:p w14:paraId="26643F8E" w14:textId="77777777" w:rsidR="00975984" w:rsidRDefault="00975984" w:rsidP="00975984">
      <w:pPr>
        <w:spacing w:before="80" w:after="120" w:line="360" w:lineRule="auto"/>
        <w:jc w:val="both"/>
        <w:rPr>
          <w:rFonts w:ascii="Times New Roman" w:hAnsi="Times New Roman" w:cs="Times New Roman"/>
        </w:rPr>
      </w:pPr>
    </w:p>
    <w:p w14:paraId="4074181F" w14:textId="77777777" w:rsidR="00975984" w:rsidRDefault="00975984" w:rsidP="00975984">
      <w:pPr>
        <w:pStyle w:val="Heading1"/>
        <w:spacing w:line="360" w:lineRule="auto"/>
        <w:rPr>
          <w:rFonts w:ascii="Times New Roman" w:hAnsi="Times New Roman" w:cs="Times New Roman"/>
          <w:color w:val="000000" w:themeColor="text1"/>
          <w:sz w:val="28"/>
          <w:szCs w:val="28"/>
        </w:rPr>
      </w:pPr>
    </w:p>
    <w:p w14:paraId="42BA2B64" w14:textId="77777777" w:rsidR="00975984" w:rsidRDefault="00975984" w:rsidP="00975984">
      <w:pPr>
        <w:pStyle w:val="Heading1"/>
        <w:spacing w:line="360" w:lineRule="auto"/>
        <w:rPr>
          <w:rFonts w:ascii="Times New Roman" w:hAnsi="Times New Roman" w:cs="Times New Roman"/>
          <w:color w:val="000000" w:themeColor="text1"/>
          <w:sz w:val="28"/>
          <w:szCs w:val="28"/>
        </w:rPr>
      </w:pPr>
    </w:p>
    <w:p w14:paraId="6EE6F5BD" w14:textId="40CE3AFF" w:rsidR="00975984" w:rsidRDefault="00975984" w:rsidP="00975984">
      <w:pPr>
        <w:pStyle w:val="Heading1"/>
        <w:spacing w:line="360" w:lineRule="auto"/>
        <w:rPr>
          <w:rFonts w:ascii="Times New Roman" w:hAnsi="Times New Roman" w:cs="Times New Roman"/>
          <w:b w:val="0"/>
          <w:bCs w:val="0"/>
          <w:color w:val="000000" w:themeColor="text1"/>
          <w:sz w:val="28"/>
          <w:szCs w:val="28"/>
        </w:rPr>
      </w:pPr>
      <w:r>
        <w:rPr>
          <w:rFonts w:ascii="Times New Roman" w:hAnsi="Times New Roman" w:cs="Times New Roman"/>
          <w:color w:val="000000" w:themeColor="text1"/>
          <w:sz w:val="28"/>
          <w:szCs w:val="28"/>
        </w:rPr>
        <w:lastRenderedPageBreak/>
        <w:t>Chapter 5: Conclusion and Future Scope</w:t>
      </w:r>
    </w:p>
    <w:p w14:paraId="2D6E349E" w14:textId="77777777" w:rsidR="00975984" w:rsidRPr="00F77209" w:rsidRDefault="00975984" w:rsidP="00975984">
      <w:pPr>
        <w:pStyle w:val="Heading1"/>
        <w:spacing w:line="360" w:lineRule="auto"/>
        <w:rPr>
          <w:rFonts w:ascii="Times New Roman" w:hAnsi="Times New Roman" w:cs="Times New Roman"/>
          <w:b w:val="0"/>
          <w:bCs w:val="0"/>
          <w:color w:val="000000" w:themeColor="text1"/>
          <w:sz w:val="28"/>
          <w:szCs w:val="28"/>
        </w:rPr>
      </w:pPr>
      <w:r w:rsidRPr="00F77209">
        <w:rPr>
          <w:rFonts w:ascii="Times New Roman" w:hAnsi="Times New Roman" w:cs="Times New Roman"/>
          <w:color w:val="000000" w:themeColor="text1"/>
          <w:sz w:val="24"/>
          <w:szCs w:val="24"/>
        </w:rPr>
        <w:t>5.1 Conclusion</w:t>
      </w:r>
    </w:p>
    <w:p w14:paraId="77E56D08" w14:textId="77777777" w:rsidR="00975984" w:rsidRPr="00A1217C" w:rsidRDefault="00975984" w:rsidP="00975984">
      <w:pPr>
        <w:spacing w:before="80" w:after="120" w:line="360" w:lineRule="auto"/>
        <w:jc w:val="both"/>
        <w:rPr>
          <w:rFonts w:ascii="Times New Roman" w:hAnsi="Times New Roman" w:cs="Times New Roman"/>
        </w:rPr>
      </w:pPr>
      <w:r w:rsidRPr="00A1217C">
        <w:rPr>
          <w:rFonts w:ascii="Times New Roman" w:hAnsi="Times New Roman" w:cs="Times New Roman"/>
        </w:rPr>
        <w:t>A machine learning-based system that could forecast prices of mangoes in Maharashtra APMC Markets was designed, utilizing only historical information about prices in the markets as the input data. The machine learning-based system was developed taking into account only the leakage-free constraints that ensure that all the metrics and features reflect the true picture of the knowledge available for the prediction.</w:t>
      </w:r>
    </w:p>
    <w:p w14:paraId="3794D1BB" w14:textId="77777777" w:rsidR="00975984" w:rsidRPr="00A1217C" w:rsidRDefault="00975984" w:rsidP="00975984">
      <w:pPr>
        <w:spacing w:after="120" w:line="360" w:lineRule="auto"/>
        <w:jc w:val="both"/>
        <w:rPr>
          <w:rFonts w:ascii="Times New Roman" w:hAnsi="Times New Roman" w:cs="Times New Roman"/>
        </w:rPr>
      </w:pPr>
      <w:r w:rsidRPr="00A1217C">
        <w:rPr>
          <w:rFonts w:ascii="Times New Roman" w:hAnsi="Times New Roman" w:cs="Times New Roman"/>
        </w:rPr>
        <w:t>Gradient Boosting Regressor showed the highest result with the R² value equal to 0.6668 on the chronological test set, and Hybrid ensemble also had good results in terms of performance, but more stable ones. The lowest MAE value was demonstrated by Persistence model that confirmed the high short-term predictability of the most recent price in the market. Seasonal Median had much lower performance compared to others.</w:t>
      </w:r>
    </w:p>
    <w:p w14:paraId="633EB64B" w14:textId="77777777" w:rsidR="00975984" w:rsidRPr="00A1217C" w:rsidRDefault="00975984" w:rsidP="00975984">
      <w:pPr>
        <w:spacing w:line="360" w:lineRule="auto"/>
        <w:jc w:val="both"/>
        <w:rPr>
          <w:rFonts w:ascii="Times New Roman" w:hAnsi="Times New Roman" w:cs="Times New Roman"/>
          <w:color w:val="000000" w:themeColor="text1"/>
        </w:rPr>
      </w:pPr>
      <w:r w:rsidRPr="00A1217C">
        <w:rPr>
          <w:rFonts w:ascii="Times New Roman" w:hAnsi="Times New Roman" w:cs="Times New Roman"/>
        </w:rPr>
        <w:t>The SHAP explainability results further show that recent price behaviour, especially rolling deviations, one-step price change, and the latest available price, carries much more predictive weight than static location labels.</w:t>
      </w:r>
    </w:p>
    <w:p w14:paraId="77E44065" w14:textId="77777777" w:rsidR="00975984" w:rsidRDefault="00975984" w:rsidP="00975984">
      <w:pPr>
        <w:spacing w:line="360" w:lineRule="auto"/>
        <w:jc w:val="both"/>
        <w:rPr>
          <w:rFonts w:ascii="Times New Roman" w:hAnsi="Times New Roman" w:cs="Times New Roman"/>
          <w:color w:val="000000" w:themeColor="text1"/>
        </w:rPr>
      </w:pPr>
      <w:r w:rsidRPr="00A1217C">
        <w:rPr>
          <w:rFonts w:ascii="Times New Roman" w:hAnsi="Times New Roman" w:cs="Times New Roman"/>
        </w:rPr>
        <w:t xml:space="preserve">The </w:t>
      </w:r>
      <w:proofErr w:type="spellStart"/>
      <w:r w:rsidRPr="00A1217C">
        <w:rPr>
          <w:rFonts w:ascii="Times New Roman" w:hAnsi="Times New Roman" w:cs="Times New Roman"/>
        </w:rPr>
        <w:t>Streamlit</w:t>
      </w:r>
      <w:proofErr w:type="spellEnd"/>
      <w:r w:rsidRPr="00A1217C">
        <w:rPr>
          <w:rFonts w:ascii="Times New Roman" w:hAnsi="Times New Roman" w:cs="Times New Roman"/>
        </w:rPr>
        <w:t xml:space="preserve"> interface extends the practical value of the study by allowing users to inspect market history, compare model outputs, view future scenarios, and interpret forecasts without working directly with the codebase</w:t>
      </w:r>
      <w:r>
        <w:rPr>
          <w:rFonts w:ascii="Times New Roman" w:hAnsi="Times New Roman" w:cs="Times New Roman"/>
        </w:rPr>
        <w:t>.</w:t>
      </w:r>
    </w:p>
    <w:p w14:paraId="0A876B24" w14:textId="77777777" w:rsidR="00975984" w:rsidRPr="00703635" w:rsidRDefault="00975984" w:rsidP="00975984">
      <w:pPr>
        <w:spacing w:line="360" w:lineRule="auto"/>
        <w:jc w:val="both"/>
        <w:rPr>
          <w:rFonts w:ascii="Times New Roman" w:hAnsi="Times New Roman" w:cs="Times New Roman"/>
          <w:color w:val="000000" w:themeColor="text1"/>
        </w:rPr>
      </w:pPr>
      <w:r w:rsidRPr="00703635">
        <w:rPr>
          <w:rFonts w:ascii="Times New Roman" w:hAnsi="Times New Roman" w:cs="Times New Roman"/>
          <w:color w:val="000000" w:themeColor="text1"/>
        </w:rPr>
        <w:t xml:space="preserve">The recently introduced LSTM/sequence benchmark test bolsters the research with evidence that the deep learning approach to sequence </w:t>
      </w:r>
      <w:proofErr w:type="spellStart"/>
      <w:r w:rsidRPr="00703635">
        <w:rPr>
          <w:rFonts w:ascii="Times New Roman" w:hAnsi="Times New Roman" w:cs="Times New Roman"/>
          <w:color w:val="000000" w:themeColor="text1"/>
        </w:rPr>
        <w:t>modeling</w:t>
      </w:r>
      <w:proofErr w:type="spellEnd"/>
      <w:r w:rsidRPr="00703635">
        <w:rPr>
          <w:rFonts w:ascii="Times New Roman" w:hAnsi="Times New Roman" w:cs="Times New Roman"/>
          <w:color w:val="000000" w:themeColor="text1"/>
        </w:rPr>
        <w:t xml:space="preserve"> was conducted in a fair manner within the eligible markets. The new experiment includes the R2-focused LSTM_Hybrid_R2 model, which positively affected the R2 measure in certain cases. Nashik grew its R2 from 0.875 to 0.885, </w:t>
      </w:r>
      <w:proofErr w:type="spellStart"/>
      <w:r w:rsidRPr="00703635">
        <w:rPr>
          <w:rFonts w:ascii="Times New Roman" w:hAnsi="Times New Roman" w:cs="Times New Roman"/>
          <w:color w:val="000000" w:themeColor="text1"/>
        </w:rPr>
        <w:t>Amarawati</w:t>
      </w:r>
      <w:proofErr w:type="spellEnd"/>
      <w:r w:rsidRPr="00703635">
        <w:rPr>
          <w:rFonts w:ascii="Times New Roman" w:hAnsi="Times New Roman" w:cs="Times New Roman"/>
          <w:color w:val="000000" w:themeColor="text1"/>
        </w:rPr>
        <w:t xml:space="preserve"> rose from R2 0.664 to 0.665, and Pune went from R2 0.073 to 0.137. But on the other hand, it appears that a higher R2 may be connected to a higher MAE value.</w:t>
      </w:r>
    </w:p>
    <w:p w14:paraId="0825EEB7" w14:textId="77777777" w:rsidR="00975984" w:rsidRDefault="00975984" w:rsidP="00975984">
      <w:pPr>
        <w:spacing w:before="80" w:after="120" w:line="360" w:lineRule="auto"/>
        <w:jc w:val="both"/>
        <w:rPr>
          <w:rFonts w:ascii="Times New Roman" w:hAnsi="Times New Roman" w:cs="Times New Roman"/>
          <w:color w:val="000000" w:themeColor="text1"/>
        </w:rPr>
      </w:pPr>
    </w:p>
    <w:p w14:paraId="3243A385" w14:textId="77777777" w:rsidR="00975984" w:rsidRDefault="00975984" w:rsidP="00975984">
      <w:pPr>
        <w:pStyle w:val="Heading2"/>
        <w:spacing w:line="360" w:lineRule="auto"/>
        <w:rPr>
          <w:rFonts w:ascii="Times New Roman" w:hAnsi="Times New Roman" w:cs="Times New Roman"/>
          <w:b w:val="0"/>
          <w:bCs w:val="0"/>
          <w:color w:val="000000" w:themeColor="text1"/>
          <w:sz w:val="24"/>
          <w:szCs w:val="24"/>
        </w:rPr>
      </w:pPr>
    </w:p>
    <w:p w14:paraId="67E4F244" w14:textId="77777777" w:rsidR="00975984" w:rsidRDefault="00975984" w:rsidP="00975984"/>
    <w:p w14:paraId="552F0972" w14:textId="77777777" w:rsidR="00975984" w:rsidRDefault="00975984" w:rsidP="00975984"/>
    <w:p w14:paraId="032EE9A8" w14:textId="77777777" w:rsidR="00975984" w:rsidRDefault="00975984" w:rsidP="00975984">
      <w:pPr>
        <w:pStyle w:val="Heading2"/>
        <w:spacing w:line="360" w:lineRule="auto"/>
        <w:rPr>
          <w:rFonts w:ascii="Times New Roman" w:hAnsi="Times New Roman" w:cs="Times New Roman"/>
          <w:color w:val="000000" w:themeColor="text1"/>
          <w:sz w:val="24"/>
          <w:szCs w:val="24"/>
        </w:rPr>
      </w:pPr>
    </w:p>
    <w:p w14:paraId="0F2DA737" w14:textId="77777777" w:rsidR="00975984" w:rsidRDefault="00975984" w:rsidP="00975984">
      <w:pPr>
        <w:pStyle w:val="Heading2"/>
        <w:spacing w:line="360" w:lineRule="auto"/>
        <w:rPr>
          <w:rFonts w:ascii="Times New Roman" w:hAnsi="Times New Roman" w:cs="Times New Roman"/>
          <w:color w:val="000000" w:themeColor="text1"/>
          <w:sz w:val="24"/>
          <w:szCs w:val="24"/>
        </w:rPr>
      </w:pPr>
    </w:p>
    <w:p w14:paraId="088A4617" w14:textId="39C6801D" w:rsidR="00975984" w:rsidRDefault="00975984" w:rsidP="00975984">
      <w:pPr>
        <w:pStyle w:val="Heading2"/>
        <w:spacing w:line="360" w:lineRule="auto"/>
        <w:rPr>
          <w:rFonts w:ascii="Times New Roman" w:hAnsi="Times New Roman" w:cs="Times New Roman"/>
          <w:b w:val="0"/>
          <w:bCs w:val="0"/>
          <w:color w:val="000000" w:themeColor="text1"/>
          <w:sz w:val="24"/>
          <w:szCs w:val="24"/>
        </w:rPr>
      </w:pPr>
      <w:r w:rsidRPr="00A1217C">
        <w:rPr>
          <w:rFonts w:ascii="Times New Roman" w:hAnsi="Times New Roman" w:cs="Times New Roman"/>
          <w:color w:val="000000" w:themeColor="text1"/>
          <w:sz w:val="24"/>
          <w:szCs w:val="24"/>
        </w:rPr>
        <w:lastRenderedPageBreak/>
        <w:t>5.2 Future Scope</w:t>
      </w:r>
    </w:p>
    <w:p w14:paraId="3BAF9482" w14:textId="77777777" w:rsidR="00975984" w:rsidRPr="0070666F" w:rsidRDefault="00975984" w:rsidP="00975984">
      <w:pPr>
        <w:spacing w:before="80" w:after="120" w:line="360" w:lineRule="auto"/>
        <w:jc w:val="both"/>
        <w:rPr>
          <w:rFonts w:ascii="Times New Roman" w:hAnsi="Times New Roman" w:cs="Times New Roman"/>
          <w:color w:val="000000" w:themeColor="text1"/>
        </w:rPr>
      </w:pPr>
      <w:r w:rsidRPr="0070666F">
        <w:rPr>
          <w:rFonts w:ascii="Times New Roman" w:hAnsi="Times New Roman" w:cs="Times New Roman"/>
          <w:color w:val="000000" w:themeColor="text1"/>
        </w:rPr>
        <w:t xml:space="preserve">Various avenues for future work can be proposed, in consideration of the limitations of this </w:t>
      </w:r>
      <w:proofErr w:type="spellStart"/>
      <w:proofErr w:type="gramStart"/>
      <w:r w:rsidRPr="0070666F">
        <w:rPr>
          <w:rFonts w:ascii="Times New Roman" w:hAnsi="Times New Roman" w:cs="Times New Roman"/>
          <w:color w:val="000000" w:themeColor="text1"/>
        </w:rPr>
        <w:t>paper.Perhaps</w:t>
      </w:r>
      <w:proofErr w:type="spellEnd"/>
      <w:proofErr w:type="gramEnd"/>
      <w:r w:rsidRPr="0070666F">
        <w:rPr>
          <w:rFonts w:ascii="Times New Roman" w:hAnsi="Times New Roman" w:cs="Times New Roman"/>
          <w:color w:val="000000" w:themeColor="text1"/>
        </w:rPr>
        <w:t xml:space="preserve"> the most promising avenue to pursue is that of including external variables. Information about weather patterns, rainfall statistics, crop production estimates, prices of alternative energy sources, and festival schedules can all serve as an indicator of changes in prices ahead of time that cannot be determined from market data alone. In particular, arrival information will be useful, because arrival quantities have a strong impact on price formation.</w:t>
      </w:r>
    </w:p>
    <w:p w14:paraId="59E102E3" w14:textId="77777777" w:rsidR="00975984" w:rsidRPr="0070666F" w:rsidRDefault="00975984" w:rsidP="00975984">
      <w:pPr>
        <w:spacing w:before="80" w:after="120" w:line="360" w:lineRule="auto"/>
        <w:jc w:val="both"/>
        <w:rPr>
          <w:rFonts w:ascii="Times New Roman" w:hAnsi="Times New Roman" w:cs="Times New Roman"/>
          <w:color w:val="000000" w:themeColor="text1"/>
        </w:rPr>
      </w:pPr>
      <w:r w:rsidRPr="0070666F">
        <w:rPr>
          <w:rFonts w:ascii="Times New Roman" w:hAnsi="Times New Roman" w:cs="Times New Roman"/>
          <w:color w:val="000000" w:themeColor="text1"/>
        </w:rPr>
        <w:t>While the current model focuses on Maharashtra, a wider range of markets in other important producers of mango fruit such as Andhra Pradesh, Uttar Pradesh, and Gujarat can significantly expand the scope of the price prediction system.</w:t>
      </w:r>
    </w:p>
    <w:p w14:paraId="28389921" w14:textId="77777777" w:rsidR="00975984" w:rsidRPr="0070666F" w:rsidRDefault="00975984" w:rsidP="00975984">
      <w:pPr>
        <w:spacing w:before="80" w:after="120" w:line="360" w:lineRule="auto"/>
        <w:jc w:val="both"/>
        <w:rPr>
          <w:rFonts w:ascii="Times New Roman" w:hAnsi="Times New Roman" w:cs="Times New Roman"/>
          <w:color w:val="000000" w:themeColor="text1"/>
        </w:rPr>
      </w:pPr>
      <w:r w:rsidRPr="0070666F">
        <w:rPr>
          <w:rFonts w:ascii="Times New Roman" w:hAnsi="Times New Roman" w:cs="Times New Roman"/>
          <w:color w:val="000000" w:themeColor="text1"/>
        </w:rPr>
        <w:t>In terms of the models themselves, Transformer-based architectures and Temporal Fusion Transformers (TFT) can be explored as alternatives to the current tree-based models.</w:t>
      </w:r>
    </w:p>
    <w:p w14:paraId="1E575896" w14:textId="77777777" w:rsidR="00975984" w:rsidRPr="0070666F" w:rsidRDefault="00975984" w:rsidP="00975984">
      <w:pPr>
        <w:spacing w:line="360" w:lineRule="auto"/>
        <w:jc w:val="both"/>
        <w:rPr>
          <w:rFonts w:ascii="Times New Roman" w:hAnsi="Times New Roman" w:cs="Times New Roman"/>
        </w:rPr>
      </w:pPr>
      <w:r w:rsidRPr="0070666F">
        <w:rPr>
          <w:rFonts w:ascii="Times New Roman" w:hAnsi="Times New Roman" w:cs="Times New Roman"/>
        </w:rPr>
        <w:t>Future work can also extend the sequence-learning experiment by using a fully configured deep-learning runtime, longer time coverage, and richer exogenous variables such as weather, variety, festival demand, and transport conditions. These additions may improve the stability of LSTM-based models in markets where the current dataset was too sparse or irregular.</w:t>
      </w:r>
    </w:p>
    <w:p w14:paraId="17EE44EB" w14:textId="77777777" w:rsidR="00975984" w:rsidRPr="0070666F" w:rsidRDefault="00975984" w:rsidP="00975984">
      <w:pPr>
        <w:spacing w:before="80" w:after="120" w:line="360" w:lineRule="auto"/>
        <w:jc w:val="both"/>
        <w:rPr>
          <w:rFonts w:ascii="Times New Roman" w:hAnsi="Times New Roman" w:cs="Times New Roman"/>
          <w:color w:val="000000" w:themeColor="text1"/>
        </w:rPr>
      </w:pPr>
      <w:r w:rsidRPr="0070666F">
        <w:rPr>
          <w:rFonts w:ascii="Times New Roman" w:hAnsi="Times New Roman" w:cs="Times New Roman"/>
          <w:color w:val="000000" w:themeColor="text1"/>
        </w:rPr>
        <w:t>Currently, a new forecast is created every time the pipeline is run with new data. This process can be automated using live APMC data feeds and daily updates of the pipeline.</w:t>
      </w:r>
    </w:p>
    <w:p w14:paraId="2AD6975B" w14:textId="77777777" w:rsidR="00975984" w:rsidRPr="0070666F" w:rsidRDefault="00975984" w:rsidP="00975984">
      <w:pPr>
        <w:spacing w:before="80" w:after="120" w:line="360" w:lineRule="auto"/>
        <w:jc w:val="both"/>
        <w:rPr>
          <w:rFonts w:ascii="Times New Roman" w:hAnsi="Times New Roman" w:cs="Times New Roman"/>
          <w:color w:val="000000" w:themeColor="text1"/>
        </w:rPr>
      </w:pPr>
      <w:r w:rsidRPr="0070666F">
        <w:rPr>
          <w:rFonts w:ascii="Times New Roman" w:hAnsi="Times New Roman" w:cs="Times New Roman"/>
          <w:color w:val="000000" w:themeColor="text1"/>
        </w:rPr>
        <w:t xml:space="preserve">Other improvements that could be made to the </w:t>
      </w:r>
      <w:proofErr w:type="spellStart"/>
      <w:r w:rsidRPr="0070666F">
        <w:rPr>
          <w:rFonts w:ascii="Times New Roman" w:hAnsi="Times New Roman" w:cs="Times New Roman"/>
          <w:color w:val="000000" w:themeColor="text1"/>
        </w:rPr>
        <w:t>Streamlit</w:t>
      </w:r>
      <w:proofErr w:type="spellEnd"/>
      <w:r w:rsidRPr="0070666F">
        <w:rPr>
          <w:rFonts w:ascii="Times New Roman" w:hAnsi="Times New Roman" w:cs="Times New Roman"/>
          <w:color w:val="000000" w:themeColor="text1"/>
        </w:rPr>
        <w:t xml:space="preserve"> dashboard include mobile-responsive designs, multi-language support for local languages, PDF reports, and configurable forecast periods by users. This will allow the dashboard to be accessible to farmers and traders who might use the dashboard from their mobile devices and prefer Marathi or Hindi over English.</w:t>
      </w:r>
    </w:p>
    <w:p w14:paraId="05794971" w14:textId="77777777" w:rsidR="00975984" w:rsidRPr="0070666F" w:rsidRDefault="00975984" w:rsidP="00975984">
      <w:pPr>
        <w:spacing w:before="80" w:after="120" w:line="360" w:lineRule="auto"/>
        <w:jc w:val="both"/>
        <w:rPr>
          <w:rFonts w:ascii="Times New Roman" w:hAnsi="Times New Roman" w:cs="Times New Roman"/>
        </w:rPr>
      </w:pPr>
      <w:r w:rsidRPr="0070666F">
        <w:rPr>
          <w:rFonts w:ascii="Times New Roman" w:hAnsi="Times New Roman" w:cs="Times New Roman"/>
        </w:rPr>
        <w:t xml:space="preserve">Finally, the findings of the ablation study indicate that location-based features may contribute to noise in the current </w:t>
      </w:r>
      <w:proofErr w:type="spellStart"/>
      <w:r w:rsidRPr="0070666F">
        <w:rPr>
          <w:rFonts w:ascii="Times New Roman" w:hAnsi="Times New Roman" w:cs="Times New Roman"/>
        </w:rPr>
        <w:t>XGBoost</w:t>
      </w:r>
      <w:proofErr w:type="spellEnd"/>
      <w:r w:rsidRPr="0070666F">
        <w:rPr>
          <w:rFonts w:ascii="Times New Roman" w:hAnsi="Times New Roman" w:cs="Times New Roman"/>
        </w:rPr>
        <w:t xml:space="preserve"> model setup. Research into ways to include market-based information and the effects of such information inclusion could yield benefits in the generalisation of the model in other markets with little historical data.</w:t>
      </w:r>
    </w:p>
    <w:p w14:paraId="19031D30" w14:textId="77777777" w:rsidR="00975984" w:rsidRPr="0070666F" w:rsidRDefault="00975984" w:rsidP="00975984">
      <w:pPr>
        <w:spacing w:line="360" w:lineRule="auto"/>
        <w:jc w:val="both"/>
        <w:rPr>
          <w:rFonts w:ascii="Times New Roman" w:hAnsi="Times New Roman" w:cs="Times New Roman"/>
        </w:rPr>
      </w:pPr>
    </w:p>
    <w:p w14:paraId="6FF10755" w14:textId="77777777" w:rsidR="00975984" w:rsidRPr="00975984" w:rsidRDefault="00975984" w:rsidP="00975984">
      <w:pPr>
        <w:spacing w:after="280" w:line="360" w:lineRule="auto"/>
        <w:jc w:val="both"/>
        <w:rPr>
          <w:rFonts w:ascii="Times New Roman" w:hAnsi="Times New Roman" w:cs="Times New Roman"/>
        </w:rPr>
      </w:pPr>
    </w:p>
    <w:sectPr w:rsidR="00975984" w:rsidRPr="00975984">
      <w:footerReference w:type="default" r:id="rId2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84DB8" w14:textId="77777777" w:rsidR="002220F6" w:rsidRDefault="002220F6" w:rsidP="00423046">
      <w:r>
        <w:separator/>
      </w:r>
    </w:p>
  </w:endnote>
  <w:endnote w:type="continuationSeparator" w:id="0">
    <w:p w14:paraId="52E79700" w14:textId="77777777" w:rsidR="002220F6" w:rsidRDefault="002220F6" w:rsidP="00423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659857"/>
      <w:docPartObj>
        <w:docPartGallery w:val="Page Numbers (Bottom of Page)"/>
        <w:docPartUnique/>
      </w:docPartObj>
    </w:sdtPr>
    <w:sdtEndPr>
      <w:rPr>
        <w:noProof/>
      </w:rPr>
    </w:sdtEndPr>
    <w:sdtContent>
      <w:p w14:paraId="7E1AC5C1" w14:textId="77777777" w:rsidR="00423046" w:rsidRDefault="004230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218AE0" w14:textId="77777777" w:rsidR="00423046" w:rsidRDefault="00423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79482" w14:textId="77777777" w:rsidR="002220F6" w:rsidRDefault="002220F6" w:rsidP="00423046">
      <w:r>
        <w:separator/>
      </w:r>
    </w:p>
  </w:footnote>
  <w:footnote w:type="continuationSeparator" w:id="0">
    <w:p w14:paraId="5C11C7CC" w14:textId="77777777" w:rsidR="002220F6" w:rsidRDefault="002220F6" w:rsidP="004230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2111C4"/>
    <w:multiLevelType w:val="hybridMultilevel"/>
    <w:tmpl w:val="7FDA49AE"/>
    <w:lvl w:ilvl="0" w:tplc="0AF6FD1E">
      <w:start w:val="1"/>
      <w:numFmt w:val="bullet"/>
      <w:lvlText w:val="●"/>
      <w:lvlJc w:val="left"/>
      <w:pPr>
        <w:ind w:left="720" w:hanging="360"/>
      </w:pPr>
    </w:lvl>
    <w:lvl w:ilvl="1" w:tplc="35767A8C">
      <w:start w:val="1"/>
      <w:numFmt w:val="bullet"/>
      <w:lvlText w:val="○"/>
      <w:lvlJc w:val="left"/>
      <w:pPr>
        <w:ind w:left="1440" w:hanging="360"/>
      </w:pPr>
    </w:lvl>
    <w:lvl w:ilvl="2" w:tplc="F350C3D0">
      <w:start w:val="1"/>
      <w:numFmt w:val="bullet"/>
      <w:lvlText w:val="■"/>
      <w:lvlJc w:val="left"/>
      <w:pPr>
        <w:ind w:left="2160" w:hanging="360"/>
      </w:pPr>
    </w:lvl>
    <w:lvl w:ilvl="3" w:tplc="AEFC8F0C">
      <w:start w:val="1"/>
      <w:numFmt w:val="bullet"/>
      <w:lvlText w:val="●"/>
      <w:lvlJc w:val="left"/>
      <w:pPr>
        <w:ind w:left="2880" w:hanging="360"/>
      </w:pPr>
    </w:lvl>
    <w:lvl w:ilvl="4" w:tplc="4388431C">
      <w:start w:val="1"/>
      <w:numFmt w:val="bullet"/>
      <w:lvlText w:val="○"/>
      <w:lvlJc w:val="left"/>
      <w:pPr>
        <w:ind w:left="3600" w:hanging="360"/>
      </w:pPr>
    </w:lvl>
    <w:lvl w:ilvl="5" w:tplc="D93C7080">
      <w:start w:val="1"/>
      <w:numFmt w:val="bullet"/>
      <w:lvlText w:val="■"/>
      <w:lvlJc w:val="left"/>
      <w:pPr>
        <w:ind w:left="4320" w:hanging="360"/>
      </w:pPr>
    </w:lvl>
    <w:lvl w:ilvl="6" w:tplc="65225F86">
      <w:start w:val="1"/>
      <w:numFmt w:val="bullet"/>
      <w:lvlText w:val="●"/>
      <w:lvlJc w:val="left"/>
      <w:pPr>
        <w:ind w:left="5040" w:hanging="360"/>
      </w:pPr>
    </w:lvl>
    <w:lvl w:ilvl="7" w:tplc="1236E200">
      <w:start w:val="1"/>
      <w:numFmt w:val="bullet"/>
      <w:lvlText w:val="●"/>
      <w:lvlJc w:val="left"/>
      <w:pPr>
        <w:ind w:left="5760" w:hanging="360"/>
      </w:pPr>
    </w:lvl>
    <w:lvl w:ilvl="8" w:tplc="A770258E">
      <w:start w:val="1"/>
      <w:numFmt w:val="bullet"/>
      <w:lvlText w:val="●"/>
      <w:lvlJc w:val="left"/>
      <w:pPr>
        <w:ind w:left="6480" w:hanging="360"/>
      </w:pPr>
    </w:lvl>
  </w:abstractNum>
  <w:abstractNum w:abstractNumId="1" w15:restartNumberingAfterBreak="0">
    <w:nsid w:val="7ACC2C98"/>
    <w:multiLevelType w:val="hybridMultilevel"/>
    <w:tmpl w:val="0C4E56F0"/>
    <w:lvl w:ilvl="0" w:tplc="A404AC6E">
      <w:start w:val="1"/>
      <w:numFmt w:val="bullet"/>
      <w:lvlText w:val="•"/>
      <w:lvlJc w:val="left"/>
      <w:pPr>
        <w:ind w:left="720" w:hanging="360"/>
      </w:pPr>
    </w:lvl>
    <w:lvl w:ilvl="1" w:tplc="8F9A7376">
      <w:numFmt w:val="decimal"/>
      <w:lvlText w:val=""/>
      <w:lvlJc w:val="left"/>
    </w:lvl>
    <w:lvl w:ilvl="2" w:tplc="EC30A8B2">
      <w:numFmt w:val="decimal"/>
      <w:lvlText w:val=""/>
      <w:lvlJc w:val="left"/>
    </w:lvl>
    <w:lvl w:ilvl="3" w:tplc="45BEEC64">
      <w:numFmt w:val="decimal"/>
      <w:lvlText w:val=""/>
      <w:lvlJc w:val="left"/>
    </w:lvl>
    <w:lvl w:ilvl="4" w:tplc="59F23506">
      <w:numFmt w:val="decimal"/>
      <w:lvlText w:val=""/>
      <w:lvlJc w:val="left"/>
    </w:lvl>
    <w:lvl w:ilvl="5" w:tplc="A3EC13F0">
      <w:numFmt w:val="decimal"/>
      <w:lvlText w:val=""/>
      <w:lvlJc w:val="left"/>
    </w:lvl>
    <w:lvl w:ilvl="6" w:tplc="327E7EE0">
      <w:numFmt w:val="decimal"/>
      <w:lvlText w:val=""/>
      <w:lvlJc w:val="left"/>
    </w:lvl>
    <w:lvl w:ilvl="7" w:tplc="E70C75BC">
      <w:numFmt w:val="decimal"/>
      <w:lvlText w:val=""/>
      <w:lvlJc w:val="left"/>
    </w:lvl>
    <w:lvl w:ilvl="8" w:tplc="4DB81CDC">
      <w:numFmt w:val="decimal"/>
      <w:lvlText w:val=""/>
      <w:lvlJc w:val="left"/>
    </w:lvl>
  </w:abstractNum>
  <w:num w:numId="1" w16cid:durableId="141699939">
    <w:abstractNumId w:val="0"/>
    <w:lvlOverride w:ilvl="0">
      <w:startOverride w:val="1"/>
    </w:lvlOverride>
  </w:num>
  <w:num w:numId="2" w16cid:durableId="65727139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61"/>
    <w:rsid w:val="000D104C"/>
    <w:rsid w:val="00183441"/>
    <w:rsid w:val="001C385F"/>
    <w:rsid w:val="001C5856"/>
    <w:rsid w:val="002220F6"/>
    <w:rsid w:val="00320196"/>
    <w:rsid w:val="00385DFD"/>
    <w:rsid w:val="00423046"/>
    <w:rsid w:val="00431201"/>
    <w:rsid w:val="00457C71"/>
    <w:rsid w:val="004A309A"/>
    <w:rsid w:val="004A3A18"/>
    <w:rsid w:val="004B4239"/>
    <w:rsid w:val="00543829"/>
    <w:rsid w:val="00567F66"/>
    <w:rsid w:val="005A0582"/>
    <w:rsid w:val="005A06A3"/>
    <w:rsid w:val="005A0ACA"/>
    <w:rsid w:val="006262E1"/>
    <w:rsid w:val="00663304"/>
    <w:rsid w:val="00701B58"/>
    <w:rsid w:val="007119FC"/>
    <w:rsid w:val="00752076"/>
    <w:rsid w:val="007610AA"/>
    <w:rsid w:val="00796D8D"/>
    <w:rsid w:val="007A6869"/>
    <w:rsid w:val="007C4864"/>
    <w:rsid w:val="00834DB4"/>
    <w:rsid w:val="008B1F52"/>
    <w:rsid w:val="008E55FA"/>
    <w:rsid w:val="008F0917"/>
    <w:rsid w:val="008F5A06"/>
    <w:rsid w:val="009144C7"/>
    <w:rsid w:val="009613A6"/>
    <w:rsid w:val="0096512F"/>
    <w:rsid w:val="00975984"/>
    <w:rsid w:val="00992063"/>
    <w:rsid w:val="009B6CB7"/>
    <w:rsid w:val="009C2589"/>
    <w:rsid w:val="00A23006"/>
    <w:rsid w:val="00A32825"/>
    <w:rsid w:val="00A9158B"/>
    <w:rsid w:val="00A94096"/>
    <w:rsid w:val="00A95563"/>
    <w:rsid w:val="00AD253D"/>
    <w:rsid w:val="00B07A5C"/>
    <w:rsid w:val="00B625BE"/>
    <w:rsid w:val="00C34C2F"/>
    <w:rsid w:val="00C3520D"/>
    <w:rsid w:val="00C6049E"/>
    <w:rsid w:val="00C74161"/>
    <w:rsid w:val="00CA5DC2"/>
    <w:rsid w:val="00CC7025"/>
    <w:rsid w:val="00D66961"/>
    <w:rsid w:val="00D71C05"/>
    <w:rsid w:val="00DB649E"/>
    <w:rsid w:val="00DC4F85"/>
    <w:rsid w:val="00DD1CF9"/>
    <w:rsid w:val="00DD5186"/>
    <w:rsid w:val="00DE3235"/>
    <w:rsid w:val="00DF13B2"/>
    <w:rsid w:val="00E2606C"/>
    <w:rsid w:val="00E8671C"/>
    <w:rsid w:val="00EE12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53A5A"/>
  <w15:docId w15:val="{5791CD44-2A11-4819-986E-46519C8E2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20"/>
      <w:outlineLvl w:val="0"/>
    </w:pPr>
    <w:rPr>
      <w:b/>
      <w:bCs/>
      <w:color w:val="1F3864"/>
      <w:sz w:val="32"/>
      <w:szCs w:val="32"/>
    </w:rPr>
  </w:style>
  <w:style w:type="paragraph" w:styleId="Heading2">
    <w:name w:val="heading 2"/>
    <w:uiPriority w:val="9"/>
    <w:unhideWhenUsed/>
    <w:qFormat/>
    <w:pPr>
      <w:spacing w:before="240" w:after="100"/>
      <w:outlineLvl w:val="1"/>
    </w:pPr>
    <w:rPr>
      <w:b/>
      <w:bCs/>
      <w:color w:val="2E5496"/>
      <w:sz w:val="28"/>
      <w:szCs w:val="28"/>
    </w:rPr>
  </w:style>
  <w:style w:type="paragraph" w:styleId="Heading3">
    <w:name w:val="heading 3"/>
    <w:uiPriority w:val="9"/>
    <w:unhideWhenUsed/>
    <w:qFormat/>
    <w:pPr>
      <w:spacing w:before="200" w:after="80"/>
      <w:outlineLvl w:val="2"/>
    </w:pPr>
    <w:rPr>
      <w:b/>
      <w:bCs/>
      <w:color w:val="333333"/>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GridTable1Light-Accent3">
    <w:name w:val="Grid Table 1 Light Accent 3"/>
    <w:basedOn w:val="TableNormal"/>
    <w:uiPriority w:val="46"/>
    <w:rsid w:val="008F0917"/>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8F091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423046"/>
    <w:pPr>
      <w:tabs>
        <w:tab w:val="center" w:pos="4513"/>
        <w:tab w:val="right" w:pos="9026"/>
      </w:tabs>
    </w:pPr>
  </w:style>
  <w:style w:type="character" w:customStyle="1" w:styleId="HeaderChar">
    <w:name w:val="Header Char"/>
    <w:basedOn w:val="DefaultParagraphFont"/>
    <w:link w:val="Header"/>
    <w:uiPriority w:val="99"/>
    <w:rsid w:val="00423046"/>
  </w:style>
  <w:style w:type="paragraph" w:styleId="Footer">
    <w:name w:val="footer"/>
    <w:basedOn w:val="Normal"/>
    <w:link w:val="FooterChar"/>
    <w:uiPriority w:val="99"/>
    <w:unhideWhenUsed/>
    <w:rsid w:val="00423046"/>
    <w:pPr>
      <w:tabs>
        <w:tab w:val="center" w:pos="4513"/>
        <w:tab w:val="right" w:pos="9026"/>
      </w:tabs>
    </w:pPr>
  </w:style>
  <w:style w:type="character" w:customStyle="1" w:styleId="FooterChar">
    <w:name w:val="Footer Char"/>
    <w:basedOn w:val="DefaultParagraphFont"/>
    <w:link w:val="Footer"/>
    <w:uiPriority w:val="99"/>
    <w:rsid w:val="00423046"/>
  </w:style>
  <w:style w:type="table" w:styleId="TableGrid">
    <w:name w:val="Table Grid"/>
    <w:basedOn w:val="TableNormal"/>
    <w:uiPriority w:val="39"/>
    <w:qFormat/>
    <w:rsid w:val="00975984"/>
    <w:rPr>
      <w:rFonts w:asciiTheme="minorHAnsi" w:eastAsiaTheme="minorHAnsi" w:hAnsiTheme="minorHAnsi" w:cstheme="minorBidi"/>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1DD80-C82B-4C46-A32B-46F4A55E4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38</Pages>
  <Words>8650</Words>
  <Characters>49308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Shalvi Pande</cp:lastModifiedBy>
  <cp:revision>6</cp:revision>
  <cp:lastPrinted>2026-07-01T05:00:00Z</cp:lastPrinted>
  <dcterms:created xsi:type="dcterms:W3CDTF">2026-07-01T05:03:00Z</dcterms:created>
  <dcterms:modified xsi:type="dcterms:W3CDTF">2026-07-07T10:17:00Z</dcterms:modified>
</cp:coreProperties>
</file>