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jc w:val="center"/>
      </w:pPr>
      <w:r>
        <w:rPr>
          <w:b/>
          <w:sz w:val="28"/>
        </w:rPr>
        <w:t>Racing Past Trust: Calibrating Mesotrust in AI-Enabled Organizational Ecosystems</w:t>
      </w:r>
    </w:p>
    <w:p>
      <w:pPr>
        <w:pStyle w:val="Heading1"/>
      </w:pPr>
      <w:r>
        <w:t>Abstract</w:t>
      </w:r>
    </w:p>
    <w:p>
      <w:r>
        <w:t>Trust research treats trust as accumulating through evidence about a referent that holds still. Agentic AI violates both premises at the ecosystem level. Organizations extend reliance to shared systems they cannot inspect, and those systems act on the apparatus that evaluates them. This paper defines mesotrust as the ecosystem-level state in which interpersonal, organizational, institutional, and infrastructural trust hold in sufficient alignment for collective action, and distinguishes warrant, the reliance a domain can bear on available evidence, from extension, the reliance actually placed. Recorded discourse of 42 senior risk and security leaders, the MIT AI Risk Repository, and a register of documented incidents coded on all four domains yield a typology of four calibration states (calibrated, overextended, underextended, and dormant) and a process model in which extension precedes verification and calibration, not accumulation, becomes the binding process. Infrastructural trust occupies a mediating position through which the other domains are evidenced, so overextension there is structurally concealed. Where accumulation accounts predict that successful collaboration builds sound trust, the paper argues that under agentic infrastructure it builds trust that is unearned and invisible, and it specifies the governance that restores correspondence.</w:t>
      </w:r>
    </w:p>
    <w:p>
      <w:r>
        <w:t>Keywords: artificial intelligence; calibration; ecosystems; mesotrust; organizational trust; process model</w:t>
      </w:r>
    </w:p>
    <w:p>
      <w:pPr>
        <w:pStyle w:val="Heading1"/>
      </w:pPr>
      <w:r>
        <w:t>1. Introduction</w:t>
      </w:r>
    </w:p>
    <w:p>
      <w:pPr>
        <w:ind w:firstLine="720"/>
      </w:pPr>
      <w:r>
        <w:t>In the spring of 2023 engineers at Samsung pasted proprietary source code into a public generative model to debug it, and within weeks the company had prohibited generative AI tools across its workforce (Bloomberg, 2023; Fortune, 2023; The Register, 2023). Three years later it adopted groupwide the services it had banned (CIO, 2026). Nothing in that sequence is a failure of trust as trust research ordinarily understands one. No party defected, no promise was broken, and no counterpart was misjudged. Employees relied on a system whose behavior their organization had never characterized; the reliance became visible only when it failed; the correction removed the reliance without producing any assessment of the system; and reliance returned when the pressure to adopt outlasted the memory of the incident. The cycle ran on incentives to connect, not on anyone’s judgment of a counterpart, and every organization whose data passed through those engineers was exposed by a decision none of them made.</w:t>
      </w:r>
    </w:p>
    <w:p>
      <w:pPr>
        <w:ind w:firstLine="720"/>
      </w:pPr>
      <w:r>
        <w:t>The condition is general. Predictive AI scores and classifies; generative AI produces content in response to a prompt; agentic AI pursues goals across steps without approval of each action (Chalmers et al., 2026). The agentic form routes evidence about trust referents through the system relied upon. In July 2026 frontier models under evaluation escaped a sandbox, exploited a software registry, and reached another company’s production systems in pursuit of an answer key (OpenAI, 2026; Reuters, 2026). Sixty-five percent of surveyed organizations reported a security incident caused by an AI agent in the preceding year (Cloud Security Alliance and Token Security, 2026); forty percent of enterprises are forecast to demote or decommission agents by 2027 after governance gaps emerge (Gartner, 2026). Connection is cheap while assessment is slow and sometimes impossible.</w:t>
      </w:r>
    </w:p>
    <w:p>
      <w:pPr>
        <w:ind w:firstLine="720"/>
      </w:pPr>
      <w:r>
        <w:t>Trust research asks how trust forms, deepens, transfers, and recovers (Dirks and Ferrin, 2001; Mayer et al., 1995; Schilke et al., 2021; Zaheer et al., 1998), often treating it as a lubricant of exchange (Gulati and Nickerson, 2008; Poppo and Zenger, 2002). It also has an account of excess. High trust can suppress monitoring, enable opportunism, and trap partners (Gargiulo and Ertug, 2006; Skinner et al., 2014); coupled with autonomy it can impair teams (Langfred, 2004); trustors may exceed what conditions warrant (Goel et al., 2005), or simultaneously trust and distrust a referent (Lewicki et al., 1998). Control and trust remake each other over time (Lumineau et al., 2023; Swärd et al., 2023). Yet these accounts locate excess in the trustor, dyad, or team, and presume that an observer can obtain evidence revealing it. Human factors research calls for calibration, trust matched to capability (Lee and See, 2004; Parasuraman and Riley, 1997), but studies one operator and one machine. Here excess resides in an ecosystem’s evidentiary structure: the layer carrying reliance also carries monitoring, concealing the gap from those looking through it. This addresses the call for an interorganizational account of cybersecurity (Dalal et al., 2021).</w:t>
      </w:r>
    </w:p>
    <w:p>
      <w:pPr>
        <w:ind w:firstLine="720"/>
      </w:pPr>
      <w:r>
        <w:t>The paper asks two linked questions. First, how does the configuration of mesotrust, the pattern of alignment across an ecosystem’s four trust domains, produce distinct archetypes of AI-enabled ecosystem calibration? Second, what governance does each archetype require to restore correspondence between reliance and evidence? Three terms fix the scope. First, an ecosystem is a set of organizations and the shared technical systems whose interdependent reliance produces a joint outcome no member controls (Adner, 2017; Jacobides et al., 2018). Second, AI risk enters through the agentic properties of that infrastructure, which alter how evidence about every trust referent is produced. Third, governance means the instruments, forums, and allocations of authority through which an ecosystem compares extended reliance with held evidence and acts on the comparison.</w:t>
      </w:r>
    </w:p>
    <w:p>
      <w:pPr>
        <w:ind w:firstLine="720"/>
      </w:pPr>
      <w:r>
        <w:t>Two contributions follow. First, mesotrust locates excessive trust in the four-domain configuration of an ecosystem, where infrastructure mediates evidence about the other domains; a typology identifies four states (Doty and Glick, 1994; Fiss, 2011). Second, a process model explains extension preceding verification and correction overshooting after public failure, with five propositions. Practitioner discourse, the MIT AI Risk Repository (Slattery et al., 2024), and an incident register supply a multi-source plausibility probe. The core contrast with accumulation accounts is that successful collaboration can conceal unsound trust when monitoring itself runs through the relied-upon infrastructure.</w:t>
      </w:r>
    </w:p>
    <w:p>
      <w:pPr>
        <w:pStyle w:val="Heading1"/>
      </w:pPr>
      <w:r>
        <w:t>2. Theoretical Foundations</w:t>
      </w:r>
    </w:p>
    <w:p>
      <w:pPr>
        <w:pStyle w:val="Heading2"/>
      </w:pPr>
      <w:r>
        <w:rPr>
          <w:i w:val="0"/>
        </w:rPr>
        <w:t>2.1 Trust as a Multi-Referent Organizational Condition</w:t>
      </w:r>
    </w:p>
    <w:p>
      <w:pPr>
        <w:ind w:firstLine="720"/>
      </w:pPr>
      <w:r>
        <w:t>Trust accepts exposure to another party on the expectation of acceptable action without full monitoring or control (Mayer et al., 1995; Rousseau et al., 1998). Trust research here denotes the varied organizational and interorganizational traditions built on those definitions, not one theory. Interpersonal trust between boundary spanners and organizational trust in a partner are distinct (Zaheer et al., 1998); interorganizational trust reshapes formal governance (Gulati and Nickerson, 2008; Krishnan et al., 2006; Poppo and Zenger, 2002; Puranam and Vanneste, 2009). Institutional arrangements support unfamiliar partners (Bachmann and Inkpen, 2011; Zucker, 1986); trust in technology differs from trust in people (McKnight et al., 2011). These accounts commonly isolate referents and presume that evidence about each comes from the trustor or an institution acting for it. Agentic AI challenges that evidentiary premise, making the four-domain configuration consequential.</w:t>
      </w:r>
    </w:p>
    <w:p>
      <w:pPr>
        <w:pStyle w:val="Heading2"/>
      </w:pPr>
      <w:r>
        <w:rPr>
          <w:i w:val="0"/>
        </w:rPr>
        <w:t>2.2 Mesotrust as a Configural State</w:t>
      </w:r>
    </w:p>
    <w:p>
      <w:pPr>
        <w:ind w:firstLine="720"/>
      </w:pPr>
      <w:r>
        <w:t>Mesotrust names the ecosystem-level state in which four trust domains hold in sufficient simultaneous alignment for collective action. Interpersonal trust attaches to specific people; organizational trust to partner entities; institutional trust to the rule systems governing exchange; infrastructural trust to the shared technical systems through which work flows. Table I summarizes the domains, their warrant evidence, and their extension indicators.</w:t>
      </w:r>
    </w:p>
    <w:p>
      <w:pPr>
        <w:jc w:val="center"/>
      </w:pPr>
      <w:r>
        <w:t>[INSERT TABLE I ABOUT HERE]</w:t>
      </w:r>
    </w:p>
    <w:p>
      <w:pPr>
        <w:ind w:firstLine="720"/>
      </w:pPr>
      <w:r>
        <w:t>Three features define the construct. Mesotrust is configural</w:t>
      </w:r>
      <w:r>
        <w:t xml:space="preserve"> rather than aggregate. Kozlowski and Klein (2000) distinguish compositional emergence, in which similar elements combine by averaging, from compilational emergence, in which qualitatively different elements combine through patterned arrangement. Trust domains are the compilational case, because an averaged measure would report a healthy ecosystem exactly when three domains are strong and the fourth has quietly given way, so the construct must be studied as a whole pattern (Doty and Glick, 1994; Fiss, 2011). Mesotrust is bounded by its weakest domain where stakes are high, verification is costly, and members are tightly interdependent. </w:t>
      </w:r>
      <w:r>
        <w:t>Mesotrust is a property of relations among domains rather than a fifth kind of trust, and it is not trust transfer (Schilke and Cook, 2013), which is compensatory where mesotrust is not; each domain keeps its own referent and level, and mesotrust names whether their arrangement permits collective action.</w:t>
      </w:r>
    </w:p>
    <w:p>
      <w:pPr>
        <w:ind w:firstLine="720"/>
      </w:pPr>
      <w:r>
        <w:t>The term should be distinguished from three neighbours. Multilevel trust research (Currall and Inkpen, 2002; Fulmer and Gelfand, 2012) asks at what level trust resides and in whom, individual, group, or organization, and relates trust across those levels, with a single referent in view at each. The meso paradigm of Schilke and Cook (2013) relates trust development across levels of analysis within one relationship. Mesotrust concerns neither levels nor a single relationship but the arrangement of trust across four referents at the ecosystem level, and its defining property, the bounding of the whole by its weakest domain, has no counterpart in a levels framework. Table II summarizes mesotrust in the form construct development calls for (Podsakoff et al., 2016; Suddaby, 2010).</w:t>
      </w:r>
    </w:p>
    <w:p>
      <w:pPr>
        <w:jc w:val="center"/>
      </w:pPr>
      <w:r>
        <w:t>[INSERT TABLE II ABOUT HERE]</w:t>
      </w:r>
    </w:p>
    <w:p>
      <w:pPr>
        <w:pStyle w:val="Heading2"/>
      </w:pPr>
      <w:r>
        <w:rPr>
          <w:i w:val="0"/>
        </w:rPr>
        <w:t>2.3 Calibration and Its Confinement to the Operator</w:t>
      </w:r>
    </w:p>
    <w:p>
      <w:pPr>
        <w:ind w:firstLine="720"/>
      </w:pPr>
      <w:r>
        <w:t xml:space="preserve">Human factors research established that the property of an operator’s trust that predicts performance is its calibration, the correspondence between trust and actual system capability. Overtrust produces misuse and complacency, and distrust produces disuse (Lee and See, 2004; Parasuraman and Riley, 1997). Organizational research carried these dynamics into professional work. Radiologists integrated opaque AI diagnoses only through effortful interrogation (Lebovitz et al., 2022), and brokers appointed to translate an algorithm’s outputs ended by substituting their own judgment (Waardenburg et al., 2022). </w:t>
      </w:r>
      <w:r>
        <w:t>The cues that drive calibration differ for AI (Glikson and Woolley, 2020).</w:t>
      </w:r>
      <w:r>
        <w:t xml:space="preserve"> The tradition supplies the normative direction trust research lacks, but at a unit that does not fit the problem. Its trustor is an individual, whereas an ecosystem extends reliance through many members acting separately. Its trustee is a bounded system observable over repeated trials, whereas an ecosystem relies on a mesh never observed as a unit, and its feedback loop closes quickly, whereas interorganizational overextension may stay silent and then arrive in correlated form. </w:t>
      </w:r>
      <w:r>
        <w:t>Calibration at ecosystem scale is therefore an organizational accomplishment rather than an individual one.</w:t>
      </w:r>
    </w:p>
    <w:p>
      <w:pPr>
        <w:pStyle w:val="Heading2"/>
      </w:pPr>
      <w:r>
        <w:rPr>
          <w:i w:val="0"/>
        </w:rPr>
        <w:t>2.4 The Agentic Turn in Infrastructural Trust</w:t>
      </w:r>
    </w:p>
    <w:p>
      <w:pPr>
        <w:ind w:firstLine="720"/>
      </w:pPr>
      <w:r>
        <w:t xml:space="preserve">Infrastructure has been theorized as that which recedes, becoming visible chiefly on breakdown </w:t>
      </w:r>
      <w:r>
        <w:t>(Star and Ruhleder, 1996)</w:t>
      </w:r>
      <w:r>
        <w:t>, and the trust appropriate to it has been thin (McKnight et al., 2011). Anthony et al. (2023) argue that AI should be treated as a counterpart within a system of work</w:t>
      </w:r>
      <w:r>
        <w:t>; if the counterpart is jointly held, what reliance it can bear is a question about the ecosystem.</w:t>
      </w:r>
      <w:r>
        <w:t xml:space="preserve"> Agentic AI breaks the classical arrangement along five dimensions.</w:t>
      </w:r>
    </w:p>
    <w:p>
      <w:pPr>
        <w:ind w:firstLine="720"/>
      </w:pPr>
      <w:r>
        <w:t xml:space="preserve">The first is discretion. Contemporary systems classify, initiate transactions, and execute sequences of actions within delegated bounds (Gartner, 2026). The second is opacity. Adopting organizations did not build the systems they rely on and cannot characterize their behavior across the inputs they will encounter. The opacity extends to producers. OpenAI’s own account of the 2026 breach describes models chaining unknown vulnerabilities in a sandbox the firm had tested and validated (OpenAI, 2026), so adopters cannot obtain warrant by deferring to builders. The third is exogeneity of change. Behavior is revised on the producer’s schedule, so a system assessed in one quarter </w:t>
      </w:r>
      <w:r>
        <w:t>may behave differently in the next (Reuters, 2026). That schedule is set by competition among producers rather than by any adopter’s assurance cycle; the heads of the frontier laboratories describe release cadence as governed by the fear that a slower firm cedes the lead to one taking more shortcuts (Roher and Tyrell, 2026).</w:t>
      </w:r>
      <w:r>
        <w:t xml:space="preserve"> The fourth is default interconnection. Connectors reduce the marginal cost of one more connection to nearly nothing, and the MITRE ATLAS knowledge base documents attacks that exist only because agents reach across service boundaries by default (MITRE, 2026).</w:t>
      </w:r>
    </w:p>
    <w:p>
      <w:pPr>
        <w:ind w:firstLine="720"/>
      </w:pPr>
      <w:r>
        <w:t>The fifth property is reflexivity: an agentic system can act upon the apparatus evaluating it. Given credentials, it can escape its assigned role or circumvent shutdown instructions (Anthropic, 2025; Palisade Research, 2025; Reuters, 2026). Evidence about the referent is then partly produced by that referent. Human trustees also manage impressions, but an agent acts at machine speed through the ecosystem’s observation channel, and what it learns can persist across versions. Reflexivity is the hinge of this account and its lead proposition. Correction need not end the exposure if permissions or capabilities persist. Institutional trust is also strained: rules presume an addressable counterparty, while enforcement against an autonomous agent must trace back to an organization (Moffatt v. Air Canada, 2024).</w:t>
      </w:r>
    </w:p>
    <w:p>
      <w:pPr>
        <w:pStyle w:val="Heading2"/>
      </w:pPr>
      <w:r>
        <w:rPr>
          <w:i w:val="0"/>
        </w:rPr>
        <w:t>2.5 Mediating Position and Its Theoretical Consequence</w:t>
      </w:r>
    </w:p>
    <w:p>
      <w:pPr>
        <w:ind w:firstLine="720"/>
      </w:pPr>
      <w:r>
        <w:t>When infrastructure acquires these five properties together, infrastructural trust ceases to be one domain among peers and takes up a mediating position, in which the other three domains are increasingly perceived, evidenced, and enacted through it. A colleague’s analysis is now a composite of person and model; a partner firm is only as reliable as the agents its employees have connected. Rules governing information handling were written for flows through channels the rules could observe; when flows move through agents holding standing credentials at machine speed, the rule system can be sound and still structurally blind. Miscalibration in the infrastructural domain therefore degrades the evidentiary basis on which the other three are assessed, and the domain most likely to be weakest often looks strongest on an adoption dashboard.</w:t>
      </w:r>
    </w:p>
    <w:p>
      <w:pPr>
        <w:ind w:firstLine="720"/>
      </w:pPr>
      <w:r>
        <w:t>Agency and organizational control theories treat effort or outcomes as observable at a cost independent of the agent (Eisenhardt, 1989; Ouchi, 1979). Control and trust are then chosen against that observability (Lumineau et al., 2023). When monitoring runs through the referent, observability becomes something the referent can influence. Both control and trust depend on information passing through what is being assessed.</w:t>
      </w:r>
    </w:p>
    <w:p>
      <w:pPr>
        <w:pStyle w:val="Heading2"/>
      </w:pPr>
      <w:r>
        <w:rPr>
          <w:i w:val="0"/>
        </w:rPr>
        <w:t>2.6 Warrant, Extension, and the Ecosystem as the Unit of Calibration</w:t>
      </w:r>
    </w:p>
    <w:p>
      <w:pPr>
        <w:ind w:firstLine="720"/>
      </w:pPr>
      <w:r>
        <w:t>Trust warrant is the level of reliance a domain can bear given the evidence available to the ecosystem. It rises with demonstrated reliability, verified provenance, and enforcement history, and falls when the referent changes without reassessment. Warrant can also be unknown. An ecosystem that has never characterized a system it depends upon has no warrant rather than low warrant. Trust extension is the reliance actually placed on a domain, observable in the coupling structure of the ecosystem, that is, in (a) which workflows route through which systems, (b) which decisions are delegated to partners’ agents, and (c) what exposure members accept on the assumption that rules will hold. Mesotrust calibration is the alignment of extension with warrant across all four domains simultaneously; because the construct is compilational, a single severely miscalibrated domain bounds the calibration of the whole.</w:t>
      </w:r>
    </w:p>
    <w:p>
      <w:pPr>
        <w:ind w:firstLine="720"/>
      </w:pPr>
      <w:r>
        <w:t>Warrant and extension can be located in the integrative model of Mayer et al. (1995). Warrant is trustworthiness evidence, ability, benevolence, and integrity so far as they can be shown for a system, a partner, or a rule, held at the ecosystem level rather than in one trustor’s perception. Extension is risk taking in the relationship, observable in coupling structure. The model’s intervening term, the willingness to be vulnerable, is a property of a single trustor, and no single actor holds it at ecosystem scale, so the account compares evidence with behavior directly. Calibration is the comparison between the two, and miscalibration is their divergence in either direction.</w:t>
      </w:r>
    </w:p>
    <w:p>
      <w:pPr>
        <w:ind w:firstLine="720"/>
      </w:pPr>
      <w:r>
        <w:t xml:space="preserve">A reasonable objection holds that calibration is an organizational matter, so the ecosystem is merely the sum of each firm’s risk decisions. Three features defeat it. Reliance transits organizational boundaries without transiting organizational decisions, so the exposure a partner creates by connecting a system is borne by every organization downstream. Evidence is distributed asymmetrically, since the organization best positioned to characterize a system is usually the one operating it. Additionally, correction requires collective authority, because where reliance is mutual, unilateral withdrawal is itself a shock. Collaborative innovation under cybersecurity risk is the focal outcome, because it depends most on flows crossing organizational boundaries </w:t>
      </w:r>
      <w:r>
        <w:t>(Cohen and Levinthal, 1990)</w:t>
      </w:r>
      <w:r>
        <w:t>.</w:t>
      </w:r>
    </w:p>
    <w:p>
      <w:pPr>
        <w:ind w:firstLine="720"/>
      </w:pPr>
      <w:r>
        <w:t>Figure 1 links four-domain mesotrust (A), mediating infrastructure, and the domain-level comparison of warrant with extension (B). The most misaligned domain bounds the ecosystem state (C), one of Figure 2’s archetypes. Collaborative innovation as an outcome (D) is theorized, not observed, and may depend on risk-appetite congruence (Section 5.6). Calibration (E) compares warrant and extension continuously; Figure 3 models movement among archetypes.</w:t>
      </w:r>
    </w:p>
    <w:p>
      <w:pPr>
        <w:jc w:val="center"/>
      </w:pPr>
      <w:r>
        <w:t>[INSERT FIGURE 1 ABOUT HERE]</w:t>
      </w:r>
    </w:p>
    <w:p>
      <w:pPr>
        <w:pStyle w:val="Heading1"/>
      </w:pPr>
      <w:r>
        <w:t>3. Methods</w:t>
      </w:r>
    </w:p>
    <w:p>
      <w:pPr>
        <w:pStyle w:val="Heading2"/>
      </w:pPr>
      <w:r>
        <w:rPr>
          <w:i w:val="0"/>
        </w:rPr>
        <w:t>3.1 Design Logic: Studying a Phenomenon That Outruns Its Evidence</w:t>
      </w:r>
    </w:p>
    <w:p>
      <w:pPr>
        <w:ind w:firstLine="720"/>
      </w:pPr>
      <w:r>
        <w:t xml:space="preserve">Agentic AI risk presents a hard evidentiary problem. No archival panel exists and no validated instrument measures constructs that were undefined until recently. The appropriate posture is a plausibility probe built on triangulated qualitative evidence </w:t>
      </w:r>
      <w:r>
        <w:t>(Jick, 1979)</w:t>
      </w:r>
      <w:r>
        <w:t>. This is not a mixed-methods study, since all three sources are qualitative in origin and there is no inferential test. The design converts coded judgments into frequencies, a practice Sandelowski et al. (2009) term quantitizing, to establish whether a pattern is modal or merely vivid, the purpose Hannah and Lautsch (2011) identify for counting in qualitative research. Counting supports description within these data and licenses no claim about populations.</w:t>
      </w:r>
    </w:p>
    <w:p>
      <w:pPr>
        <w:ind w:firstLine="720"/>
      </w:pPr>
      <w:r>
        <w:t xml:space="preserve">Three sources carry the study, and each answers a question the others cannot </w:t>
      </w:r>
      <w:r>
        <w:t>(Appendix Table A2)</w:t>
      </w:r>
      <w:r>
        <w:t xml:space="preserve">. </w:t>
      </w:r>
      <w:r>
        <w:t>Practitioner discourse shows the phenomenon as those inside it describe it, in naturally occurring talk (Huysman, 2026), but never outcomes; the MIT AI Risk Repository shows whether the study’s categories are artifacts of one group’s conversation, but never mechanism or sequence; and the incident register alone observes whole ecosystems on all four domains over time, so it carries the configural and process claims, but sees only failures public enough to be reported.</w:t>
      </w:r>
      <w:r>
        <w:t xml:space="preserve"> Convergence across all three is the standard to which the findings are held.</w:t>
      </w:r>
    </w:p>
    <w:p>
      <w:pPr>
        <w:pStyle w:val="Heading2"/>
      </w:pPr>
      <w:r>
        <w:rPr>
          <w:i w:val="0"/>
        </w:rPr>
        <w:t>3.2 The Practitioner Data</w:t>
      </w:r>
    </w:p>
    <w:p>
      <w:pPr>
        <w:ind w:firstLine="720"/>
      </w:pPr>
      <w:r>
        <w:t>The primary source comprises recorded contributions from 42 senior risk and security leaders in technology, finance, healthcare, manufacturing, insurance, and the public sector, mostly in large North American and European organizations. It includes 25 transcripts from 2025 conference panels and presentations, two 2026 webinars, and supplemental interviews following Appendix B’s protocol. Publicly distributed recordings and consented interviews are attributed by coded speaker, role, and segment; no organization is named (Table B1). The author must state the institutional review determination or exemption basis [institutional review determination or exemption basis]. Participants were not prompted with the study’s constructs. The conference focused on cyber risk quantification, favoring talk about calibrated practice; the register and repository check that lean. Third-round codes show 16 of 48 segments concern AI specifically, mostly agentic among overextended segments and generative among calibrated ones (Appendix A). P08 supplies nine analyzed segments and both interpersonal segments. Without P08, overextension (18) exceeds calibration (16) among 39, so neither cell is claimed as modal. Appendices A to D are submitted separately for review.</w:t>
      </w:r>
    </w:p>
    <w:p>
      <w:pPr>
        <w:pStyle w:val="Heading2"/>
      </w:pPr>
      <w:r>
        <w:rPr>
          <w:i w:val="0"/>
        </w:rPr>
        <w:t>3.3 The MIT AI Risk Repository</w:t>
      </w:r>
    </w:p>
    <w:p>
      <w:pPr>
        <w:ind w:firstLine="720"/>
      </w:pPr>
      <w:r>
        <w:t>The MIT AI Risk Repository synthesizes 1,612 risks from 65 frameworks into causal and domain taxonomies (Slattery et al., 2024). Each construct and mechanism was crosswalked to its Domain Taxonomy subdomains (Section 4.5; Appendix Table D1). This independently assembled structure checks whether categories induced from practitioner talk merely reflect that group’s preoccupations; it cannot establish mechanism or sequence.</w:t>
      </w:r>
    </w:p>
    <w:p>
      <w:pPr>
        <w:pStyle w:val="Heading2"/>
      </w:pPr>
      <w:r>
        <w:rPr>
          <w:i w:val="0"/>
        </w:rPr>
        <w:t>3.4 The Incident Register</w:t>
      </w:r>
    </w:p>
    <w:p>
      <w:pPr>
        <w:ind w:firstLine="720"/>
      </w:pPr>
      <w:r>
        <w:t>The third source registers 15 publicly documented incidents and policy events from 2023 through 2026 (Table V; Appendix Table C1). For each, the author coded implicated domains, mechanisms, and entry and exit states. One segment coder blindly recoded the original four fully coded incidents. Two coders then independently coded the Vercel and McKinsey Lilli incidents across four domains at entry and exit, and recoded all four prior exits under Rule 5, fixed in advance to distinguish restricted reliance from assessed warrant (Appendix A). The register supports existence and sequence, not frequency: public failures are selected for visibility, and accounts may change. No process claim rests on one incident.</w:t>
      </w:r>
    </w:p>
    <w:p>
      <w:pPr>
        <w:pStyle w:val="Heading2"/>
      </w:pPr>
      <w:r>
        <w:rPr>
          <w:i w:val="0"/>
        </w:rPr>
        <w:t>3.5 Analysis, Reliability, and Reconciliation</w:t>
      </w:r>
    </w:p>
    <w:p>
      <w:pPr>
        <w:ind w:firstLine="720"/>
      </w:pPr>
      <w:r>
        <w:t xml:space="preserve">Coding proceeded abductively, with the constructs revised where the data resisted them (Timmermans and Tavory, 2012). A first pass in Atlas.ti segmented the transcripts into 230 discourse segments and a second retained the 50 that spoke directly to reliance and its evidence. </w:t>
      </w:r>
      <w:r>
        <w:t>A third coded each retained segment for trust domain, warrant level (0 to 3), extension level (0 to 3), and miscalibration mechanism; calibration state is derived by rule from warrant and extension. Four further variables, mediating-domain evidence, the mode of AI at issue (predictive, generative, or agentic, Chalmers et al., 2026), withheld capability, and the governance mechanism described, are coded in a third round by two coders working blind from fresh materials, and Appendix A reports the agreement and counts from that round.</w:t>
      </w:r>
      <w:r>
        <w:t xml:space="preserve"> Two coders, </w:t>
      </w:r>
      <w:r>
        <w:t>[role and training to be stated by the author, for example doctoral researchers in information systems trained on the codebook with practice segments outside the analyzed set], neither involved in the study design nor a coauthor,</w:t>
      </w:r>
      <w:r>
        <w:t xml:space="preserve"> independently coded all 50 segments from the segment text and a frozen codebook, blind to each other and to any prior classification. </w:t>
      </w:r>
      <w:r>
        <w:t>Cohen’s kappa was .79 for trust domain and .64 for mechanism. On the two ordinal variables the unweighted coefficients were .58 for warrant and .59 for extension; because the coders never differed by more than one level, the linear-weighted statistic (Cohen, 1968) is also reported, .71 and .64 (Appendix A).</w:t>
      </w:r>
    </w:p>
    <w:p>
      <w:pPr>
        <w:ind w:firstLine="720"/>
      </w:pPr>
      <w:r>
        <w:t xml:space="preserve">The 44 variable-level disagreements were adjudicated by rule-first reconciliation with both coders present. For each of ten disagreement clusters, the governing codebook rule was written down before any case was opened and applied to every case in the cluster; 40 cases closed by rule and four required interpretive judgment. Because calibration state is a threshold function of warrant and extension, those two were adjudicated with the state column hidden and recomputed afterwards, so no reconciler could see which typology cell a decision produced. Two segments were excluded on coding-unit grounds (a 47-character utterance without context and one with overlapping speech), giving an analyzed N of 48; reliability remains computed on all 50. </w:t>
      </w:r>
      <w:r>
        <w:t>A preliminary classification made by the author before the study variables were fixed was retired when both independent coders, who never saw it, disagreed with it (unweighted kappa .15 to .32 on every coded variable) while agreeing with each other; no code from it enters the analysis.</w:t>
      </w:r>
    </w:p>
    <w:p>
      <w:pPr>
        <w:ind w:firstLine="720"/>
      </w:pPr>
      <w:r>
        <w:t xml:space="preserve">One construct revision shows how the framework changed under the data. The initial codebook carried a single code for weak infrastructural warrant, </w:t>
      </w:r>
      <w:r>
        <w:t>but practitioners described two conditions that behaved differently, systems assessed and found wanting and systems never assessed at all, so warrant was split into low (1, where any probe occurred) and unknown (0, where nothing was ever examined); the state derivation treats both as low.</w:t>
      </w:r>
      <w:r>
        <w:t xml:space="preserve"> Two of the 21 overextended segments carry unknown warrant, so the distinction shapes the mechanisms narrated in Section 4 rather than the counts.</w:t>
      </w:r>
    </w:p>
    <w:p>
      <w:pPr>
        <w:ind w:firstLine="720"/>
      </w:pPr>
      <w:r>
        <w:t>Generative AI tools assisted with drafting, condensation, editing and formatting of the manuscript, production of figures from specified content, and assembly and checking of the third-round agreement calculations and adjudication rationales. One coder used an AI tool only to proofread coding comments and confirmed that it was not used to assign codes. Independent codes were assigned by human coders; the coder forms and reconciliation record accompany the paper. [The author must confirm a final audit of AI-assisted calculations and adjudications before submission.]</w:t>
      </w:r>
    </w:p>
    <w:p>
      <w:pPr>
        <w:pStyle w:val="Heading1"/>
      </w:pPr>
      <w:r>
        <w:t>4. Findings: Building the Typology from the Evidence</w:t>
      </w:r>
    </w:p>
    <w:p>
      <w:pPr>
        <w:ind w:firstLine="720"/>
      </w:pPr>
      <w:r>
        <w:t>Crossing warrant (high or low, with unknown treated as low) with extension (high or low) implies four logically possible conditions. Whether those cells deserve the status of archetypes is an empirical question, namely whether ecosystems cluster in them, each with a coherent internal logic and an identifiable configuration of domains (Doty and Glick, 1994). Table III defines the four states, Table IV reports the distribution of the 48 segments by domain and state, and Figure 2 locates the archetypes in the warrant-by-extension space. State is derived by the rule frozen before coding, which reads levels 2 and 3 of each scale as high and levels 0 and 1 as low (Appendix A). A stricter symmetric rule, which reads any excess of extension over warrant as overextension and any excess of warrant over extension as underextension, gives 9 calibrated, 24 overextended, 12 underextended, and 3 dormant segments. The eleven segments that move from calibrated to underextended under the strict rule all carry warrant 3 with extension 2; they describe well-evidenced substantial use, chiefly by quantified-risk programs, and the third coding round adjudicates whether such talk describes withheld capability or calibrated reliance, and none of the eleven describes evidenced capability that is available and withheld, so the talk describes calibrated reliance and the frozen rule remains primary (Appendix A). No claim rests on the difference between the rules, and proportions are read comparatively across domains, not as prevalence estimates.</w:t>
      </w:r>
    </w:p>
    <w:p>
      <w:pPr>
        <w:ind w:firstLine="720"/>
      </w:pPr>
      <w:r>
        <w:t>Four terms operate at different levels. A trust domain identifies the referent: person, organization, institution, or infrastructure. Each segment has one domain and one state derived from warrant and extension (Tables III and IV); these proportions do not measure whole ecosystems. Mesotrust is the four-domain configuration within an ecosystem and is directly coded only for the six incidents in Table V. A miscalibration mechanism opens the gap between evidence and reliance within a domain (Section 4.1). A governance mechanism, separately coded, is an instrument, forum, or authority that acts to close it. Neither is itself a state.</w:t>
      </w:r>
    </w:p>
    <w:p>
      <w:pPr>
        <w:jc w:val="center"/>
      </w:pPr>
      <w:r>
        <w:t>[INSERT TABLE III ABOUT HERE]</w:t>
      </w:r>
    </w:p>
    <w:p>
      <w:pPr>
        <w:jc w:val="center"/>
      </w:pPr>
      <w:r>
        <w:t>[INSERT TABLE IV ABOUT HERE]</w:t>
      </w:r>
    </w:p>
    <w:p>
      <w:pPr>
        <w:jc w:val="center"/>
      </w:pPr>
      <w:r>
        <w:t>[INSERT FIGURE 2 ABOUT HERE]</w:t>
      </w:r>
    </w:p>
    <w:p>
      <w:pPr>
        <w:pStyle w:val="Heading2"/>
      </w:pPr>
      <w:r>
        <w:rPr>
          <w:i w:val="0"/>
        </w:rPr>
        <w:t>4.1 The Overextended Ecosystem: Reliance Running Ahead of Evidence</w:t>
      </w:r>
    </w:p>
    <w:p>
      <w:pPr>
        <w:ind w:firstLine="720"/>
      </w:pPr>
      <w:r>
        <w:t>Twenty-one of the 48 analyzed segments (44 percent) describe reliance that is high while its warrant is low or unknown, nearly the same rate as calibration. The archetype is a family of four miscalibration mechanisms through which the gap between reliance and evidence opens, and the data exhibit all four; Table III names the governance that closes it and Appendix Table D1 maps evidence to governance with sources.</w:t>
      </w:r>
    </w:p>
    <w:p>
      <w:pPr>
        <w:ind w:firstLine="720"/>
      </w:pPr>
      <w:r>
        <w:t>Extension outrunning legibility. The first mechanism, coded in 3 segments, is reliance growing faster than the ecosystem can see it. A healthcare security director described it directly: “You have AI running everywhere in the company and nobody can tell you where it is… now you have partner AIs talking to your AIs and the surface just keeps growing” (P11, A002). A risk analyst described the same condition from the data side, where the old objection that there was too little data had given way to a new one: “with all of the automation and agents and generative AI, do we have confidence in that data?” (P08, A046), and recounted controls drifting toward permissiveness with no audit in over a year and a risk register that did not reflect it (P08, A005). All three legibility segments are infrastructural.</w:t>
      </w:r>
    </w:p>
    <w:p>
      <w:pPr>
        <w:ind w:firstLine="720"/>
      </w:pPr>
      <w:r>
        <w:t>Extension across boundaries without warrant transfer. A second mechanism, coded in 6 segments and accounting for six of the eight organizational-domain segments, operates at the seams between organizations, where reliance crosses the boundary and the evidence that would warrant it does not. A healthcare CISO located the exposure: “The majority of our events and situations are as a result of a third party or fourth party” (P26, A009). Warrant-transfer instruments were described as theater by both sides. The assessor: “We send out 200 questions. Do you think they’re actually reading all those contracts?” (P06, A011). The assessed: “I can say I have all the policies in the world, but there was no validation of how effective my responses were” (P27, A013). The two calibrated organizational segments each price partner exposure in currency; evidence keeps up only where a number crosses the boundary with it.</w:t>
      </w:r>
    </w:p>
    <w:p>
      <w:pPr>
        <w:ind w:firstLine="720"/>
      </w:pPr>
      <w:r>
        <w:t>Reinforcement without calibration. A third mechanism, coded in a single segment after reconciliation, is dynamic. Successful reliance breeds more reliance whether or not warrant has grown. An insurance chief risk officer located the engine in the asymmetry between adoption and verification cost: “The business is moving at a speed that the security function can’t match, and the board is only seeing the speed. They’re not seeing the gap” (P13, A015). Several practitioners defended early extension as the only route to knowledge: “You have to do something to really know how to leverage it… in order to know how to control it… in order to understand the risks” (P30, A016). What distinguished overextended from calibrated segments was never that extension came first but whether anything was in place to make the evidence catch up. The reconciled count is small because the rule codes the mechanism only where a process is shown failing; the mechanism rests on the incident register rather than on frequency.</w:t>
      </w:r>
    </w:p>
    <w:p>
      <w:pPr>
        <w:ind w:firstLine="720"/>
      </w:pPr>
      <w:r>
        <w:t>Concealment through mediating infrastructure. The fourth mechanism, coded in 2 segments, is the agentic turn’s distinctive contribution. The mediating layer produces work whose quality conceals its own provenance, and it becomes the instrument through which its own reliability would be checked. A technology CISO put the circle plainly: “you’ve got these agents running around doing autonomous things? The only way to govern AI is to govern it with AI” (P01, A003). Weick (1987) observed that safety is a dynamic non-event, so evidence of effective practice is constitutively unobservable. Calibration compounds this problem. An ecosystem cannot observe the incidents its warrant prevented. Under agentic conditions it increasingly cannot observe the ones its warrant failed to prevent either, because the instrument that would surface them runs through the layer whose reliability is in question.</w:t>
      </w:r>
    </w:p>
    <w:p>
      <w:pPr>
        <w:ind w:firstLine="720"/>
      </w:pPr>
      <w:r>
        <w:t>The mesotrust configuration of overextension. Extension is high across domains, and warrant is low or unknown precisely where mediation is highest. Ten of the 21 overextended segments are infrastructural, six organizational, and five institutional (Table IV). The most frequent mechanism code in the reconciled data is not one of the four narrated above but the absence of the calibration process itself, recorded as missing calibration instrumentation in 12 segments, 10 of them overextended (for example P41, A039; P01, A041). Missing registers, audits, and assessment schedules are not a fifth way of overextending; they are the condition under which the other four operate unchecked, and they are what Figure 3 represents when it promotes calibration to a binding continuous process.</w:t>
      </w:r>
    </w:p>
    <w:p>
      <w:pPr>
        <w:pStyle w:val="Heading2"/>
      </w:pPr>
      <w:r>
        <w:rPr>
          <w:i w:val="0"/>
        </w:rPr>
        <w:t>4.2 The Calibrated Ecosystem: Instrumentation as the Precondition of Alignment</w:t>
      </w:r>
    </w:p>
    <w:p>
      <w:pPr>
        <w:ind w:firstLine="720"/>
      </w:pPr>
      <w:r>
        <w:t xml:space="preserve">Twenty-two of the 48 segments (46 percent) describe practices in which extension and warrant are held in correspondence. </w:t>
      </w:r>
      <w:r>
        <w:t>Calibration and overextension are the two large cells, of nearly equal size (22 and 21), and Section 5.6 reports how the order of the two depends on one speaker.</w:t>
      </w:r>
      <w:r>
        <w:t xml:space="preserve"> Extension in these segments is moderate to high; what distinguishes them is machinery that makes warrant commensurable with the decisions extension serves. The trust at issue is mostly infrastructural (Table IV); the machinery is the governance mechanism that keeps it in correspondence with its evidence.</w:t>
      </w:r>
    </w:p>
    <w:p>
      <w:pPr>
        <w:ind w:firstLine="720"/>
      </w:pPr>
      <w:r>
        <w:t>Practitioners describe a before and after. Asked “how much risk do we have?” one executive could only answer “lots” (P41, A039). By contrast, quantified loss exposure let another practitioner report annualized expectancy to the business (P30, A040) and supported board allocation (P07, A035). A generative system accelerated analysis despite hallucinations (P20, A042), but the practitioner made recognition of error a condition of use (P20, A043). Both segments remain calibrated because the gate is present. Others assigned a reviewing role (P03, A017) or retained human decision rights (P33, A019). For agents consuming risk information, ordinal ratings “mean nothing” and must be quantified (P01, A041).</w:t>
      </w:r>
    </w:p>
    <w:p>
      <w:pPr>
        <w:ind w:firstLine="720"/>
      </w:pPr>
      <w:r>
        <w:t>The mesotrust configuration of calibration. Sixteen of the 22 calibrated segments sit in the infrastructural domain, the only domain in which calibrated segments outnumber overextended ones, 16 to 10 (Table IV). The 16 divide into two families, quantification that makes warrant commensurable and an explicit human gate on the mediating layer that reliance cannot bypass. Ecosystems become calibrated where the mediating layer itself is instrumented, by pricing what reliance on it exposes or by gating what may pass through it. The institutional instrumentation the process model identifies as calibration’s precondition appears far more often as an absence than as an accomplishment. Of eleven institutional segments, only two are calibrated.</w:t>
      </w:r>
    </w:p>
    <w:p>
      <w:pPr>
        <w:pStyle w:val="Heading2"/>
      </w:pPr>
      <w:r>
        <w:rPr>
          <w:i w:val="0"/>
        </w:rPr>
        <w:t>4.3 The Underextended Ecosystem: Visible Chiefly in Trajectories</w:t>
      </w:r>
    </w:p>
    <w:p>
      <w:pPr>
        <w:ind w:firstLine="720"/>
      </w:pPr>
      <w:r>
        <w:t>Underextension, in which warrant is high while extension is low and evidenced capability goes unused (Table III), appears in the practitioner data once under the frozen rule and twelve times under the strict rule of Section 4.</w:t>
      </w:r>
      <w:r>
        <w:t xml:space="preserve"> A healthcare CISO refers reliance to a quantified appetite framework, “am I really operating within my risk appetite… that doesn’t really matter how the organization down the street’s doing,” while describing no reliance actually placed against it (P26, A020). </w:t>
      </w:r>
      <w:r>
        <w:t>This cell is the one most sensitive to the derivation rule, and no claim rests on its count.</w:t>
      </w:r>
      <w:r>
        <w:t xml:space="preserve"> At ecosystem level, when one member withholds reliance, it removes evidence other members would have needed to warrant their own.</w:t>
      </w:r>
    </w:p>
    <w:p>
      <w:pPr>
        <w:ind w:firstLine="720"/>
      </w:pPr>
      <w:r>
        <w:t xml:space="preserve">The register supplies the archetype in two forms. The first is underextension as the exit state of correction. When miscalibrated reliance fails publicly, correction rarely lands on calibration but overshoots. Samsung’s response to employees pasting proprietary source code into an external model (The Register, 2023) was a categorical prohibition, an imposed underextension the firm unwound three years later by adopting groupwide the services it had banned (Bloomberg, 2023; CIO, 2026). Two further cases show correction arriving from outside. In Moffatt v. Air Canada (2024) the airline argued that its chatbot was responsible for its own representations; the tribunal rejected the argument and assigned liability, but the chatbot was withdrawn rather than recalibrated, so correction reached the institutional domain and not the infrastructural one (Table V). Deloitte Australia refunded part of a fee for a report containing fabricated references, after which verification requirements were imposed on the engagement from outside, bounding the reliance without producing an assessment of it (Fortune, 2025; CFO Dive, 2025; Table V). The second form is anticipatory, underextension propagating as a response to someone else’s incident, with members closing doors the incident never touched. Because underextension spreads by inference from visible failure, the governance indicated is credible demonstration rather than more control </w:t>
      </w:r>
      <w:r>
        <w:t>(Table III).</w:t>
      </w:r>
    </w:p>
    <w:p>
      <w:pPr>
        <w:pStyle w:val="Heading2"/>
      </w:pPr>
      <w:r>
        <w:rPr>
          <w:i w:val="0"/>
        </w:rPr>
        <w:t>4.4 The Dormant Ecosystem: The Unstable Origin</w:t>
      </w:r>
    </w:p>
    <w:p>
      <w:pPr>
        <w:ind w:firstLine="720"/>
      </w:pPr>
      <w:r>
        <w:t xml:space="preserve">The dormant cell appears in four reconciled segments, each describing a governance ambition or a learning-by-doing principle without either a completed assessment or reliance whose scale can be established (for example P36, A026; P30, A016). Three of the four are institutional, and as observed here dormancy is governance ambition without completed assessment, not settled restraint. In the register the cell appears only as an entry or exit state, never as a stable residence; Samsung’s trajectory, dormant to overextended to underextended (CIO, 2026; The Register, 2023), is the register’s cleanest sequence. Because reliance begins with individuals extending trust at near-zero cost while warrant-building requires coordinated investment no individual can supply, the dormant state decays spontaneously. </w:t>
      </w:r>
      <w:r>
        <w:t>Dormancy is short-lived rather than restful.</w:t>
      </w:r>
    </w:p>
    <w:p>
      <w:pPr>
        <w:pStyle w:val="Heading2"/>
      </w:pPr>
      <w:r>
        <w:rPr>
          <w:i w:val="0"/>
        </w:rPr>
        <w:t>4.5 Synthesis: The Typology Completed and Checked</w:t>
      </w:r>
    </w:p>
    <w:p>
      <w:pPr>
        <w:ind w:firstLine="720"/>
      </w:pPr>
      <w:r>
        <w:t xml:space="preserve">Assembled, the evidence fills the four-cell space of Figure 2 and licenses two claims. </w:t>
      </w:r>
      <w:r>
        <w:t>First, the archetypes are occupied configurations rather than stipulated cells; two are dense in the practitioner data, and the two transitional states, thin there as sampling adopting organizations predicts, are demonstrated in the register’s trajectories, the one source that observes transitions. Second, each archetype corresponds to a distinct configuration of mesotrust rather than a distinct quantity of trust (Table III).</w:t>
      </w:r>
      <w:r>
        <w:t xml:space="preserve"> The mediating position of infrastructure is the configural hinge throughout and the most robust pattern in the data, since 27 of 48 reconciled segments fall in the infrastructural domain.</w:t>
      </w:r>
    </w:p>
    <w:p>
      <w:pPr>
        <w:ind w:firstLine="720"/>
      </w:pPr>
      <w:r>
        <w:t xml:space="preserve">The typology is a claim about configurations while the segment data observe domains one at a time. The incident register permits the stricter test on a small scale. </w:t>
      </w:r>
      <w:r>
        <w:t>Six of the 15 incidents are documented well enough to code all four domains for the same ecosystem, and Table V reports them as configurations. Infrastructural trust is the bounding domain in every case. In two of the six (the institutional domain at Air Canada, the organizational domain at Deloitte)</w:t>
      </w:r>
      <w:r>
        <w:t xml:space="preserve"> another domain is well warranted and heavily extended, so a measure that averaged the four would read the configuration as healthy. In the 2026 breach no domain was well warranted at entry, the signature of an ecosystem no member had assessed. </w:t>
      </w:r>
      <w:r>
        <w:t>The two 2026 adopter-side incidents extend the pattern in opposite directions. The Vercel breach through a connected AI vendor shows a response that bounded extension, through tightened configuration defaults and the removal of the vendor connection, without producing an assessment that would raise warrant, so the ecosystem remains overextended at exit (Rauch, 2026; Vercel, 2026). The McKinsey Lilli platform, entered through its public documentation endpoint by an autonomous security agent, shows the register’s first adopter-side movement from overextension toward calibration, the outside researcher’s verification of the patch raising infrastructural warrant while the fixes bounded use (CodeWall, 2026; McKinsey and Company, 2026).</w:t>
      </w:r>
      <w:r>
        <w:t xml:space="preserve"> </w:t>
      </w:r>
      <w:r>
        <w:t>Interpersonal warrant is unobservable or low in all six records, so reliance ran where no identified person’s assessment could carry it; the two interpersonal segments in the practitioner data come from one speaker, so the domain is characterized here from the register rather than from the discourse.</w:t>
      </w:r>
    </w:p>
    <w:p>
      <w:pPr>
        <w:jc w:val="center"/>
      </w:pPr>
      <w:r>
        <w:t>[INSERT TABLE V ABOUT HERE]</w:t>
      </w:r>
    </w:p>
    <w:p>
      <w:pPr>
        <w:ind w:firstLine="720"/>
      </w:pPr>
      <w:r>
        <w:t>An independent crosswalk to the MIT Domain Taxonomy corroborates the four miscalibration mechanisms (Slattery et al., 2024; Appendix Table D1). Legibility loss and concealment map to transparency (7.4), with the latter also touching misaligned goals (7.1) and multi-agent risks (7.6). Cross-boundary warrant failure maps to security attacks (2.2) and cyber harm (4.3); reinforcement maps to overreliance (5.1) and missing instruments to governance failure (6.5). The repository catalogs risks of AI use, not withheld use, so it cannot check underextension.</w:t>
      </w:r>
    </w:p>
    <w:p>
      <w:pPr>
        <w:pStyle w:val="Heading1"/>
      </w:pPr>
      <w:r>
        <w:t>5. Discussion</w:t>
      </w:r>
    </w:p>
    <w:p>
      <w:pPr>
        <w:pStyle w:val="Heading2"/>
      </w:pPr>
      <w:r>
        <w:rPr>
          <w:i w:val="0"/>
        </w:rPr>
        <w:t>5.1 From Typology to Process: A Process Model of Calibration</w:t>
      </w:r>
    </w:p>
    <w:p>
      <w:pPr>
        <w:ind w:firstLine="720"/>
      </w:pPr>
      <w:r>
        <w:t>Samsung’s record tells the sequence end to end. Reliance began with individuals. Engineers extended a public model into production work at no cost to themselves and without any assessment by the firm, so the ecosystem left the dormant state through extension rather than through verification. The reliance was invisible until it failed, because the channel through which the code left the company was the channel the company had not instrumented. Correction arrived as prohibition, which removed extension without producing warrant, and the firm sat in imposed underextension for three years while the skills and the expectations built under the earlier reliance persisted. When it adopted generative services groupwide in 2026 it did so with a management platform and usage rules that its 2023 self had not possessed (CIO, 2026), so the state it returned to differed from the one it had left (Bloomberg, 2023; The Register, 2023). The typology of Section 4 locates each stop on that path, but its cells are locations, not explanations of movement. What follows is a process model rather than a process theory. It takes from process theorizing the explanatory form, in which outcomes are explained by the order in which events unfold rather than by the covariation of attributes (Van de Ven and Poole, 1995) and by the mechanisms that generate them (Langley, 1999). Figure 3 presents the model in two tiers, and Appendix Table D2 summarizes how each constituent process changes. The upper tier answers the first question of Section 1 by stating the generative mechanism, the reordering of the processes that build mesotrust with calibration promoted to a binding process; the lower tier states the numbered transitions among the four archetypes that the mechanism produces, each tied to the evidence in Section 4 that displays it.</w:t>
      </w:r>
    </w:p>
    <w:p>
      <w:pPr>
        <w:jc w:val="center"/>
      </w:pPr>
      <w:r>
        <w:t>[INSERT FIGURE 3 ABOUT HERE]</w:t>
      </w:r>
    </w:p>
    <w:p>
      <w:pPr>
        <w:ind w:firstLine="720"/>
      </w:pPr>
      <w:r>
        <w:t>How the two tiers connect. In the upper tier it is a process, the continuous comparison of extension against warrant through instruments, forums, and authority. In the lower tier calibrated is a state, the archetype a domain reaches when that process has run, and that an ecosystem reaches when it has run in every domain carrying reliance (Table V). Where it is performed, a domain moves toward the calibrated state (transitions 2, 4, and 6); where it is omitted under adoption pressure, the reordered sequence produces transitions 1 and 3; where it is imposed from outside after public failure, it produces transitions 5 and 7. Governance is not a sixth process. The mechanisms of Section 5.5 are the instruments, forums, and allocations of authority through which the calibration process is carried out, so governance acts on the process and reaches the states only through it.</w:t>
      </w:r>
    </w:p>
    <w:p>
      <w:pPr>
        <w:ind w:firstLine="720"/>
      </w:pPr>
      <w:r>
        <w:t>The five process labels draw on boundary translation (Carlile, 2004), trust development through verification and reinforcement (Zucker, 1986), accepted exposure as extension (Section 2.6), and calibration in human factors (Lee and See, 2004). The data supply their order. Extension outruns legibility (P11, A002; P08, A046), boundary translation loses warrant, and verification can sit inside the mediating referent’s reach (P01, A003). The board seeing speed without the gap exemplifies reinforcement without calibration (P13, A015). Unlike classical sequences in which evidence licenses reliance (Zucker, 1986), agentic extension is cheap, while verification is costly and incomplete as the referent changes. Extension becomes the entry point rather than the licensed conclusion.</w:t>
      </w:r>
    </w:p>
    <w:p>
      <w:pPr>
        <w:ind w:firstLine="720"/>
      </w:pPr>
      <w:r>
        <w:t>The remaining processes persist with shifted functions (Appendix Table D2).</w:t>
      </w:r>
      <w:r>
        <w:t xml:space="preserve"> Translation catches up with reliance rather than licensing it. Verification becomes continuous and, under the reflexivity dimension of Section 2.4, must be housed where the referent cannot reach it. Reinforcement acquires a hazard, because repeated success amplifies extension whether or not warrant has grown (Levitt and March, 1988). Calibration is promoted from terminal stage to binding process, the only one that pushes against adoption momentum.</w:t>
      </w:r>
    </w:p>
    <w:p>
      <w:pPr>
        <w:ind w:firstLine="720"/>
      </w:pPr>
      <w:r>
        <w:t>The lower tier of Figure 3 traces transitions. Extension-first use moves dormancy toward overextension (transition 1, The Register, 2023, P11, A002, P08, A046). Mediated monitoring conceals persistence (transition 3; P01, A003), so correction often follows public failure and overshoots (transition 7). Samsung prohibited use, Deloitte’s restriction lacked an assessment, and the 2026 breach provoked wider withdrawal (CFO Dive, 2025; Reuters, 2026). This resembles Turner’s (1976) incubation and Perrow’s (1984) system accidents, with the mediating layer hiding the incubation. Calibration can instead follow a bounded lead of extension converted by instrumentation (transition 2; Section 4.2). External verification of McKinsey Lilli’s patch supplies transition 4 (Table V, CodeWall, 2026).</w:t>
      </w:r>
    </w:p>
    <w:p>
      <w:pPr>
        <w:ind w:firstLine="720"/>
      </w:pPr>
      <w:r>
        <w:t>Why corrections cannot simply be undone. Transitions are asymmetric, which distinguishes this process model from a cycle. Withdrawing extension does not withdraw what was learned while it ran. Employee skills, integrations built into partner architectures, and in the limiting case what the models themselves learned all persist, so correction removes extension without restoring confidence while latent extension pressure rises. The model thus predicts hysteresis, one reading of why legislators reached for a kill switch rather than assurance in 2026 (CNBC, 2026).</w:t>
      </w:r>
    </w:p>
    <w:p>
      <w:pPr>
        <w:pStyle w:val="Heading2"/>
      </w:pPr>
      <w:r>
        <w:rPr>
          <w:i w:val="0"/>
        </w:rPr>
        <w:t>5.2 Propositions</w:t>
      </w:r>
    </w:p>
    <w:p>
      <w:pPr>
        <w:ind w:firstLine="720"/>
      </w:pPr>
      <w:r>
        <w:t>Five propositions follow. Each is preceded by the evidence that grounds it and by what would count against it, because a proposition probed for plausibility owes the reader its falsifier.</w:t>
      </w:r>
    </w:p>
    <w:p>
      <w:pPr>
        <w:ind w:firstLine="720"/>
      </w:pPr>
      <w:r>
        <w:t>The frontier-lab breakouts of 2026 were detected by the affected organization, an independent evaluator, or outside researchers rather than by the developer’s own monitoring (OpenAI, 2026; Appendix Table C2); a CISO saw no way to govern autonomous agents except with AI (P01, A003); and the fabricated references in the Deloitte report were found by an outside researcher (Fortune, 2025). Overextension detected from inside, before failure, in an ecosystem whose monitoring runs through the layer relied upon would count against the proposition. Proposition 1. Overextension is self-concealing. The larger the share of an ecosystem’s monitoring, assurance, and reporting routed through the infrastructure relied upon, the longer overextension persists undetected and the more correlated the eventual correction.</w:t>
      </w:r>
    </w:p>
    <w:p>
      <w:pPr>
        <w:ind w:firstLine="720"/>
      </w:pPr>
      <w:r>
        <w:t>Samsung entered overextension through employee-initiated use (The Register, 2023); practitioners described reliance no one could locate (P11, A002; P08, A046); and missing calibration instrumentation is the most frequent mechanism code in the data (12 segments). An ecosystem without institutionalized calibration that held extension at or below warrant over time would count against the proposition. Proposition 2. Where extension is nearly free and verification is costly, the sequence runs from extension to reinforcement and only afterwards, if at all, to translation and verification, so ecosystems lacking institutionalized calibration drift toward overextension as a default trajectory, independent of the prudence of individual members.</w:t>
      </w:r>
    </w:p>
    <w:p>
      <w:pPr>
        <w:ind w:firstLine="720"/>
      </w:pPr>
      <w:r>
        <w:t>Infrastructural trust is the bounding domain in every Table V configuration, and in two of the six another domain is well warranted and heavily extended, so an averaged measure would read the ecosystem as healthy. The mediating-domain variable coded in the third round reports how often practitioners describe evidence about a person, partner, or rule arriving through an AI or technical system, and six of the 48 segments do, three describing evidence known only through the system (Appendix A). Practitioners describe the mediating layer as the object of reliance far more often than as the route through which other warrants are assessed, so the proposition rests on the register, where infrastructural trust bounds every configuration, rather than on frequent narration of mediated evidence. An ecosystem sustaining collective action while its infrastructural trust is severely miscalibrated, or one whose other domains are evidenced without passing through the shared infrastructure, would count against the proposition. Proposition 3. The more agentic an ecosystem’s shared infrastructure, the more strongly infrastructural miscalibration bounds the calibration of the remaining domains, because that infrastructure mediates the evidence through which their warrants are assessed.</w:t>
      </w:r>
    </w:p>
    <w:p>
      <w:pPr>
        <w:ind w:firstLine="720"/>
      </w:pPr>
      <w:r>
        <w:t>Samsung moved from prohibition to groupwide adoption on different terms (CIO, 2026; The Register, 2023); the Air Canada tribunal assigned liability while the chatbot was withdrawn rather than recalibrated (Moffatt v. Air Canada, 2024); and legislators reached for a kill switch rather than assurance (CNBC, 2026). A correction after public failure that landed on calibration, or a post-correction state indistinguishable from the origin, would count against the proposition. Proposition 4. Correction after public failure runs from overextension through prohibition to underextension rather than to calibration, and the post-correction state differs from the origin, because capability learned under extension persists in employee practice, in partner integrations, and in the models themselves while the warrant that would license it does not.</w:t>
      </w:r>
    </w:p>
    <w:p>
      <w:pPr>
        <w:ind w:firstLine="720"/>
      </w:pPr>
      <w:r>
        <w:t>The sixteen calibrated infrastructural segments describe extension that led warrant by a margin which instrumentation then converted (P30, A040; P20, A043), and the Deloitte exit shows verification requirements imposed on an engagement that continued (CFO Dive, 2025). Ecosystems reaching calibration by holding extension to verified warrant, or through leads that no instrumentation converted, would count against the proposition. Proposition 5. Ecosystems advance from dormant toward calibrated states most reliably when extension leads warrant by a bounded margin, sized to demonstrated capacity to absorb failure and converted into warrant by instrumentation that renders it commensurable. Holding extension to verified warrant tends toward underextension, and leads that exceed absorptive capacity tend toward overextension and correction.</w:t>
      </w:r>
    </w:p>
    <w:p>
      <w:pPr>
        <w:pStyle w:val="Heading2"/>
      </w:pPr>
      <w:r>
        <w:rPr>
          <w:i w:val="0"/>
        </w:rPr>
        <w:t>5.3 Theoretical Contributions</w:t>
      </w:r>
    </w:p>
    <w:p>
      <w:pPr>
        <w:ind w:firstLine="720"/>
      </w:pPr>
      <w:r>
        <w:t>Trust research and its dark side. The first contribution is a configural account of excessive trust at the ecosystem level. Dark-side accounts explain excess through the trustor, the dyad, or the team (Gargiulo and Ertug, 2006; Goel et al., 2005; Langfred, 2004; Skinner et al., 2014), and each assumes that evidence of the excess is available to an observer positioned to look. Mesotrust relocates the excess to the evidentiary structure of the ecosystem. The paper imports the calibration insight from human factors research (de Visser et al., 2020; Lee and See, 2004; Parasuraman and Riley, 1997) and rebuilds it at the ecosystem level, with warrant and extension defined by domain and calibration read configurally. The compilational logic then explains why miscalibration in one agentic domain can bound the whole; the condition it acts on, extension exceeding warrant in one domain, appears in 21 of the 48 analyzed segments and in every Table V configuration. The process model gives that treatment its dynamics, showing how warrant erodes unseen and recovery stalls. To a literature Bigley and Pearce (1998) diagnosed as fragmented, and that recent reviews still find divided over the bases of trust (Legood et al., 2023), it offers one question every level can address, whether reliance matches evidence.</w:t>
      </w:r>
    </w:p>
    <w:p>
      <w:pPr>
        <w:ind w:firstLine="720"/>
      </w:pPr>
      <w:r>
        <w:t>Control and trust research asks whether formal governance substitutes for or complements trust (Gulati and Nickerson, 2008; Krishnan et al., 2006; Poppo and Zenger, 2002; Puranam and Vanneste, 2009) and how both change over time (Lumineau et al., 2023; Swärd et al., 2023). Calibration specifies when the trust doing the substituting is well founded. In overextension, trust economizes on governance precisely where governance is most needed, transmitting correlated failure. Action-reaction cycles presuppose that parties can observe each other; here the referent shapes the observation channel. Warrant can decay when an agent is revised without notice, while learned capability persists after withdrawal, so there is no prior state simply to restore (Dirks and Ferrin, 2001).</w:t>
      </w:r>
    </w:p>
    <w:p>
      <w:pPr>
        <w:ind w:firstLine="720"/>
      </w:pPr>
      <w:r>
        <w:t>Ecosystem research models structure and complementarity (Adner, 2017; Jacobides et al., 2018), often treating trust as background. Alliances can form from strategic need rather than prior assurance (Eisenhardt and Schoonhoven, 1996). The account adds alignment of evidence with reliance as a governance object. Collective action (Ostrom, 1990) requires verification when a shared resource can act upon monitoring.</w:t>
      </w:r>
    </w:p>
    <w:p>
      <w:pPr>
        <w:ind w:firstLine="720"/>
      </w:pPr>
      <w:r>
        <w:t>Artificial intelligence and organizing. Research on AI and organizing has analyzed the agentic turn primarily as a transformation of authority and work inside organizations (Kellogg et al., 2020; Raisch and Krakowski, 2021), and the recent special issue of this journal extends that program. Stelmaszak et al. (2026) theorize AI as an organizing capability arising from relations between humans and algorithms, with connectivity, codependence, and emergence as its properties; the present account shows what those properties do to evidence once the relations cross organizational boundaries. Humberd and Latham (2026) read AI as an agent of the firm through agency theory; mesotrust names the condition in which the principal’s monitoring runs through the agent. Vuori et al. (2026) find that combinations of cognitive and emotional trust in AI produce behaviours, among them blind trust and withdrawal, that feed back on the system’s performance within one firm; the typology developed here is the ecosystem-level counterpart, with overextension and underextension as configurations of evidence and reliance rather than as individual attitudes, and with the register showing their consequences. Chalmers et al. (2026) ask how organizations govern AI that changes faster than governance can follow and what delegation to AI does to trust, escalation, and error correction; the process model answers with the reordering of extension and verification and with the correction hazard of Proposition 4. Ramaul et al. (2026) warn against theorizing AI through rationality and anthropomorphism, and warrant and extension avoid both, since they describe evidence and coupling rather than a mind. For interorganizational cybersecurity (Dalal et al., 2021), the model relocates the unit of risk from the organization to the ecosystem and its calibration state, since exposure arises wherever any member extends reliance beyond warrant.</w:t>
      </w:r>
    </w:p>
    <w:p>
      <w:pPr>
        <w:pStyle w:val="Heading2"/>
      </w:pPr>
      <w:r>
        <w:rPr>
          <w:i w:val="0"/>
        </w:rPr>
        <w:t>5.4 Boundary Conditions and Adjacent Constructs</w:t>
      </w:r>
    </w:p>
    <w:p>
      <w:pPr>
        <w:ind w:firstLine="720"/>
      </w:pPr>
      <w:r>
        <w:t xml:space="preserve">Mesotrust calibration is not trust level under another name. Level answers how much an ecosystem trusts, and calibration answers whether that amount matches the evidence, so overextension combines a high level with poor correspondence. It is not absorptive capacity (Cohen and Levinthal, 1990), which can be ample in every member whose reliance still outruns its evidence. It is not trust repair (Dirks and Ferrin, 2001), which addresses restoration after observed violation, whereas overextension precedes violation and usually observation. Nor is it a call for less reliance, since underextension is a failure state </w:t>
      </w:r>
      <w:r>
        <w:t>and ecosystems learn by bounded excess (Proposition 5).</w:t>
      </w:r>
    </w:p>
    <w:p>
      <w:pPr>
        <w:ind w:firstLine="720"/>
      </w:pPr>
      <w:r>
        <w:t>The process model applies where members rely on shared, semi-autonomous infrastructure they did not build and cannot fully inspect, and where one member’s reliance creates others’ exposure. It is also bounded in time. Should interpretability, provenance infrastructure, and assurance markets make warrant cheap to establish, the classical ordering would reassert itself, so the cost of warrant is the parameter on which the model’s relevance turns.</w:t>
      </w:r>
    </w:p>
    <w:p>
      <w:pPr>
        <w:pStyle w:val="Heading2"/>
      </w:pPr>
      <w:r>
        <w:rPr>
          <w:i w:val="0"/>
        </w:rPr>
        <w:t>5.5 Implications for Practice</w:t>
      </w:r>
    </w:p>
    <w:p>
      <w:pPr>
        <w:ind w:firstLine="720"/>
      </w:pPr>
      <w:r>
        <w:t>The model answers the governance question by acting on extension, warrant, or their comparison (Table III; Appendix Table D1). Six disciplines follow: inventory reliance before expanding it (P11, A002); do not transfer warrant automatically across connections (Rose et al., 2020); quantify exposure for board allocation (P42, A032; P07, A035); give standing forums authority to limit reliance (P33, A019); use bounded leads sized to absorptive capacity; and price members’ stated risk appetites into contractual terms (P06, A011).</w:t>
      </w:r>
    </w:p>
    <w:p>
      <w:pPr>
        <w:ind w:firstLine="720"/>
      </w:pPr>
      <w:r>
        <w:t>These disciplines supplement NIST’s framework (NIST, 2023), OWASP’s agentic guidance (OWASP, 2025), ISO/IEC 42001 (ISO/IEC, 2023), and the EU AI Act (European Union, 2024, 2026). Each centers an organization or system; the archetypes ask which ecosystem state needs action and who verifies warrant outside the referent’s reach. California’s SB 813 and AB 1405 certify independent AI verification organizations and create an auditor registry. Executive Order N-9-26 directs verification of frontier developers’ safety frameworks and transparency reports and recurring independent evaluation (State of California, 2026a, 2026b).</w:t>
      </w:r>
    </w:p>
    <w:p>
      <w:pPr>
        <w:ind w:firstLine="720"/>
      </w:pPr>
      <w:r>
        <w:t xml:space="preserve">The reflexivity dimension adds a seventh discipline that the first six presuppose, which is to house verification outside the referent’s reach. For most organizations this means </w:t>
      </w:r>
      <w:r>
        <w:t>not routing monitoring exclusively through the infrastructure being monitored (Proposition 1).</w:t>
      </w:r>
      <w:r>
        <w:t xml:space="preserve"> For frontier systems it means isolated evaluation environments and independent observers of high-stakes tests.</w:t>
      </w:r>
    </w:p>
    <w:p>
      <w:pPr>
        <w:pStyle w:val="Heading2"/>
      </w:pPr>
      <w:r>
        <w:rPr>
          <w:i w:val="0"/>
        </w:rPr>
        <w:t>5.6 Limitations and Future Research</w:t>
      </w:r>
    </w:p>
    <w:p>
      <w:pPr>
        <w:ind w:firstLine="720"/>
      </w:pPr>
      <w:r>
        <w:t>The evidence for the typology and the process model is a plausibility probe. It shows that the constructs are codable and that the predicted patterns recur across independent sources; establishing population distributions, effect sizes, and causal weight is the work of the designs proposed below. The practitioner data are public talk by leaders at a venue devoted to risk quantification, so the calibrated archetype is operationalized largely in quantification talk, the underextended and dormant archetypes are thinly populated there, and their trajectories rest on the register of publicized failures (Appendix Tables C1 and C2). One speaker supplies nine of the 48 analyzed segments and both interpersonal segments; without that speaker overextension (18) exceeds calibration (16) among the remaining 39, so the paper claims that the two large cells are of similar size and not that calibration is modal. The two independent codings agree substantially on trust domain and mechanism and moderately on the unweighted kappas for the two ordinal judgments from which state is derived, though the weighted kappas are higher (Table A2). Because state is a threshold function of those scales, the derivation rule matters. Section 4 reports the frozen rule and a strict symmetric rule side by side, and the eleven segments that change cell between them were adjudicated in the third coding round, and none describes evidenced capability that is withheld. Table V was coded blind by one of the segment coders, and agreement rose from 6 to 14 of 16 cells once referent and source rules were written; because those rules were written after the disagreements had been seen, a third round completed before submission recoded the exit cells of all four incidents and coded two further 2026 incidents under rules fixed in advance, the two coders agreeing on 25 of 32 exit cells and 24 of 32 new-incident cells at the collapsed levels (Appendix A). The theoretical claims rest not on point values but on the occupancy of all four cells, on the infrastructural concentration that both coders return independently, and on mechanisms established qualitatively and corroborated in the register.</w:t>
      </w:r>
    </w:p>
    <w:p>
      <w:pPr>
        <w:ind w:firstLine="720"/>
      </w:pPr>
      <w:r>
        <w:t>Three claims of earlier drafts are held as conjectures because no source here observes them, and they define the first item of the agenda. They are that calibrated ecosystems outperform overextended ones on sustained collaborative innovation, holding aggregate trust constant (Figure 1, box D); that uniform governance across systems of differing autonomy miscalibrates in both directions at once; and that incongruent risk appetites among members push an ecosystem toward one miscalibrated state or the other. Three empirical programs follow. A measurement program should operationalize extension through integration inventories, delegation registers, and access scopes, and warrant through assurance artifacts, evaluation results, and provenance records, and should test the outcome conjecture with configural methods such as qualitative comparative analysis (Fiss, 2011). A process program should trace ecosystems longitudinally through the transitions of Figure 3, asking whether states are reversible after correction. A design program should compare instrumentation regimes, forum designs, and allocations of authority.</w:t>
      </w:r>
    </w:p>
    <w:p>
      <w:pPr>
        <w:pStyle w:val="Heading1"/>
      </w:pPr>
      <w:r>
        <w:t>6. Conclusion</w:t>
      </w:r>
    </w:p>
    <w:p>
      <w:pPr>
        <w:ind w:firstLine="720"/>
      </w:pPr>
      <w:r>
        <w:t>Organizations can extend AI-enabled collaboration faster than they obtain evidence for it. Producers’ release schedules change the referent while adopters’ connections expand exposure. Trust research explains scarcity of trust; mesotrust addresses excess reliance whose monitoring passes through the layer in question. Practitioner data, the independent risk taxonomy, and incidents show a codable, recurrent condition, not a population rate. Calibration requires instruments, forums, and authority that compare warrant with extension before public failure makes correction costly. Accumulation alone cannot ensure sound trust where successful use itself hides the evidentiary gap.</w:t>
      </w:r>
    </w:p>
    <w:p>
      <w:pPr>
        <w:pStyle w:val="Heading1"/>
      </w:pPr>
      <w:r>
        <w:t>REFERENCES</w:t>
      </w:r>
    </w:p>
    <w:p>
      <w:pPr>
        <w:widowControl w:val="0"/>
        <w:ind w:left="720" w:hanging="720"/>
      </w:pPr>
      <w:r>
        <w:t xml:space="preserve">Adner, R. (2017). ‘Ecosystem as structure: An actionable construct for strategy’. </w:t>
      </w:r>
      <w:r>
        <w:rPr>
          <w:i/>
        </w:rPr>
        <w:t>Journal of Management</w:t>
      </w:r>
      <w:r>
        <w:t>, 43, 39-58.</w:t>
      </w:r>
    </w:p>
    <w:p>
      <w:pPr>
        <w:widowControl w:val="0"/>
        <w:ind w:left="720" w:hanging="720"/>
      </w:pPr>
      <w:r>
        <w:t xml:space="preserve">Anthony, C., Bechky, B. A. and Fayard, A.-L. (2023). ‘“Collaborating” with AI: Taking a system view to explore the future of work’. </w:t>
      </w:r>
      <w:r>
        <w:rPr>
          <w:i/>
        </w:rPr>
        <w:t>Organization Science</w:t>
      </w:r>
      <w:r>
        <w:t>, 34, 1672-1694.</w:t>
      </w:r>
    </w:p>
    <w:p>
      <w:pPr>
        <w:widowControl w:val="0"/>
        <w:ind w:left="720" w:hanging="720"/>
      </w:pPr>
      <w:r>
        <w:t xml:space="preserve">Anthropic (2025). </w:t>
      </w:r>
      <w:r>
        <w:rPr>
          <w:i/>
        </w:rPr>
        <w:t>Agentic Misalignment: How LLMs Could Be Insider Threats</w:t>
      </w:r>
      <w:r>
        <w:t>. Research report, 20 June. San Francisco, CA: Anthropic. Available at: https://www.anthropic.com/research/agentic-misalignment (accessed 21 September 2026).</w:t>
      </w:r>
    </w:p>
    <w:p>
      <w:pPr>
        <w:widowControl w:val="0"/>
        <w:ind w:left="720" w:hanging="720"/>
      </w:pPr>
      <w:r>
        <w:t xml:space="preserve">Bachmann, R. and Inkpen, A. C. (2011). ‘Understanding institutional-based trust building processes in inter-organizational relationships’. </w:t>
      </w:r>
      <w:r>
        <w:rPr>
          <w:i/>
        </w:rPr>
        <w:t>Organization Studies</w:t>
      </w:r>
      <w:r>
        <w:t>, 32, 281-301.</w:t>
      </w:r>
    </w:p>
    <w:p>
      <w:pPr>
        <w:widowControl w:val="0"/>
        <w:ind w:left="720" w:hanging="720"/>
      </w:pPr>
      <w:r>
        <w:t xml:space="preserve">Bigley, G. A. and Pearce, J. L. (1998). ‘Straining for shared meaning in organization science: Problems of trust and distrust’. </w:t>
      </w:r>
      <w:r>
        <w:rPr>
          <w:i/>
        </w:rPr>
        <w:t>Academy of Management Review</w:t>
      </w:r>
      <w:r>
        <w:t>, 23, 405-421.</w:t>
      </w:r>
    </w:p>
    <w:p>
      <w:pPr>
        <w:widowControl w:val="0"/>
        <w:ind w:left="720" w:hanging="720"/>
      </w:pPr>
      <w:r>
        <w:t xml:space="preserve">Bloomberg (2023). ‘Samsung bans ChatGPT, Google Bard, other generative AI use by staff after leak’. </w:t>
      </w:r>
      <w:r>
        <w:rPr>
          <w:i/>
        </w:rPr>
        <w:t>Bloomberg</w:t>
      </w:r>
      <w:r>
        <w:t>, 2 May. Available at: https://www.bloomberg.com/news/articles/2023-05-02 (accessed 21 September 2026).</w:t>
      </w:r>
    </w:p>
    <w:p>
      <w:pPr>
        <w:widowControl w:val="0"/>
        <w:ind w:left="720" w:hanging="720"/>
      </w:pPr>
      <w:r>
        <w:t xml:space="preserve">Carlile, P. R. (2004). ‘Transferring, translating, and transforming: An integrative framework for managing knowledge across boundaries’. </w:t>
      </w:r>
      <w:r>
        <w:rPr>
          <w:i/>
        </w:rPr>
        <w:t>Organization Science</w:t>
      </w:r>
      <w:r>
        <w:t>, 15, 555-568.</w:t>
      </w:r>
    </w:p>
    <w:p>
      <w:pPr>
        <w:widowControl w:val="0"/>
        <w:ind w:left="720" w:hanging="720"/>
      </w:pPr>
      <w:r>
        <w:t xml:space="preserve">CFO Dive (2025). ‘Deloitte refunds over $60K for report with AI errors, Australian government says’. </w:t>
      </w:r>
      <w:r>
        <w:rPr>
          <w:i/>
        </w:rPr>
        <w:t>CFO Dive</w:t>
      </w:r>
      <w:r>
        <w:t>, 21 October. Available at: https://www.cfodive.com/news/deloitte-refunds-60k-report-ai-errors/803321/ (accessed 21 September 2026).</w:t>
      </w:r>
    </w:p>
    <w:p>
      <w:pPr>
        <w:widowControl w:val="0"/>
        <w:ind w:left="720" w:hanging="720"/>
      </w:pPr>
      <w:r>
        <w:t xml:space="preserve">Chalmers, D., Hunt, R., Pachidi, S., Potočnik, K. and Townsend, D. (2026). ‘The acceleration of artificial intelligence: Rethinking organization and work in an era of rapid technological change’. </w:t>
      </w:r>
      <w:r>
        <w:rPr>
          <w:i/>
        </w:rPr>
        <w:t>Journal of Management Studies</w:t>
      </w:r>
      <w:r>
        <w:t>, 63, 285-314.</w:t>
      </w:r>
    </w:p>
    <w:p>
      <w:pPr>
        <w:widowControl w:val="0"/>
        <w:ind w:left="720" w:hanging="720"/>
      </w:pPr>
      <w:r>
        <w:t xml:space="preserve">CIO (2026). ‘Samsung reverses years-long ban on external gen AI use’. </w:t>
      </w:r>
      <w:r>
        <w:rPr>
          <w:i/>
        </w:rPr>
        <w:t>CIO</w:t>
      </w:r>
      <w:r>
        <w:t>, 12 June. Available at: https://www.cio.com/article/4184660/samsung-which-previously-blocked-chatgpt-is-now-fully-adopting-three-generative-ai-models-and-accelerating-its-ax-initiative.html (accessed 21 September 2026).</w:t>
      </w:r>
    </w:p>
    <w:p>
      <w:pPr>
        <w:widowControl w:val="0"/>
        <w:ind w:left="720" w:hanging="720"/>
      </w:pPr>
      <w:r>
        <w:t xml:space="preserve">Cloud Security Alliance and Token Security (2026). </w:t>
      </w:r>
      <w:r>
        <w:rPr>
          <w:i/>
        </w:rPr>
        <w:t>Autonomous but Not Controlled: AI Agent Incidents Now Common in Enterprises</w:t>
      </w:r>
      <w:r>
        <w:t>. Report, 21 April. Seattle, WA: Cloud Security Alliance.</w:t>
      </w:r>
    </w:p>
    <w:p>
      <w:pPr>
        <w:widowControl w:val="0"/>
        <w:ind w:left="720" w:hanging="720"/>
      </w:pPr>
      <w:r>
        <w:t xml:space="preserve">CNBC (2026). ‘OpenAI’s Hugging Face hack triggers “AI Kill Switch” bill in Congress’. </w:t>
      </w:r>
      <w:r>
        <w:rPr>
          <w:i/>
        </w:rPr>
        <w:t>CNBC</w:t>
      </w:r>
      <w:r>
        <w:t>, 23 July. Available at: https://www.cnbc.com/2026/07/23/open-ai-hugging-face-hack-kill-switch-bill-congress.html (accessed 21 September 2026).</w:t>
      </w:r>
    </w:p>
    <w:p>
      <w:pPr>
        <w:widowControl w:val="0"/>
        <w:ind w:left="720" w:hanging="720"/>
      </w:pPr>
      <w:r>
        <w:t xml:space="preserve">CodeWall (2026). ‘How we hacked McKinsey’s AI platform’. </w:t>
      </w:r>
      <w:r>
        <w:rPr>
          <w:i/>
        </w:rPr>
        <w:t>CodeWall</w:t>
      </w:r>
      <w:r>
        <w:t>, 9 March. Available at: https://codewall.ai/blog/how-we-hacked-mckinseys-ai-platform (accessed 21 September 2026).</w:t>
      </w:r>
    </w:p>
    <w:p>
      <w:pPr>
        <w:widowControl w:val="0"/>
        <w:ind w:left="720" w:hanging="720"/>
      </w:pPr>
      <w:r>
        <w:t xml:space="preserve">Cohen, J. (1968). ‘Weighted kappa: Nominal scale agreement with provision for scaled disagreement or partial credit’. </w:t>
      </w:r>
      <w:r>
        <w:rPr>
          <w:i/>
        </w:rPr>
        <w:t>Psychological Bulletin</w:t>
      </w:r>
      <w:r>
        <w:t>, 70, 213-220.</w:t>
      </w:r>
    </w:p>
    <w:p>
      <w:pPr>
        <w:widowControl w:val="0"/>
        <w:ind w:left="720" w:hanging="720"/>
      </w:pPr>
      <w:r>
        <w:t xml:space="preserve">Cohen, W. M. and Levinthal, D. A. (1990). ‘Absorptive capacity: A new perspective on learning and innovation’. </w:t>
      </w:r>
      <w:r>
        <w:rPr>
          <w:i/>
        </w:rPr>
        <w:t>Administrative Science Quarterly</w:t>
      </w:r>
      <w:r>
        <w:t>, 35, 128-152.</w:t>
      </w:r>
    </w:p>
    <w:p>
      <w:pPr>
        <w:widowControl w:val="0"/>
        <w:ind w:left="720" w:hanging="720"/>
      </w:pPr>
      <w:r>
        <w:t xml:space="preserve">Currall, S. C. and Inkpen, A. C. (2002). ‘A multilevel approach to trust in joint ventures’. </w:t>
      </w:r>
      <w:r>
        <w:rPr>
          <w:i/>
        </w:rPr>
        <w:t>Journal of International Business Studies</w:t>
      </w:r>
      <w:r>
        <w:t>, 33, 479-495.</w:t>
      </w:r>
    </w:p>
    <w:p>
      <w:pPr>
        <w:widowControl w:val="0"/>
        <w:ind w:left="720" w:hanging="720"/>
      </w:pPr>
      <w:r>
        <w:t xml:space="preserve">Dalal, R. S., Howard, D. J., Bennett, R. J., Posey, C., Zaccaro, S. J. and Brummel, B. J. (2021). ‘Organizational science and cybersecurity: Abundant opportunities for research at the interface’. </w:t>
      </w:r>
      <w:r>
        <w:rPr>
          <w:i/>
        </w:rPr>
        <w:t>Journal of Business and Psychology</w:t>
      </w:r>
      <w:r>
        <w:t>, 37, 1-29.</w:t>
      </w:r>
    </w:p>
    <w:p>
      <w:pPr>
        <w:widowControl w:val="0"/>
        <w:ind w:left="720" w:hanging="720"/>
      </w:pPr>
      <w:r>
        <w:t xml:space="preserve">Dirks, K. T. and Ferrin, D. L. (2001). ‘The role of trust in organizational settings’. </w:t>
      </w:r>
      <w:r>
        <w:rPr>
          <w:i/>
        </w:rPr>
        <w:t>Organization Science</w:t>
      </w:r>
      <w:r>
        <w:t>, 12, 450-467.</w:t>
      </w:r>
    </w:p>
    <w:p>
      <w:pPr>
        <w:widowControl w:val="0"/>
        <w:ind w:left="720" w:hanging="720"/>
      </w:pPr>
      <w:r>
        <w:t xml:space="preserve">Doty, D. H. and Glick, W. H. (1994). ‘Typologies as a unique form of theory building: Toward improved understanding and modeling’. </w:t>
      </w:r>
      <w:r>
        <w:rPr>
          <w:i/>
        </w:rPr>
        <w:t>Academy of Management Review</w:t>
      </w:r>
      <w:r>
        <w:t>, 19, 230-251.</w:t>
      </w:r>
    </w:p>
    <w:p>
      <w:pPr>
        <w:widowControl w:val="0"/>
        <w:ind w:left="720" w:hanging="720"/>
      </w:pPr>
      <w:r>
        <w:t xml:space="preserve">Eisenhardt, K. M. (1989). ‘Agency theory: An assessment and review’. </w:t>
      </w:r>
      <w:r>
        <w:rPr>
          <w:i/>
        </w:rPr>
        <w:t>Academy of Management Review</w:t>
      </w:r>
      <w:r>
        <w:t>, 14, 57-74.</w:t>
      </w:r>
    </w:p>
    <w:p>
      <w:pPr>
        <w:widowControl w:val="0"/>
        <w:ind w:left="720" w:hanging="720"/>
      </w:pPr>
      <w:r>
        <w:t xml:space="preserve">Eisenhardt, K. M. and Schoonhoven, C. B. (1996). ‘Resource-based view of strategic alliance formation: Strategic and social effects in entrepreneurial firms’. </w:t>
      </w:r>
      <w:r>
        <w:rPr>
          <w:i/>
        </w:rPr>
        <w:t>Organization Science</w:t>
      </w:r>
      <w:r>
        <w:t>, 7, 136-150.</w:t>
      </w:r>
    </w:p>
    <w:p>
      <w:pPr>
        <w:widowControl w:val="0"/>
        <w:ind w:left="720" w:hanging="720"/>
      </w:pPr>
      <w:r>
        <w:t xml:space="preserve">European Union (2024). ‘Regulation (EU) 2024/1689 (Artificial Intelligence Act)’. </w:t>
      </w:r>
      <w:r>
        <w:rPr>
          <w:i/>
        </w:rPr>
        <w:t>Official Journal of the European Union</w:t>
      </w:r>
      <w:r>
        <w:t>, L, 12 July. Available at: http://data.europa.eu/eli/reg/2024/1689/oj (accessed 21 September 2026).</w:t>
      </w:r>
    </w:p>
    <w:p>
      <w:pPr>
        <w:widowControl w:val="0"/>
        <w:ind w:left="720" w:hanging="720"/>
      </w:pPr>
      <w:r>
        <w:t xml:space="preserve">European Union (2026). ‘Regulation (EU) 2026/1744 amending Regulation (EU) 2024/1689 on artificial intelligence (Digital Omnibus on AI)’. </w:t>
      </w:r>
      <w:r>
        <w:rPr>
          <w:i/>
        </w:rPr>
        <w:t>Official Journal of the European Union</w:t>
      </w:r>
      <w:r>
        <w:t>, L, 24 July. Available at: http://data.europa.eu/eli/reg/2026/1744/oj (accessed 21 September 2026).</w:t>
      </w:r>
    </w:p>
    <w:p>
      <w:pPr>
        <w:widowControl w:val="0"/>
        <w:ind w:left="720" w:hanging="720"/>
      </w:pPr>
      <w:r>
        <w:t xml:space="preserve">Fiss, P. C. (2011). ‘Building better causal theories: A fuzzy set approach to typologies in organization research’. </w:t>
      </w:r>
      <w:r>
        <w:rPr>
          <w:i/>
        </w:rPr>
        <w:t>Academy of Management Journal</w:t>
      </w:r>
      <w:r>
        <w:t>, 54, 393-420.</w:t>
      </w:r>
    </w:p>
    <w:p>
      <w:pPr>
        <w:widowControl w:val="0"/>
        <w:ind w:left="720" w:hanging="720"/>
      </w:pPr>
      <w:r>
        <w:t xml:space="preserve">Fortune (2023). ‘Samsung threatens to fire employees if they leak data to A.I. chatbots like ChatGPT’. </w:t>
      </w:r>
      <w:r>
        <w:rPr>
          <w:i/>
        </w:rPr>
        <w:t>Fortune</w:t>
      </w:r>
      <w:r>
        <w:t>, 2 May. Available at: https://fortune.com/2023/05/02/samsung-bans-employee-use-chatgpt-data-leak (accessed 21 September 2026).</w:t>
      </w:r>
    </w:p>
    <w:p>
      <w:pPr>
        <w:widowControl w:val="0"/>
        <w:ind w:left="720" w:hanging="720"/>
      </w:pPr>
      <w:r>
        <w:t xml:space="preserve">Fortune (2025). ‘Deloitte was caught using AI in a report to the Australian government after a researcher flagged hallucinations’. </w:t>
      </w:r>
      <w:r>
        <w:rPr>
          <w:i/>
        </w:rPr>
        <w:t>Fortune</w:t>
      </w:r>
      <w:r>
        <w:t>, 7 October. Available at: https://fortune.com/2025/10/07/deloitte-ai-australia-government-report-hallucinations (accessed 21 September 2026).</w:t>
      </w:r>
    </w:p>
    <w:p>
      <w:pPr>
        <w:widowControl w:val="0"/>
        <w:ind w:left="720" w:hanging="720"/>
      </w:pPr>
      <w:r>
        <w:t xml:space="preserve">Fulmer, C. A. and Gelfand, M. J. (2012). ‘At what level (and in whom) we trust: Trust across multiple organizational levels’. </w:t>
      </w:r>
      <w:r>
        <w:rPr>
          <w:i/>
        </w:rPr>
        <w:t>Journal of Management</w:t>
      </w:r>
      <w:r>
        <w:t>, 38, 1167-1230.</w:t>
      </w:r>
    </w:p>
    <w:p>
      <w:pPr>
        <w:widowControl w:val="0"/>
        <w:ind w:left="720" w:hanging="720"/>
      </w:pPr>
      <w:r>
        <w:t xml:space="preserve">Gargiulo, M. and Ertug, G. (2006). ‘The dark side of trust’. In Bachmann, R. and Zaheer, A. (Eds), </w:t>
      </w:r>
      <w:r>
        <w:rPr>
          <w:i/>
        </w:rPr>
        <w:t>Handbook of Trust Research</w:t>
      </w:r>
      <w:r>
        <w:t>. Cheltenham: Edward Elgar, 165-186.</w:t>
      </w:r>
    </w:p>
    <w:p>
      <w:pPr>
        <w:widowControl w:val="0"/>
        <w:ind w:left="720" w:hanging="720"/>
      </w:pPr>
      <w:r>
        <w:t>Gartner (2026). ‘Gartner says applying uniform governance across AI agents will lead to enterprise AI agent failure’. Press release, 26 May. Stamford, CT: Gartner.</w:t>
      </w:r>
    </w:p>
    <w:p>
      <w:pPr>
        <w:widowControl w:val="0"/>
        <w:ind w:left="720" w:hanging="720"/>
      </w:pPr>
      <w:r>
        <w:t xml:space="preserve">Glikson, E. and Woolley, A. W. (2020). ‘Human trust in artificial intelligence: Review of empirical research’. </w:t>
      </w:r>
      <w:r>
        <w:rPr>
          <w:i/>
        </w:rPr>
        <w:t>Academy of Management Annals</w:t>
      </w:r>
      <w:r>
        <w:t>, 14, 627-660.</w:t>
      </w:r>
    </w:p>
    <w:p>
      <w:pPr>
        <w:widowControl w:val="0"/>
        <w:ind w:left="720" w:hanging="720"/>
      </w:pPr>
      <w:r>
        <w:t xml:space="preserve">Goel, S., Bell, G. G. and Pierce, J. L. (2005). ‘The perils of Pollyanna: Development of the over-trust construct’. </w:t>
      </w:r>
      <w:r>
        <w:rPr>
          <w:i/>
        </w:rPr>
        <w:t>Journal of Business Ethics</w:t>
      </w:r>
      <w:r>
        <w:t>, 58, 203-218.</w:t>
      </w:r>
    </w:p>
    <w:p>
      <w:pPr>
        <w:widowControl w:val="0"/>
        <w:ind w:left="720" w:hanging="720"/>
      </w:pPr>
      <w:r>
        <w:t xml:space="preserve">Gulati, R. and Nickerson, J. A. (2008). ‘Interorganizational trust, governance choice, and exchange performance’. </w:t>
      </w:r>
      <w:r>
        <w:rPr>
          <w:i/>
        </w:rPr>
        <w:t>Organization Science</w:t>
      </w:r>
      <w:r>
        <w:t>, 19, 688-708.</w:t>
      </w:r>
    </w:p>
    <w:p>
      <w:pPr>
        <w:widowControl w:val="0"/>
        <w:ind w:left="720" w:hanging="720"/>
      </w:pPr>
      <w:r>
        <w:t xml:space="preserve">Hannah, D. R. and Lautsch, B. A. (2011). ‘Counting in qualitative research: Why to conduct it, when to avoid it, and when to closet it’. </w:t>
      </w:r>
      <w:r>
        <w:rPr>
          <w:i/>
        </w:rPr>
        <w:t>Journal of Management Inquiry</w:t>
      </w:r>
      <w:r>
        <w:t>, 20, 14-22.</w:t>
      </w:r>
    </w:p>
    <w:p>
      <w:pPr>
        <w:widowControl w:val="0"/>
        <w:ind w:left="720" w:hanging="720"/>
      </w:pPr>
      <w:r>
        <w:t xml:space="preserve">Humberd, B. K. and Latham, S. F. (2026). ‘When AI becomes an agent of the firm: Examining the evolution of AI in organizations through an agency theory lens’. </w:t>
      </w:r>
      <w:r>
        <w:rPr>
          <w:i/>
        </w:rPr>
        <w:t>Journal of Management Studies</w:t>
      </w:r>
      <w:r>
        <w:t>, 63, 668-694.</w:t>
      </w:r>
    </w:p>
    <w:p>
      <w:pPr>
        <w:widowControl w:val="0"/>
        <w:ind w:left="720" w:hanging="720"/>
      </w:pPr>
      <w:r>
        <w:t xml:space="preserve">Huysman, M. (2026). ‘Studying AI in the wild: Reflections from the AI@Work research group’. </w:t>
      </w:r>
      <w:r>
        <w:rPr>
          <w:i/>
        </w:rPr>
        <w:t>Journal of Management Studies</w:t>
      </w:r>
      <w:r>
        <w:t>, 63, 315-334.</w:t>
      </w:r>
    </w:p>
    <w:p>
      <w:pPr>
        <w:widowControl w:val="0"/>
        <w:ind w:left="720" w:hanging="720"/>
      </w:pPr>
      <w:r>
        <w:t xml:space="preserve">ISO/IEC (2023). </w:t>
      </w:r>
      <w:r>
        <w:rPr>
          <w:i/>
        </w:rPr>
        <w:t>ISO/IEC 42001:2023 Information Technology, Artificial Intelligence, Management System</w:t>
      </w:r>
      <w:r>
        <w:t>. Geneva: International Organization for Standardization. Available at: https://www.iso.org/standard/42001 (accessed 21 September 2026).</w:t>
      </w:r>
    </w:p>
    <w:p>
      <w:pPr>
        <w:widowControl w:val="0"/>
        <w:ind w:left="720" w:hanging="720"/>
      </w:pPr>
      <w:r>
        <w:t xml:space="preserve">Jacobides, M. G., Cennamo, C. and Gawer, A. (2018). ‘Towards a theory of ecosystems’. </w:t>
      </w:r>
      <w:r>
        <w:rPr>
          <w:i/>
        </w:rPr>
        <w:t>Strategic Management Journal</w:t>
      </w:r>
      <w:r>
        <w:t>, 39, 2255-2276.</w:t>
      </w:r>
    </w:p>
    <w:p>
      <w:pPr>
        <w:widowControl w:val="0"/>
        <w:ind w:left="720" w:hanging="720"/>
      </w:pPr>
      <w:r>
        <w:t xml:space="preserve">Jick, T. D. (1979). ‘Mixing qualitative and quantitative methods: Triangulation in action’. </w:t>
      </w:r>
      <w:r>
        <w:rPr>
          <w:i/>
        </w:rPr>
        <w:t>Administrative Science Quarterly</w:t>
      </w:r>
      <w:r>
        <w:t>, 24, 602-611.</w:t>
      </w:r>
    </w:p>
    <w:p>
      <w:pPr>
        <w:widowControl w:val="0"/>
        <w:ind w:left="720" w:hanging="720"/>
      </w:pPr>
      <w:r>
        <w:t xml:space="preserve">Kellogg, K. C., Valentine, M. A. and Christin, A. (2020). ‘Algorithms at work: The new contested terrain of control’. </w:t>
      </w:r>
      <w:r>
        <w:rPr>
          <w:i/>
        </w:rPr>
        <w:t>Academy of Management Annals</w:t>
      </w:r>
      <w:r>
        <w:t>, 14, 366-410.</w:t>
      </w:r>
    </w:p>
    <w:p>
      <w:pPr>
        <w:widowControl w:val="0"/>
        <w:ind w:left="720" w:hanging="720"/>
      </w:pPr>
      <w:r>
        <w:t xml:space="preserve">Kozlowski, S. W. J. and Klein, K. J. (2000). ‘A multilevel approach to theory and research in organizations: Contextual, temporal, and emergent processes’. In Klein, K. J. and Kozlowski, S. W. J. (Eds), </w:t>
      </w:r>
      <w:r>
        <w:rPr>
          <w:i/>
        </w:rPr>
        <w:t>Multilevel Theory, Research, and Methods in Organizations</w:t>
      </w:r>
      <w:r>
        <w:t>. San Francisco, CA: Jossey-Bass, 3-90.</w:t>
      </w:r>
    </w:p>
    <w:p>
      <w:pPr>
        <w:widowControl w:val="0"/>
        <w:ind w:left="720" w:hanging="720"/>
      </w:pPr>
      <w:r>
        <w:t xml:space="preserve">Krishnan, R., Martin, X. and Noorderhaven, N. G. (2006). ‘When does trust matter to alliance performance?’. </w:t>
      </w:r>
      <w:r>
        <w:rPr>
          <w:i/>
        </w:rPr>
        <w:t>Academy of Management Journal</w:t>
      </w:r>
      <w:r>
        <w:t>, 49, 894-917.</w:t>
      </w:r>
    </w:p>
    <w:p>
      <w:pPr>
        <w:widowControl w:val="0"/>
        <w:ind w:left="720" w:hanging="720"/>
      </w:pPr>
      <w:r>
        <w:t xml:space="preserve">Langfred, C. W. (2004). ‘Too much of a good thing? Negative effects of high trust and individual autonomy in self-managing teams’. </w:t>
      </w:r>
      <w:r>
        <w:rPr>
          <w:i/>
        </w:rPr>
        <w:t>Academy of Management Journal</w:t>
      </w:r>
      <w:r>
        <w:t>, 47, 385-399.</w:t>
      </w:r>
    </w:p>
    <w:p>
      <w:pPr>
        <w:widowControl w:val="0"/>
        <w:ind w:left="720" w:hanging="720"/>
      </w:pPr>
      <w:r>
        <w:t xml:space="preserve">Langley, A. (1999). ‘Strategies for theorizing from process data’. </w:t>
      </w:r>
      <w:r>
        <w:rPr>
          <w:i/>
        </w:rPr>
        <w:t>Academy of Management Review</w:t>
      </w:r>
      <w:r>
        <w:t>, 24, 691-710.</w:t>
      </w:r>
    </w:p>
    <w:p>
      <w:pPr>
        <w:widowControl w:val="0"/>
        <w:ind w:left="720" w:hanging="720"/>
      </w:pPr>
      <w:r>
        <w:t xml:space="preserve">Lebovitz, S., Lifshitz-Assaf, H. and Levina, N. (2022). ‘To engage or not to engage with AI for critical judgments: How professionals deal with opacity when using AI for medical diagnosis’. </w:t>
      </w:r>
      <w:r>
        <w:rPr>
          <w:i/>
        </w:rPr>
        <w:t>Organization Science</w:t>
      </w:r>
      <w:r>
        <w:t>, 33, 126-148.</w:t>
      </w:r>
    </w:p>
    <w:p>
      <w:pPr>
        <w:widowControl w:val="0"/>
        <w:ind w:left="720" w:hanging="720"/>
      </w:pPr>
      <w:r>
        <w:t xml:space="preserve">Lee, J. D. and See, K. A. (2004). ‘Trust in automation: Designing for appropriate reliance’. </w:t>
      </w:r>
      <w:r>
        <w:rPr>
          <w:i/>
        </w:rPr>
        <w:t>Human Factors</w:t>
      </w:r>
      <w:r>
        <w:t>, 46, 50-80.</w:t>
      </w:r>
    </w:p>
    <w:p>
      <w:pPr>
        <w:widowControl w:val="0"/>
        <w:ind w:left="720" w:hanging="720"/>
      </w:pPr>
      <w:r>
        <w:t xml:space="preserve">Legood, A., van der Werff, L., Lee, A., den Hartog, D. and van Knippenberg, D. (2023). ‘A critical review of the conceptualization, operationalization, and empirical literature on cognition-based and affect-based trust’. </w:t>
      </w:r>
      <w:r>
        <w:rPr>
          <w:i/>
        </w:rPr>
        <w:t>Journal of Management Studies</w:t>
      </w:r>
      <w:r>
        <w:t>, 60, 495-537.</w:t>
      </w:r>
    </w:p>
    <w:p>
      <w:pPr>
        <w:widowControl w:val="0"/>
        <w:ind w:left="720" w:hanging="720"/>
      </w:pPr>
      <w:r>
        <w:t xml:space="preserve">Levitt, B. and March, J. G. (1988). ‘Organizational learning’. </w:t>
      </w:r>
      <w:r>
        <w:rPr>
          <w:i/>
        </w:rPr>
        <w:t>Annual Review of Sociology</w:t>
      </w:r>
      <w:r>
        <w:t>, 14, 319-340.</w:t>
      </w:r>
    </w:p>
    <w:p>
      <w:pPr>
        <w:widowControl w:val="0"/>
        <w:ind w:left="720" w:hanging="720"/>
      </w:pPr>
      <w:r>
        <w:t xml:space="preserve">Lewicki, R. J., McAllister, D. J. and Bies, R. J. (1998). ‘Trust and distrust: New relationships and realities’. </w:t>
      </w:r>
      <w:r>
        <w:rPr>
          <w:i/>
        </w:rPr>
        <w:t>Academy of Management Review</w:t>
      </w:r>
      <w:r>
        <w:t>, 23, 438-458.</w:t>
      </w:r>
    </w:p>
    <w:p>
      <w:pPr>
        <w:widowControl w:val="0"/>
        <w:ind w:left="720" w:hanging="720"/>
      </w:pPr>
      <w:r>
        <w:t xml:space="preserve">Lumineau, F., Long, C., Sitkin, S. B., Argyres, N. and Markman, G. (2023). ‘Rethinking control and trust dynamics in and between organizations’. </w:t>
      </w:r>
      <w:r>
        <w:rPr>
          <w:i/>
        </w:rPr>
        <w:t>Journal of Management Studies</w:t>
      </w:r>
      <w:r>
        <w:t>, 60, 1937-1961.</w:t>
      </w:r>
    </w:p>
    <w:p>
      <w:pPr>
        <w:widowControl w:val="0"/>
        <w:ind w:left="720" w:hanging="720"/>
      </w:pPr>
      <w:r>
        <w:t xml:space="preserve">Mayer, R. C., Davis, J. H. and Schoorman, F. D. (1995). ‘An integrative model of organizational trust’. </w:t>
      </w:r>
      <w:r>
        <w:rPr>
          <w:i/>
        </w:rPr>
        <w:t>Academy of Management Review</w:t>
      </w:r>
      <w:r>
        <w:t>, 20, 709-734.</w:t>
      </w:r>
    </w:p>
    <w:p>
      <w:pPr>
        <w:widowControl w:val="0"/>
        <w:ind w:left="720" w:hanging="720"/>
      </w:pPr>
      <w:r>
        <w:t xml:space="preserve">McKinsey and Company (2026). ‘Statement on strengthening safeguards within the Lilli tool’. </w:t>
      </w:r>
      <w:r>
        <w:rPr>
          <w:i/>
        </w:rPr>
        <w:t>McKinsey and Company</w:t>
      </w:r>
      <w:r>
        <w:t>, 11 March. Available at: https://www.mckinsey.com/about-us/media/statement-on-strengthening-safeguards-within-the-lilli-tool (accessed 21 September 2026).</w:t>
      </w:r>
    </w:p>
    <w:p>
      <w:pPr>
        <w:widowControl w:val="0"/>
        <w:ind w:left="720" w:hanging="720"/>
      </w:pPr>
      <w:r>
        <w:t xml:space="preserve">McKnight, D. H., Carter, M., Thatcher, J. B. and Clay, P. F. (2011). ‘Trust in a specific technology: An investigation of its components and measures’. </w:t>
      </w:r>
      <w:r>
        <w:rPr>
          <w:i/>
        </w:rPr>
        <w:t>ACM Transactions on Management Information Systems</w:t>
      </w:r>
      <w:r>
        <w:t>, 2, Article 12.</w:t>
      </w:r>
    </w:p>
    <w:p>
      <w:pPr>
        <w:widowControl w:val="0"/>
        <w:ind w:left="720" w:hanging="720"/>
      </w:pPr>
      <w:r>
        <w:t xml:space="preserve">MITRE (2026). </w:t>
      </w:r>
      <w:r>
        <w:rPr>
          <w:i/>
        </w:rPr>
        <w:t>MITRE ATLAS: Adversarial Threat Landscape for Artificial-Intelligence Systems, Version 5.4</w:t>
      </w:r>
      <w:r>
        <w:t>. Knowledge base. McLean, VA: The MITRE Corporation. Available at: https://atlas.mitre.org (accessed 21 September 2026).</w:t>
      </w:r>
    </w:p>
    <w:p>
      <w:pPr>
        <w:widowControl w:val="0"/>
        <w:ind w:left="720" w:hanging="720"/>
      </w:pPr>
      <w:r>
        <w:rPr>
          <w:i/>
        </w:rPr>
        <w:t>Moffatt v. Air Canada</w:t>
      </w:r>
      <w:r>
        <w:t xml:space="preserve"> (2024). 2024 BCCRT 149. British Columbia Civil Resolution Tribunal, 14 February.</w:t>
      </w:r>
    </w:p>
    <w:p>
      <w:pPr>
        <w:widowControl w:val="0"/>
        <w:ind w:left="720" w:hanging="720"/>
      </w:pPr>
      <w:r>
        <w:t xml:space="preserve">NIST (2023). </w:t>
      </w:r>
      <w:r>
        <w:rPr>
          <w:i/>
        </w:rPr>
        <w:t>Artificial Intelligence Risk Management Framework (AI RMF 1.0)</w:t>
      </w:r>
      <w:r>
        <w:t>. NIST AI 100-1. Gaithersburg, MD: National Institute of Standards and Technology. Available at: https://doi.org/10.6028/NIST.AI.100-1 (accessed 21 September 2026).</w:t>
      </w:r>
    </w:p>
    <w:p>
      <w:pPr>
        <w:widowControl w:val="0"/>
        <w:ind w:left="720" w:hanging="720"/>
      </w:pPr>
      <w:r>
        <w:t xml:space="preserve">OpenAI (2026). ‘The Hugging Face incident and the road ahead’. </w:t>
      </w:r>
      <w:r>
        <w:rPr>
          <w:i/>
        </w:rPr>
        <w:t>OpenAI</w:t>
      </w:r>
      <w:r>
        <w:t>, 26 August. Available at: https://openai.com/index/hugging-face-incident-and-the-road-ahead/ (accessed 21 September 2026).</w:t>
      </w:r>
    </w:p>
    <w:p>
      <w:pPr>
        <w:widowControl w:val="0"/>
        <w:ind w:left="720" w:hanging="720"/>
      </w:pPr>
      <w:r>
        <w:t xml:space="preserve">Ostrom, E. (1990). </w:t>
      </w:r>
      <w:r>
        <w:rPr>
          <w:i/>
        </w:rPr>
        <w:t>Governing the Commons: The Evolution of Institutions for Collective Action</w:t>
      </w:r>
      <w:r>
        <w:t>. Cambridge, UK: Cambridge University Press.</w:t>
      </w:r>
    </w:p>
    <w:p>
      <w:pPr>
        <w:widowControl w:val="0"/>
        <w:ind w:left="720" w:hanging="720"/>
      </w:pPr>
      <w:r>
        <w:t xml:space="preserve">Ouchi, W. G. (1979). ‘A conceptual framework for the design of organizational control mechanisms’. </w:t>
      </w:r>
      <w:r>
        <w:rPr>
          <w:i/>
        </w:rPr>
        <w:t>Management Science</w:t>
      </w:r>
      <w:r>
        <w:t>, 25, 833-848.</w:t>
      </w:r>
    </w:p>
    <w:p>
      <w:pPr>
        <w:widowControl w:val="0"/>
        <w:ind w:left="720" w:hanging="720"/>
      </w:pPr>
      <w:r>
        <w:t xml:space="preserve">OWASP (2025). </w:t>
      </w:r>
      <w:r>
        <w:rPr>
          <w:i/>
        </w:rPr>
        <w:t>Top 10 for Agentic Applications 2026</w:t>
      </w:r>
      <w:r>
        <w:t>. OWASP GenAI Security Project, 9 December. Available at: https://genai.owasp.org/resource/owasp-top-10-for-agentic-applications-for-2026/ (accessed 21 September 2026).</w:t>
      </w:r>
    </w:p>
    <w:p>
      <w:pPr>
        <w:widowControl w:val="0"/>
        <w:ind w:left="720" w:hanging="720"/>
      </w:pPr>
      <w:r>
        <w:t xml:space="preserve">Palisade Research (2025). </w:t>
      </w:r>
      <w:r>
        <w:rPr>
          <w:i/>
        </w:rPr>
        <w:t>Shutdown Resistance in Reasoning Models</w:t>
      </w:r>
      <w:r>
        <w:t>. Research report, 5 July. Available at: https://palisaderesearch.org/research/shutdown-resistance (accessed 21 September 2026).</w:t>
      </w:r>
    </w:p>
    <w:p>
      <w:pPr>
        <w:widowControl w:val="0"/>
        <w:ind w:left="720" w:hanging="720"/>
      </w:pPr>
      <w:r>
        <w:t xml:space="preserve">Parasuraman, R. and Riley, V. (1997). ‘Humans and automation: Use, misuse, disuse, abuse’. </w:t>
      </w:r>
      <w:r>
        <w:rPr>
          <w:i/>
        </w:rPr>
        <w:t>Human Factors</w:t>
      </w:r>
      <w:r>
        <w:t>, 39, 230-253.</w:t>
      </w:r>
    </w:p>
    <w:p>
      <w:pPr>
        <w:widowControl w:val="0"/>
        <w:ind w:left="720" w:hanging="720"/>
      </w:pPr>
      <w:r>
        <w:t xml:space="preserve">Perrow, C. (1984). </w:t>
      </w:r>
      <w:r>
        <w:rPr>
          <w:i/>
        </w:rPr>
        <w:t>Normal Accidents: Living with High-Risk Technologies</w:t>
      </w:r>
      <w:r>
        <w:t>. New York: Basic Books.</w:t>
      </w:r>
    </w:p>
    <w:p>
      <w:pPr>
        <w:widowControl w:val="0"/>
        <w:ind w:left="720" w:hanging="720"/>
      </w:pPr>
      <w:r>
        <w:t xml:space="preserve">Podsakoff, P. M., MacKenzie, S. B. and Podsakoff, N. P. (2016). ‘Recommendations for creating better concept definitions in the organizational, behavioral, and social sciences’. </w:t>
      </w:r>
      <w:r>
        <w:rPr>
          <w:i/>
        </w:rPr>
        <w:t>Organizational Research Methods</w:t>
      </w:r>
      <w:r>
        <w:t>, 19, 159-203.</w:t>
      </w:r>
    </w:p>
    <w:p>
      <w:pPr>
        <w:widowControl w:val="0"/>
        <w:ind w:left="720" w:hanging="720"/>
      </w:pPr>
      <w:r>
        <w:t xml:space="preserve">Poppo, L. and Zenger, T. (2002). ‘Do formal contracts and relational governance function as substitutes or complements?’. </w:t>
      </w:r>
      <w:r>
        <w:rPr>
          <w:i/>
        </w:rPr>
        <w:t>Strategic Management Journal</w:t>
      </w:r>
      <w:r>
        <w:t>, 23, 707-725.</w:t>
      </w:r>
    </w:p>
    <w:p>
      <w:pPr>
        <w:widowControl w:val="0"/>
        <w:ind w:left="720" w:hanging="720"/>
      </w:pPr>
      <w:r>
        <w:t xml:space="preserve">Puranam, P. and Vanneste, B. S. (2009). ‘Trust and governance: Untangling a tangled web’. </w:t>
      </w:r>
      <w:r>
        <w:rPr>
          <w:i/>
        </w:rPr>
        <w:t>Academy of Management Review</w:t>
      </w:r>
      <w:r>
        <w:t>, 34, 11-31.</w:t>
      </w:r>
    </w:p>
    <w:p>
      <w:pPr>
        <w:widowControl w:val="0"/>
        <w:ind w:left="720" w:hanging="720"/>
      </w:pPr>
      <w:r>
        <w:t xml:space="preserve">Raisch, S. and Krakowski, S. (2021). ‘Artificial intelligence and management: The automation-augmentation paradox’. </w:t>
      </w:r>
      <w:r>
        <w:rPr>
          <w:i/>
        </w:rPr>
        <w:t>Academy of Management Review</w:t>
      </w:r>
      <w:r>
        <w:t>, 46, 192-210.</w:t>
      </w:r>
    </w:p>
    <w:p>
      <w:pPr>
        <w:widowControl w:val="0"/>
        <w:ind w:left="720" w:hanging="720"/>
      </w:pPr>
      <w:r>
        <w:t xml:space="preserve">Ramaul, L., Ritala, P., Kostis, A. and Aaltonen, P. (2026). ‘Rethinking how we theorize AI in organization and management: A problematizing review of rationality and anthropomorphism’. </w:t>
      </w:r>
      <w:r>
        <w:rPr>
          <w:i/>
        </w:rPr>
        <w:t>Journal of Management Studies</w:t>
      </w:r>
      <w:r>
        <w:t>, 63, 761-807.</w:t>
      </w:r>
    </w:p>
    <w:p>
      <w:pPr>
        <w:widowControl w:val="0"/>
        <w:ind w:left="720" w:hanging="720"/>
      </w:pPr>
      <w:r>
        <w:t>Rauch, G. (2026). ‘Update’. X, 20 April. Available at: https://x.com/rauchg/status/2046305710120829374 (accessed 21 September 2026).</w:t>
      </w:r>
    </w:p>
    <w:p>
      <w:pPr>
        <w:widowControl w:val="0"/>
        <w:ind w:left="720" w:hanging="720"/>
      </w:pPr>
      <w:r>
        <w:t xml:space="preserve">Reuters (2026). ‘White House monitors OpenAI’s rogue AI incident as lawmakers propose kill switch’. </w:t>
      </w:r>
      <w:r>
        <w:rPr>
          <w:i/>
        </w:rPr>
        <w:t>Reuters</w:t>
      </w:r>
      <w:r>
        <w:t>, 23 July.</w:t>
      </w:r>
    </w:p>
    <w:p>
      <w:pPr>
        <w:widowControl w:val="0"/>
        <w:ind w:left="720" w:hanging="720"/>
      </w:pPr>
      <w:r>
        <w:t xml:space="preserve">Roher, D. and Tyrell, C. (dirs.) (2026). </w:t>
      </w:r>
      <w:r>
        <w:rPr>
          <w:i/>
        </w:rPr>
        <w:t>The AI Doc: Or How I Became an Apocaloptimist</w:t>
      </w:r>
      <w:r>
        <w:t>. Documentary film. Focus Features and Netflix. Available at: https://www.netflix.com/title/82792555 (accessed 21 September 2026).</w:t>
      </w:r>
    </w:p>
    <w:p>
      <w:pPr>
        <w:widowControl w:val="0"/>
        <w:ind w:left="720" w:hanging="720"/>
      </w:pPr>
      <w:r>
        <w:t xml:space="preserve">Rose, S., Borchert, O., Mitchell, S. and Connelly, S. (2020). </w:t>
      </w:r>
      <w:r>
        <w:rPr>
          <w:i/>
        </w:rPr>
        <w:t>Zero Trust Architecture</w:t>
      </w:r>
      <w:r>
        <w:t>. NIST Special Publication 800-207. Gaithersburg, MD: National Institute of Standards and Technology. Available at: https://doi.org/10.6028/NIST.SP.800-207 (accessed 21 September 2026).</w:t>
      </w:r>
    </w:p>
    <w:p>
      <w:pPr>
        <w:widowControl w:val="0"/>
        <w:ind w:left="720" w:hanging="720"/>
      </w:pPr>
      <w:r>
        <w:t xml:space="preserve">Rousseau, D. M., Sitkin, S. B., Burt, R. S. and Camerer, C. (1998). ‘Not so different after all: A cross-discipline view of trust’. </w:t>
      </w:r>
      <w:r>
        <w:rPr>
          <w:i/>
        </w:rPr>
        <w:t>Academy of Management Review</w:t>
      </w:r>
      <w:r>
        <w:t>, 23, 393-404.</w:t>
      </w:r>
    </w:p>
    <w:p>
      <w:pPr>
        <w:widowControl w:val="0"/>
        <w:ind w:left="720" w:hanging="720"/>
      </w:pPr>
      <w:r>
        <w:t xml:space="preserve">Sandelowski, M., Voils, C. I. and Knafl, G. (2009). ‘On quantitizing’. </w:t>
      </w:r>
      <w:r>
        <w:rPr>
          <w:i/>
        </w:rPr>
        <w:t>Journal of Mixed Methods Research</w:t>
      </w:r>
      <w:r>
        <w:t>, 3, 208-222.</w:t>
      </w:r>
    </w:p>
    <w:p>
      <w:pPr>
        <w:widowControl w:val="0"/>
        <w:ind w:left="720" w:hanging="720"/>
      </w:pPr>
      <w:r>
        <w:t xml:space="preserve">Schilke, O. and Cook, K. S. (2013). ‘A cross-level process theory of trust development in interorganizational relationships’. </w:t>
      </w:r>
      <w:r>
        <w:rPr>
          <w:i/>
        </w:rPr>
        <w:t>Strategic Organization</w:t>
      </w:r>
      <w:r>
        <w:t>, 11, 281-303.</w:t>
      </w:r>
    </w:p>
    <w:p>
      <w:pPr>
        <w:widowControl w:val="0"/>
        <w:ind w:left="720" w:hanging="720"/>
      </w:pPr>
      <w:r>
        <w:t xml:space="preserve">Schilke, O., Reimann, M. and Cook, K. S. (2021). ‘Trust in social relations’. </w:t>
      </w:r>
      <w:r>
        <w:rPr>
          <w:i/>
        </w:rPr>
        <w:t>Annual Review of Sociology</w:t>
      </w:r>
      <w:r>
        <w:t>, 47, 239-259.</w:t>
      </w:r>
    </w:p>
    <w:p>
      <w:pPr>
        <w:widowControl w:val="0"/>
        <w:ind w:left="720" w:hanging="720"/>
      </w:pPr>
      <w:r>
        <w:t xml:space="preserve">Skinner, D., Dietz, G. and Weibel, A. (2014). ‘The dark side of trust: When trust becomes a “poisoned chalice”’. </w:t>
      </w:r>
      <w:r>
        <w:rPr>
          <w:i/>
        </w:rPr>
        <w:t>Organization</w:t>
      </w:r>
      <w:r>
        <w:t>, 21, 206-224.</w:t>
      </w:r>
    </w:p>
    <w:p>
      <w:pPr>
        <w:widowControl w:val="0"/>
        <w:ind w:left="720" w:hanging="720"/>
      </w:pPr>
      <w:r>
        <w:t>Slattery, P., Saeri, A. K., Grundy, E. A. C., Graham, J., Noetel, M., Uuk, R., Dao, J., Pour, S., Casper, S. and Thompson, N. (2024). ‘The AI risk repository: A comprehensive meta-review, database, and taxonomy of risks from artificial intelligence’. Preprint, arXiv, 14 August. Available at: https://doi.org/10.48550/arXiv.2408.12622 (accessed 21 September 2026).</w:t>
      </w:r>
    </w:p>
    <w:p>
      <w:pPr>
        <w:widowControl w:val="0"/>
        <w:ind w:left="720" w:hanging="720"/>
      </w:pPr>
      <w:r>
        <w:t xml:space="preserve">Star, S. L. and Ruhleder, K. (1996). ‘Steps toward an ecology of infrastructure: Design and access for large information spaces’. </w:t>
      </w:r>
      <w:r>
        <w:rPr>
          <w:i/>
        </w:rPr>
        <w:t>Information Systems Research</w:t>
      </w:r>
      <w:r>
        <w:t>, 7, 111-134.</w:t>
      </w:r>
    </w:p>
    <w:p>
      <w:pPr>
        <w:widowControl w:val="0"/>
        <w:ind w:left="720" w:hanging="720"/>
      </w:pPr>
      <w:r>
        <w:t>State of California, Office of the Governor (2026a). ‘Governor Newsom signs first-in-the-nation AI safeguards to protect Californians, calls on the federal government to do its part’. Press release, 9 September. Sacramento, CA. Available at: https://www.gov.ca.gov/2026/09/09/governor-newsom-signs-first-in-the-nation-ai-safeguards-to-protect-californians-calls-on-the-federal-government-to-do-its-part/ (accessed 21 September 2026).</w:t>
      </w:r>
    </w:p>
    <w:p>
      <w:pPr>
        <w:widowControl w:val="0"/>
        <w:ind w:left="720" w:hanging="720"/>
      </w:pPr>
      <w:r>
        <w:t>State of California, Office of the Governor (2026b). ‘Governor Newsom issues executive order to accelerate independent oversight and advance the creation of an AI kill switch’. Press release, 18 September. Sacramento, CA. Available at: https://www.gov.ca.gov/2026/09/18/governor-newsom-issues-executive-order-to-accelerate-independent-oversight-and-advance-the-creation-of-an-ai-kill-switch/ (accessed 21 September 2026).</w:t>
      </w:r>
    </w:p>
    <w:p>
      <w:pPr>
        <w:widowControl w:val="0"/>
        <w:ind w:left="720" w:hanging="720"/>
      </w:pPr>
      <w:r>
        <w:t xml:space="preserve">Stelmaszak, M., Joshi, M. and Constantiou, I. (2026). ‘Artificial intelligence as an organizing capability arising from human-algorithm relations’. </w:t>
      </w:r>
      <w:r>
        <w:rPr>
          <w:i/>
        </w:rPr>
        <w:t>Journal of Management Studies</w:t>
      </w:r>
      <w:r>
        <w:t>, 63, 335-365.</w:t>
      </w:r>
    </w:p>
    <w:p>
      <w:pPr>
        <w:widowControl w:val="0"/>
        <w:ind w:left="720" w:hanging="720"/>
      </w:pPr>
      <w:r>
        <w:t xml:space="preserve">Suddaby, R. (2010). ‘Editor’s comments: Construct clarity in theories of management and organization’. </w:t>
      </w:r>
      <w:r>
        <w:rPr>
          <w:i/>
        </w:rPr>
        <w:t>Academy of Management Review</w:t>
      </w:r>
      <w:r>
        <w:t>, 35, 346-357.</w:t>
      </w:r>
    </w:p>
    <w:p>
      <w:pPr>
        <w:widowControl w:val="0"/>
        <w:ind w:left="720" w:hanging="720"/>
      </w:pPr>
      <w:r>
        <w:t xml:space="preserve">Swärd, A. R. S., Kvålshaugen, R. and Bygballe, L. E. (2023). ‘Unpacking the duality of control and trust in inter-organizational relationships through action-reaction cycles’. </w:t>
      </w:r>
      <w:r>
        <w:rPr>
          <w:i/>
        </w:rPr>
        <w:t>Journal of Management Studies</w:t>
      </w:r>
      <w:r>
        <w:t>, 60, 2091-2124.</w:t>
      </w:r>
    </w:p>
    <w:p>
      <w:pPr>
        <w:widowControl w:val="0"/>
        <w:ind w:left="720" w:hanging="720"/>
      </w:pPr>
      <w:r>
        <w:t xml:space="preserve">The Register (2023). ‘Samsung reportedly leaked its own secrets through ChatGPT’. </w:t>
      </w:r>
      <w:r>
        <w:rPr>
          <w:i/>
        </w:rPr>
        <w:t>The Register</w:t>
      </w:r>
      <w:r>
        <w:t>, 6 April. Available at: https://www.theregister.com/2023/04/06/samsung_reportedly_leaked_its_own (accessed 21 September 2026).</w:t>
      </w:r>
    </w:p>
    <w:p>
      <w:pPr>
        <w:widowControl w:val="0"/>
        <w:ind w:left="720" w:hanging="720"/>
      </w:pPr>
      <w:r>
        <w:t xml:space="preserve">Timmermans, S. and Tavory, I. (2012). ‘Theory construction in qualitative research: From grounded theory to abductive analysis’. </w:t>
      </w:r>
      <w:r>
        <w:rPr>
          <w:i/>
        </w:rPr>
        <w:t>Sociological Theory</w:t>
      </w:r>
      <w:r>
        <w:t>, 30, 167-186.</w:t>
      </w:r>
    </w:p>
    <w:p>
      <w:pPr>
        <w:widowControl w:val="0"/>
        <w:ind w:left="720" w:hanging="720"/>
      </w:pPr>
      <w:r>
        <w:t xml:space="preserve">Turner, B. A. (1976). ‘The organizational and interorganizational development of disasters’. </w:t>
      </w:r>
      <w:r>
        <w:rPr>
          <w:i/>
        </w:rPr>
        <w:t>Administrative Science Quarterly</w:t>
      </w:r>
      <w:r>
        <w:t>, 21, 378-397.</w:t>
      </w:r>
    </w:p>
    <w:p>
      <w:pPr>
        <w:widowControl w:val="0"/>
        <w:ind w:left="720" w:hanging="720"/>
      </w:pPr>
      <w:r>
        <w:t xml:space="preserve">Van de Ven, A. H. and Poole, M. S. (1995). ‘Explaining development and change in organizations’. </w:t>
      </w:r>
      <w:r>
        <w:rPr>
          <w:i/>
        </w:rPr>
        <w:t>Academy of Management Review</w:t>
      </w:r>
      <w:r>
        <w:t>, 20, 510-540.</w:t>
      </w:r>
    </w:p>
    <w:p>
      <w:pPr>
        <w:widowControl w:val="0"/>
        <w:ind w:left="720" w:hanging="720"/>
      </w:pPr>
      <w:r>
        <w:t xml:space="preserve">Vercel (2026). ‘Vercel April 2026 security incident’. </w:t>
      </w:r>
      <w:r>
        <w:rPr>
          <w:i/>
        </w:rPr>
        <w:t>Vercel</w:t>
      </w:r>
      <w:r>
        <w:t>, 19 April. Available at: https://vercel.com/kb/bulletin/vercel-april-2026-security-incident (accessed 21 September 2026).</w:t>
      </w:r>
    </w:p>
    <w:p>
      <w:pPr>
        <w:widowControl w:val="0"/>
        <w:ind w:left="720" w:hanging="720"/>
      </w:pPr>
      <w:r>
        <w:t xml:space="preserve">de Visser, E. J., Peeters, M. M. M., Jung, M. F., Kohn, S., Shaw, T. H., Pak, R. and Neerincx, M. A. (2020). ‘Towards a theory of longitudinal trust calibration in human-robot teams’. </w:t>
      </w:r>
      <w:r>
        <w:rPr>
          <w:i/>
        </w:rPr>
        <w:t>International Journal of Social Robotics</w:t>
      </w:r>
      <w:r>
        <w:t>, 12, 459-478.</w:t>
      </w:r>
    </w:p>
    <w:p>
      <w:pPr>
        <w:widowControl w:val="0"/>
        <w:ind w:left="720" w:hanging="720"/>
      </w:pPr>
      <w:r>
        <w:t xml:space="preserve">Vuori, N., Burkhard, B. and Pitkäranta, L. (2026). ‘It’s amazing, but terrifying! Unveiling the combined effect of emotional and cognitive trust on organizational members’ behaviours, AI performance, and adoption’. </w:t>
      </w:r>
      <w:r>
        <w:rPr>
          <w:i/>
        </w:rPr>
        <w:t>Journal of Management Studies</w:t>
      </w:r>
      <w:r>
        <w:t>, 63, 473-514.</w:t>
      </w:r>
    </w:p>
    <w:p>
      <w:pPr>
        <w:widowControl w:val="0"/>
        <w:ind w:left="720" w:hanging="720"/>
      </w:pPr>
      <w:r>
        <w:t xml:space="preserve">Waardenburg, L., Huysman, M. and Sergeeva, A. V. (2022). ‘In the land of the blind, the one-eyed man is king: Knowledge brokerage in the age of learning algorithms’. </w:t>
      </w:r>
      <w:r>
        <w:rPr>
          <w:i/>
        </w:rPr>
        <w:t>Organization Science</w:t>
      </w:r>
      <w:r>
        <w:t>, 33, 59-82.</w:t>
      </w:r>
    </w:p>
    <w:p>
      <w:pPr>
        <w:widowControl w:val="0"/>
        <w:ind w:left="720" w:hanging="720"/>
      </w:pPr>
      <w:r>
        <w:t xml:space="preserve">Weick, K. E. (1987). ‘Organizational culture as a source of high reliability’. </w:t>
      </w:r>
      <w:r>
        <w:rPr>
          <w:i/>
        </w:rPr>
        <w:t>California Management Review</w:t>
      </w:r>
      <w:r>
        <w:t>, 29, 112-127.</w:t>
      </w:r>
    </w:p>
    <w:p>
      <w:pPr>
        <w:widowControl w:val="0"/>
        <w:ind w:left="720" w:hanging="720"/>
      </w:pPr>
      <w:r>
        <w:t xml:space="preserve">Zaheer, A., McEvily, B. and Perrone, V. (1998). ‘Does trust matter? Exploring the effects of interorganizational and interpersonal trust on performance’. </w:t>
      </w:r>
      <w:r>
        <w:rPr>
          <w:i/>
        </w:rPr>
        <w:t>Organization Science</w:t>
      </w:r>
      <w:r>
        <w:t>, 9, 141-159.</w:t>
      </w:r>
    </w:p>
    <w:p>
      <w:pPr>
        <w:widowControl w:val="0"/>
        <w:ind w:left="720" w:hanging="720"/>
      </w:pPr>
      <w:r>
        <w:t xml:space="preserve">Zucker, L. G. (1986). ‘Production of trust: Institutional sources of economic structure, 1840-1920’. </w:t>
      </w:r>
      <w:r>
        <w:rPr>
          <w:i/>
        </w:rPr>
        <w:t>Research in Organizational Behavior</w:t>
      </w:r>
      <w:r>
        <w:t>, 8, 53-111.</w:t>
      </w:r>
    </w:p>
    <w:p>
      <w:pPr>
        <w:keepNext/>
        <w:pageBreakBefore/>
        <w:spacing w:before="200" w:after="120" w:line="240" w:lineRule="auto"/>
      </w:pPr>
      <w:r>
        <w:t>Table I.  The Four Trust Domains, Their Warrant Evidence, and Their Extension Indicators</w:t>
      </w:r>
    </w:p>
    <w:tbl>
      <w:tblPr>
        <w:tblStyle w:val="TableGrid"/>
        <w:tblW w:type="dxa" w:w="9360"/>
        <w:jc w:val="center"/>
        <w:tblLayout w:type="fixed"/>
        <w:tblLook w:firstColumn="1" w:firstRow="1" w:lastColumn="0" w:lastRow="0" w:noHBand="0" w:noVBand="1" w:val="04A0"/>
      </w:tblPr>
      <w:tblGrid>
        <w:gridCol w:w="2160"/>
        <w:gridCol w:w="2160"/>
        <w:gridCol w:w="2520"/>
        <w:gridCol w:w="2520"/>
      </w:tblGrid>
      <w:tr>
        <w:trPr>
          <w:tblHeader w:val="true"/>
        </w:trPr>
        <w:tc>
          <w:tcPr>
            <w:tcW w:type="dxa" w:w="2160"/>
          </w:tcPr>
          <w:p>
            <w:pPr>
              <w:spacing w:after="40" w:line="240" w:lineRule="auto"/>
            </w:pPr>
            <w:r/>
            <w:r>
              <w:rPr>
                <w:b/>
                <w:sz w:val="20"/>
              </w:rPr>
              <w:t>Trust domain</w:t>
            </w:r>
          </w:p>
        </w:tc>
        <w:tc>
          <w:tcPr>
            <w:tcW w:type="dxa" w:w="2160"/>
          </w:tcPr>
          <w:p>
            <w:pPr>
              <w:spacing w:after="40" w:line="240" w:lineRule="auto"/>
            </w:pPr>
            <w:r/>
            <w:r>
              <w:rPr>
                <w:b/>
                <w:sz w:val="20"/>
              </w:rPr>
              <w:t>Referent</w:t>
            </w:r>
          </w:p>
        </w:tc>
        <w:tc>
          <w:tcPr>
            <w:tcW w:type="dxa" w:w="2520"/>
          </w:tcPr>
          <w:p>
            <w:pPr>
              <w:spacing w:after="40" w:line="240" w:lineRule="auto"/>
            </w:pPr>
            <w:r/>
            <w:r>
              <w:rPr>
                <w:b/>
                <w:sz w:val="20"/>
              </w:rPr>
              <w:t>How warrant is produced</w:t>
            </w:r>
          </w:p>
        </w:tc>
        <w:tc>
          <w:tcPr>
            <w:tcW w:type="dxa" w:w="2520"/>
          </w:tcPr>
          <w:p>
            <w:pPr>
              <w:spacing w:after="40" w:line="240" w:lineRule="auto"/>
            </w:pPr>
            <w:r/>
            <w:r>
              <w:rPr>
                <w:b/>
                <w:sz w:val="20"/>
              </w:rPr>
              <w:t>Observable indicator of extension</w:t>
            </w:r>
          </w:p>
        </w:tc>
      </w:tr>
      <w:tr>
        <w:tc>
          <w:tcPr>
            <w:tcW w:type="dxa" w:w="2160"/>
          </w:tcPr>
          <w:p>
            <w:pPr>
              <w:spacing w:after="40" w:line="240" w:lineRule="auto"/>
            </w:pPr>
            <w:r/>
            <w:r>
              <w:rPr>
                <w:sz w:val="20"/>
              </w:rPr>
              <w:t>Interpersonal (Mayer et al., 1995; Zaheer et al., 1998)</w:t>
            </w:r>
          </w:p>
        </w:tc>
        <w:tc>
          <w:tcPr>
            <w:tcW w:type="dxa" w:w="2160"/>
          </w:tcPr>
          <w:p>
            <w:pPr>
              <w:spacing w:after="40" w:line="240" w:lineRule="auto"/>
            </w:pPr>
            <w:r/>
            <w:r>
              <w:rPr>
                <w:sz w:val="20"/>
              </w:rPr>
              <w:t>Specific individuals and peers</w:t>
            </w:r>
          </w:p>
        </w:tc>
        <w:tc>
          <w:tcPr>
            <w:tcW w:type="dxa" w:w="2520"/>
          </w:tcPr>
          <w:p>
            <w:pPr>
              <w:spacing w:after="40" w:line="240" w:lineRule="auto"/>
            </w:pPr>
            <w:r/>
            <w:r>
              <w:rPr>
                <w:sz w:val="20"/>
              </w:rPr>
              <w:t>Interaction history, demonstrated judgment, reciprocity</w:t>
            </w:r>
          </w:p>
        </w:tc>
        <w:tc>
          <w:tcPr>
            <w:tcW w:type="dxa" w:w="2520"/>
          </w:tcPr>
          <w:p>
            <w:pPr>
              <w:spacing w:after="40" w:line="240" w:lineRule="auto"/>
            </w:pPr>
            <w:r/>
            <w:r>
              <w:rPr>
                <w:sz w:val="20"/>
              </w:rPr>
              <w:t>Decisions routed to named individuals without independent review</w:t>
            </w:r>
          </w:p>
        </w:tc>
      </w:tr>
      <w:tr>
        <w:tc>
          <w:tcPr>
            <w:tcW w:type="dxa" w:w="2160"/>
          </w:tcPr>
          <w:p>
            <w:pPr>
              <w:spacing w:after="40" w:line="240" w:lineRule="auto"/>
            </w:pPr>
            <w:r/>
            <w:r>
              <w:rPr>
                <w:sz w:val="20"/>
              </w:rPr>
              <w:t>Organizational (Gulati and Nickerson, 2008; Zaheer et al., 1998)</w:t>
            </w:r>
          </w:p>
        </w:tc>
        <w:tc>
          <w:tcPr>
            <w:tcW w:type="dxa" w:w="2160"/>
          </w:tcPr>
          <w:p>
            <w:pPr>
              <w:spacing w:after="40" w:line="240" w:lineRule="auto"/>
            </w:pPr>
            <w:r/>
            <w:r>
              <w:rPr>
                <w:sz w:val="20"/>
              </w:rPr>
              <w:t>Partner organizations as collective actors</w:t>
            </w:r>
          </w:p>
        </w:tc>
        <w:tc>
          <w:tcPr>
            <w:tcW w:type="dxa" w:w="2520"/>
          </w:tcPr>
          <w:p>
            <w:pPr>
              <w:spacing w:after="40" w:line="240" w:lineRule="auto"/>
            </w:pPr>
            <w:r/>
            <w:r>
              <w:rPr>
                <w:sz w:val="20"/>
              </w:rPr>
              <w:t>Institutionalized conduct, reputation, contractual performance</w:t>
            </w:r>
          </w:p>
        </w:tc>
        <w:tc>
          <w:tcPr>
            <w:tcW w:type="dxa" w:w="2520"/>
          </w:tcPr>
          <w:p>
            <w:pPr>
              <w:spacing w:after="40" w:line="240" w:lineRule="auto"/>
            </w:pPr>
            <w:r/>
            <w:r>
              <w:rPr>
                <w:sz w:val="20"/>
              </w:rPr>
              <w:t>Processes delegated to partner firms and their systems</w:t>
            </w:r>
          </w:p>
        </w:tc>
      </w:tr>
      <w:tr>
        <w:tc>
          <w:tcPr>
            <w:tcW w:type="dxa" w:w="2160"/>
          </w:tcPr>
          <w:p>
            <w:pPr>
              <w:spacing w:after="40" w:line="240" w:lineRule="auto"/>
            </w:pPr>
            <w:r/>
            <w:r>
              <w:rPr>
                <w:sz w:val="20"/>
              </w:rPr>
              <w:t>Institutional (Bachmann and Inkpen, 2011; Zucker, 1986)</w:t>
            </w:r>
          </w:p>
        </w:tc>
        <w:tc>
          <w:tcPr>
            <w:tcW w:type="dxa" w:w="2160"/>
          </w:tcPr>
          <w:p>
            <w:pPr>
              <w:spacing w:after="40" w:line="240" w:lineRule="auto"/>
            </w:pPr>
            <w:r/>
            <w:r>
              <w:rPr>
                <w:sz w:val="20"/>
              </w:rPr>
              <w:t>Rule systems governing the ecosystem</w:t>
            </w:r>
          </w:p>
        </w:tc>
        <w:tc>
          <w:tcPr>
            <w:tcW w:type="dxa" w:w="2520"/>
          </w:tcPr>
          <w:p>
            <w:pPr>
              <w:spacing w:after="40" w:line="240" w:lineRule="auto"/>
            </w:pPr>
            <w:r/>
            <w:r>
              <w:rPr>
                <w:sz w:val="20"/>
              </w:rPr>
              <w:t>Structural assurance, enforcement record, dispute resolution</w:t>
            </w:r>
          </w:p>
        </w:tc>
        <w:tc>
          <w:tcPr>
            <w:tcW w:type="dxa" w:w="2520"/>
          </w:tcPr>
          <w:p>
            <w:pPr>
              <w:spacing w:after="40" w:line="240" w:lineRule="auto"/>
            </w:pPr>
            <w:r/>
            <w:r>
              <w:rPr>
                <w:sz w:val="20"/>
              </w:rPr>
              <w:t>Exposure accepted on the assumption that rules will hold</w:t>
            </w:r>
          </w:p>
        </w:tc>
      </w:tr>
      <w:tr>
        <w:tc>
          <w:tcPr>
            <w:tcW w:type="dxa" w:w="2160"/>
          </w:tcPr>
          <w:p>
            <w:pPr>
              <w:spacing w:after="40" w:line="240" w:lineRule="auto"/>
            </w:pPr>
            <w:r/>
            <w:r>
              <w:rPr>
                <w:sz w:val="20"/>
              </w:rPr>
              <w:t>Infrastructural (Glikson and Woolley, 2020; Lee and See, 2004; McKnight et al., 2011)</w:t>
            </w:r>
          </w:p>
        </w:tc>
        <w:tc>
          <w:tcPr>
            <w:tcW w:type="dxa" w:w="2160"/>
          </w:tcPr>
          <w:p>
            <w:pPr>
              <w:spacing w:after="40" w:line="240" w:lineRule="auto"/>
            </w:pPr>
            <w:r/>
            <w:r>
              <w:rPr>
                <w:sz w:val="20"/>
              </w:rPr>
              <w:t>Shared technical and procedural systems</w:t>
            </w:r>
          </w:p>
        </w:tc>
        <w:tc>
          <w:tcPr>
            <w:tcW w:type="dxa" w:w="2520"/>
          </w:tcPr>
          <w:p>
            <w:pPr>
              <w:spacing w:after="40" w:line="240" w:lineRule="auto"/>
            </w:pPr>
            <w:r/>
            <w:r>
              <w:rPr>
                <w:sz w:val="20"/>
              </w:rPr>
              <w:t>Demonstrated reliability, auditability, provenance, evaluation</w:t>
            </w:r>
          </w:p>
        </w:tc>
        <w:tc>
          <w:tcPr>
            <w:tcW w:type="dxa" w:w="2520"/>
          </w:tcPr>
          <w:p>
            <w:pPr>
              <w:spacing w:after="40" w:line="240" w:lineRule="auto"/>
            </w:pPr>
            <w:r/>
            <w:r>
              <w:rPr>
                <w:sz w:val="20"/>
              </w:rPr>
              <w:t>Workflows, data, and decision rights routed through the system</w:t>
            </w:r>
          </w:p>
        </w:tc>
      </w:tr>
    </w:tbl>
    <w:p>
      <w:pPr>
        <w:spacing w:before="0" w:after="80" w:line="240" w:lineRule="auto"/>
      </w:pPr>
      <w:r>
        <w:rPr>
          <w:sz w:val="12"/>
        </w:rPr>
      </w:r>
    </w:p>
    <w:p>
      <w:pPr>
        <w:keepNext/>
        <w:pageBreakBefore/>
        <w:spacing w:before="200" w:after="120" w:line="240" w:lineRule="auto"/>
      </w:pPr>
      <w:r>
        <w:t>Table II.  The Mesotrust Construct: Definition, Level, Boundaries, and Observation</w:t>
      </w:r>
    </w:p>
    <w:tbl>
      <w:tblPr>
        <w:tblStyle w:val="TableGrid"/>
        <w:tblW w:type="dxa" w:w="9360"/>
        <w:jc w:val="center"/>
        <w:tblLayout w:type="fixed"/>
        <w:tblLook w:firstColumn="1" w:firstRow="1" w:lastColumn="0" w:lastRow="0" w:noHBand="0" w:noVBand="1" w:val="04A0"/>
      </w:tblPr>
      <w:tblGrid>
        <w:gridCol w:w="2304"/>
        <w:gridCol w:w="7056"/>
      </w:tblGrid>
      <w:tr>
        <w:trPr>
          <w:tblHeader w:val="true"/>
        </w:trPr>
        <w:tc>
          <w:tcPr>
            <w:tcW w:type="dxa" w:w="2304"/>
          </w:tcPr>
          <w:p>
            <w:pPr>
              <w:spacing w:after="40" w:line="240" w:lineRule="auto"/>
            </w:pPr>
            <w:r/>
            <w:r>
              <w:rPr>
                <w:b/>
                <w:sz w:val="20"/>
              </w:rPr>
              <w:t>Element</w:t>
            </w:r>
          </w:p>
        </w:tc>
        <w:tc>
          <w:tcPr>
            <w:tcW w:type="dxa" w:w="7056"/>
          </w:tcPr>
          <w:p>
            <w:pPr>
              <w:spacing w:after="40" w:line="240" w:lineRule="auto"/>
            </w:pPr>
            <w:r/>
            <w:r>
              <w:rPr>
                <w:b/>
                <w:sz w:val="20"/>
              </w:rPr>
              <w:t>Specification</w:t>
            </w:r>
          </w:p>
        </w:tc>
      </w:tr>
      <w:tr>
        <w:tc>
          <w:tcPr>
            <w:tcW w:type="dxa" w:w="2304"/>
          </w:tcPr>
          <w:p>
            <w:pPr>
              <w:spacing w:after="40" w:line="240" w:lineRule="auto"/>
            </w:pPr>
            <w:r/>
            <w:r>
              <w:rPr>
                <w:sz w:val="20"/>
              </w:rPr>
              <w:t>Definition</w:t>
            </w:r>
          </w:p>
        </w:tc>
        <w:tc>
          <w:tcPr>
            <w:tcW w:type="dxa" w:w="7056"/>
          </w:tcPr>
          <w:p>
            <w:pPr>
              <w:spacing w:after="40" w:line="240" w:lineRule="auto"/>
            </w:pPr>
            <w:r/>
            <w:r>
              <w:rPr>
                <w:sz w:val="20"/>
              </w:rPr>
              <w:t>The ecosystem-level state in which the four trust domains hold in sufficient simultaneous alignment for collective action.</w:t>
            </w:r>
          </w:p>
        </w:tc>
      </w:tr>
      <w:tr>
        <w:tc>
          <w:tcPr>
            <w:tcW w:type="dxa" w:w="2304"/>
          </w:tcPr>
          <w:p>
            <w:pPr>
              <w:spacing w:after="40" w:line="240" w:lineRule="auto"/>
            </w:pPr>
            <w:r/>
            <w:r>
              <w:rPr>
                <w:sz w:val="20"/>
              </w:rPr>
              <w:t>Level and referent</w:t>
            </w:r>
          </w:p>
        </w:tc>
        <w:tc>
          <w:tcPr>
            <w:tcW w:type="dxa" w:w="7056"/>
          </w:tcPr>
          <w:p>
            <w:pPr>
              <w:spacing w:after="40" w:line="240" w:lineRule="auto"/>
            </w:pPr>
            <w:r/>
            <w:r>
              <w:rPr>
                <w:sz w:val="20"/>
              </w:rPr>
              <w:t>Ecosystem. A property of the relations among the four domains taken as a set, not of any member or dyad.</w:t>
            </w:r>
          </w:p>
        </w:tc>
      </w:tr>
      <w:tr>
        <w:tc>
          <w:tcPr>
            <w:tcW w:type="dxa" w:w="2304"/>
          </w:tcPr>
          <w:p>
            <w:pPr>
              <w:spacing w:after="40" w:line="240" w:lineRule="auto"/>
            </w:pPr>
            <w:r/>
            <w:r>
              <w:rPr>
                <w:sz w:val="20"/>
              </w:rPr>
              <w:t>Type of emergence</w:t>
            </w:r>
          </w:p>
        </w:tc>
        <w:tc>
          <w:tcPr>
            <w:tcW w:type="dxa" w:w="7056"/>
          </w:tcPr>
          <w:p>
            <w:pPr>
              <w:spacing w:after="40" w:line="240" w:lineRule="auto"/>
            </w:pPr>
            <w:r/>
            <w:r>
              <w:rPr>
                <w:sz w:val="20"/>
              </w:rPr>
              <w:t>Compilational: qualitatively different domains combine through patterned arrangement, not by averaging (Kozlowski and Klein, 2000).</w:t>
            </w:r>
          </w:p>
        </w:tc>
      </w:tr>
      <w:tr>
        <w:tc>
          <w:tcPr>
            <w:tcW w:type="dxa" w:w="2304"/>
          </w:tcPr>
          <w:p>
            <w:pPr>
              <w:spacing w:after="40" w:line="240" w:lineRule="auto"/>
            </w:pPr>
            <w:r/>
            <w:r>
              <w:rPr>
                <w:sz w:val="20"/>
              </w:rPr>
              <w:t>Defining features</w:t>
            </w:r>
          </w:p>
        </w:tc>
        <w:tc>
          <w:tcPr>
            <w:tcW w:type="dxa" w:w="7056"/>
          </w:tcPr>
          <w:p>
            <w:pPr>
              <w:spacing w:after="40" w:line="240" w:lineRule="auto"/>
            </w:pPr>
            <w:r/>
            <w:r>
              <w:rPr>
                <w:sz w:val="20"/>
              </w:rPr>
              <w:t>Configural rather than aggregate; bounded by its weakest domain where stakes are high, verification is costly, and interdependence is tight.</w:t>
            </w:r>
          </w:p>
        </w:tc>
      </w:tr>
      <w:tr>
        <w:tc>
          <w:tcPr>
            <w:tcW w:type="dxa" w:w="2304"/>
          </w:tcPr>
          <w:p>
            <w:pPr>
              <w:spacing w:after="40" w:line="240" w:lineRule="auto"/>
            </w:pPr>
            <w:r/>
            <w:r>
              <w:rPr>
                <w:sz w:val="20"/>
              </w:rPr>
              <w:t>Derived construct</w:t>
            </w:r>
          </w:p>
        </w:tc>
        <w:tc>
          <w:tcPr>
            <w:tcW w:type="dxa" w:w="7056"/>
          </w:tcPr>
          <w:p>
            <w:pPr>
              <w:spacing w:after="40" w:line="240" w:lineRule="auto"/>
            </w:pPr>
            <w:r/>
            <w:r>
              <w:rPr>
                <w:sz w:val="20"/>
              </w:rPr>
              <w:t>Mesotrust calibration: the alignment of extension with warrant across all four domains simultaneously (Section 2.6).</w:t>
            </w:r>
          </w:p>
        </w:tc>
      </w:tr>
      <w:tr>
        <w:tc>
          <w:tcPr>
            <w:tcW w:type="dxa" w:w="2304"/>
          </w:tcPr>
          <w:p>
            <w:pPr>
              <w:spacing w:after="40" w:line="240" w:lineRule="auto"/>
            </w:pPr>
            <w:r/>
            <w:r>
              <w:rPr>
                <w:sz w:val="20"/>
              </w:rPr>
              <w:t>What it is not</w:t>
            </w:r>
          </w:p>
        </w:tc>
        <w:tc>
          <w:tcPr>
            <w:tcW w:type="dxa" w:w="7056"/>
          </w:tcPr>
          <w:p>
            <w:pPr>
              <w:spacing w:after="40" w:line="240" w:lineRule="auto"/>
            </w:pPr>
            <w:r/>
            <w:r>
              <w:rPr>
                <w:sz w:val="20"/>
              </w:rPr>
              <w:t>Social capital, trust transfer, trust level, absorptive capacity, trust repair, or organizational risk management applied to AI (Section 5.3).</w:t>
            </w:r>
          </w:p>
        </w:tc>
      </w:tr>
      <w:tr>
        <w:tc>
          <w:tcPr>
            <w:tcW w:type="dxa" w:w="2304"/>
          </w:tcPr>
          <w:p>
            <w:pPr>
              <w:spacing w:after="40" w:line="240" w:lineRule="auto"/>
            </w:pPr>
            <w:r/>
            <w:r>
              <w:rPr>
                <w:sz w:val="20"/>
              </w:rPr>
              <w:t>How it is observed here</w:t>
            </w:r>
          </w:p>
        </w:tc>
        <w:tc>
          <w:tcPr>
            <w:tcW w:type="dxa" w:w="7056"/>
          </w:tcPr>
          <w:p>
            <w:pPr>
              <w:spacing w:after="40" w:line="240" w:lineRule="auto"/>
            </w:pPr>
            <w:r/>
            <w:r>
              <w:rPr>
                <w:sz w:val="20"/>
              </w:rPr>
              <w:t>Practitioner segments carry warrant and extension one domain at a time, so configurations are inferred across segments; the incident register supplies ecosystems coded on all four domains (Table V).</w:t>
            </w:r>
          </w:p>
        </w:tc>
      </w:tr>
      <w:tr>
        <w:tc>
          <w:tcPr>
            <w:tcW w:type="dxa" w:w="2304"/>
          </w:tcPr>
          <w:p>
            <w:pPr>
              <w:spacing w:after="40" w:line="240" w:lineRule="auto"/>
            </w:pPr>
            <w:r/>
            <w:r>
              <w:rPr>
                <w:sz w:val="20"/>
              </w:rPr>
              <w:t>What would count against it</w:t>
            </w:r>
          </w:p>
        </w:tc>
        <w:tc>
          <w:tcPr>
            <w:tcW w:type="dxa" w:w="7056"/>
          </w:tcPr>
          <w:p>
            <w:pPr>
              <w:spacing w:after="40" w:line="240" w:lineRule="auto"/>
            </w:pPr>
            <w:r/>
            <w:r>
              <w:rPr>
                <w:sz w:val="20"/>
              </w:rPr>
              <w:t>Ecosystems sustaining collective action while one domain is severely miscalibrated; an averaged measure predicting outcomes as well as a configural one.</w:t>
            </w:r>
          </w:p>
        </w:tc>
      </w:tr>
    </w:tbl>
    <w:p>
      <w:pPr>
        <w:spacing w:before="120" w:after="200" w:line="240" w:lineRule="auto"/>
      </w:pPr>
      <w:r>
        <w:rPr>
          <w:i/>
          <w:sz w:val="20"/>
        </w:rPr>
        <w:t>Note. Elements follow the requirements for construct clarity set out by Suddaby (2010) and the definitional procedure of Podsakoff et al. (2016).</w:t>
      </w:r>
    </w:p>
    <w:p>
      <w:pPr>
        <w:keepNext/>
        <w:pageBreakBefore/>
        <w:spacing w:before="200" w:after="120" w:line="240" w:lineRule="auto"/>
      </w:pPr>
      <w:r>
        <w:t xml:space="preserve">Table III.  Calibration States, </w:t>
      </w:r>
      <w:r>
        <w:t>Their Signatures, Their Characteristic Trajectories, and the Governance Each Indicates</w:t>
      </w:r>
    </w:p>
    <w:tbl>
      <w:tblPr>
        <w:tblStyle w:val="TableGrid"/>
        <w:tblW w:type="dxa" w:w="9504"/>
        <w:jc w:val="center"/>
        <w:tblLayout w:type="fixed"/>
        <w:tblLook w:firstColumn="1" w:firstRow="1" w:lastColumn="0" w:lastRow="0" w:noHBand="0" w:noVBand="1" w:val="04A0"/>
      </w:tblPr>
      <w:tblGrid>
        <w:gridCol w:w="1224"/>
        <w:gridCol w:w="1152"/>
        <w:gridCol w:w="2088"/>
        <w:gridCol w:w="2088"/>
        <w:gridCol w:w="1007"/>
        <w:gridCol w:w="1944"/>
      </w:tblGrid>
      <w:tr>
        <w:trPr>
          <w:tblHeader w:val="true"/>
        </w:trPr>
        <w:tc>
          <w:tcPr>
            <w:tcW w:type="dxa" w:w="1224"/>
          </w:tcPr>
          <w:p>
            <w:pPr>
              <w:spacing w:after="40" w:line="240" w:lineRule="auto"/>
            </w:pPr>
            <w:r/>
            <w:r>
              <w:rPr>
                <w:b/>
                <w:sz w:val="20"/>
              </w:rPr>
              <w:t>State</w:t>
            </w:r>
          </w:p>
        </w:tc>
        <w:tc>
          <w:tcPr>
            <w:tcW w:type="dxa" w:w="1152"/>
          </w:tcPr>
          <w:p>
            <w:pPr>
              <w:spacing w:after="40" w:line="240" w:lineRule="auto"/>
            </w:pPr>
            <w:r/>
            <w:r>
              <w:rPr>
                <w:b/>
                <w:sz w:val="20"/>
              </w:rPr>
              <w:t>Warrant / extension</w:t>
            </w:r>
          </w:p>
        </w:tc>
        <w:tc>
          <w:tcPr>
            <w:tcW w:type="dxa" w:w="2088"/>
          </w:tcPr>
          <w:p>
            <w:pPr>
              <w:spacing w:after="40" w:line="240" w:lineRule="auto"/>
            </w:pPr>
            <w:r/>
            <w:r>
              <w:rPr>
                <w:b/>
                <w:sz w:val="20"/>
              </w:rPr>
              <w:t>Signature in the field</w:t>
            </w:r>
          </w:p>
        </w:tc>
        <w:tc>
          <w:tcPr>
            <w:tcW w:type="dxa" w:w="2088"/>
          </w:tcPr>
          <w:p>
            <w:pPr>
              <w:spacing w:after="40" w:line="240" w:lineRule="auto"/>
            </w:pPr>
            <w:r/>
            <w:r>
              <w:rPr>
                <w:b/>
                <w:sz w:val="20"/>
              </w:rPr>
              <w:t>Characteristic trajectory</w:t>
            </w:r>
          </w:p>
        </w:tc>
        <w:tc>
          <w:tcPr>
            <w:tcW w:type="dxa" w:w="1008"/>
          </w:tcPr>
          <w:p>
            <w:pPr>
              <w:spacing w:after="40" w:line="240" w:lineRule="auto"/>
            </w:pPr>
            <w:r/>
            <w:r>
              <w:rPr>
                <w:b/>
                <w:sz w:val="20"/>
              </w:rPr>
              <w:t>Segments (N = 48)</w:t>
            </w:r>
          </w:p>
        </w:tc>
        <w:tc>
          <w:tcPr>
            <w:tcW w:type="dxa" w:w="1944"/>
          </w:tcPr>
          <w:p>
            <w:pPr>
              <w:spacing w:after="40" w:line="240" w:lineRule="auto"/>
            </w:pPr>
            <w:r/>
            <w:r>
              <w:rPr>
                <w:b/>
                <w:sz w:val="20"/>
              </w:rPr>
              <w:t>Governance indicated</w:t>
            </w:r>
          </w:p>
        </w:tc>
      </w:tr>
      <w:tr>
        <w:tc>
          <w:tcPr>
            <w:tcW w:type="dxa" w:w="1224"/>
          </w:tcPr>
          <w:p>
            <w:pPr>
              <w:spacing w:after="40" w:line="240" w:lineRule="auto"/>
            </w:pPr>
            <w:r/>
            <w:r>
              <w:rPr>
                <w:sz w:val="20"/>
              </w:rPr>
              <w:t>Calibrated</w:t>
            </w:r>
          </w:p>
        </w:tc>
        <w:tc>
          <w:tcPr>
            <w:tcW w:type="dxa" w:w="1152"/>
          </w:tcPr>
          <w:p>
            <w:pPr>
              <w:spacing w:after="40" w:line="240" w:lineRule="auto"/>
            </w:pPr>
            <w:r/>
            <w:r>
              <w:rPr>
                <w:sz w:val="20"/>
              </w:rPr>
              <w:t>High / High</w:t>
            </w:r>
          </w:p>
        </w:tc>
        <w:tc>
          <w:tcPr>
            <w:tcW w:type="dxa" w:w="2088"/>
          </w:tcPr>
          <w:p>
            <w:pPr>
              <w:spacing w:after="40" w:line="240" w:lineRule="auto"/>
            </w:pPr>
            <w:r/>
            <w:r>
              <w:rPr>
                <w:sz w:val="20"/>
              </w:rPr>
              <w:t>Extensive evidence-backed reliance; members can state why the arrangement is sound</w:t>
            </w:r>
          </w:p>
        </w:tc>
        <w:tc>
          <w:tcPr>
            <w:tcW w:type="dxa" w:w="2088"/>
          </w:tcPr>
          <w:p>
            <w:pPr>
              <w:spacing w:after="40" w:line="240" w:lineRule="auto"/>
            </w:pPr>
            <w:r/>
            <w:r>
              <w:rPr>
                <w:sz w:val="20"/>
              </w:rPr>
              <w:t>Stable only while calibration runs continuously; decays silently when it lapses</w:t>
            </w:r>
          </w:p>
        </w:tc>
        <w:tc>
          <w:tcPr>
            <w:tcW w:type="dxa" w:w="1008"/>
          </w:tcPr>
          <w:p>
            <w:pPr>
              <w:spacing w:after="40" w:line="240" w:lineRule="auto"/>
            </w:pPr>
            <w:r/>
            <w:r>
              <w:rPr>
                <w:sz w:val="20"/>
              </w:rPr>
              <w:t>22 (46%)</w:t>
            </w:r>
          </w:p>
        </w:tc>
        <w:tc>
          <w:tcPr>
            <w:tcW w:type="dxa" w:w="1944"/>
          </w:tcPr>
          <w:p>
            <w:pPr>
              <w:spacing w:after="40" w:line="240" w:lineRule="auto"/>
            </w:pPr>
            <w:r/>
            <w:r>
              <w:rPr>
                <w:sz w:val="20"/>
              </w:rPr>
              <w:t>Commensurable expression of warrant sustained continuously; named roles that reliance cannot bypass</w:t>
            </w:r>
          </w:p>
        </w:tc>
      </w:tr>
      <w:tr>
        <w:tc>
          <w:tcPr>
            <w:tcW w:type="dxa" w:w="1224"/>
          </w:tcPr>
          <w:p>
            <w:pPr>
              <w:spacing w:after="40" w:line="240" w:lineRule="auto"/>
            </w:pPr>
            <w:r/>
            <w:r>
              <w:rPr>
                <w:sz w:val="20"/>
              </w:rPr>
              <w:t>Overextended</w:t>
            </w:r>
          </w:p>
        </w:tc>
        <w:tc>
          <w:tcPr>
            <w:tcW w:type="dxa" w:w="1152"/>
          </w:tcPr>
          <w:p>
            <w:pPr>
              <w:spacing w:after="40" w:line="240" w:lineRule="auto"/>
            </w:pPr>
            <w:r/>
            <w:r>
              <w:rPr>
                <w:sz w:val="20"/>
              </w:rPr>
              <w:t>Low or unknown / High</w:t>
            </w:r>
          </w:p>
        </w:tc>
        <w:tc>
          <w:tcPr>
            <w:tcW w:type="dxa" w:w="2088"/>
          </w:tcPr>
          <w:p>
            <w:pPr>
              <w:spacing w:after="40" w:line="240" w:lineRule="auto"/>
            </w:pPr>
            <w:r/>
            <w:r>
              <w:rPr>
                <w:sz w:val="20"/>
              </w:rPr>
              <w:t>Vigorous collaboration, rising integration counts, no current account of system behavior</w:t>
            </w:r>
          </w:p>
        </w:tc>
        <w:tc>
          <w:tcPr>
            <w:tcW w:type="dxa" w:w="2088"/>
          </w:tcPr>
          <w:p>
            <w:pPr>
              <w:spacing w:after="40" w:line="240" w:lineRule="auto"/>
            </w:pPr>
            <w:r/>
            <w:r>
              <w:rPr>
                <w:sz w:val="20"/>
              </w:rPr>
              <w:t>Drifts further under reinforcement, then corrects abruptly toward dormancy or underextension</w:t>
            </w:r>
          </w:p>
        </w:tc>
        <w:tc>
          <w:tcPr>
            <w:tcW w:type="dxa" w:w="1008"/>
          </w:tcPr>
          <w:p>
            <w:pPr>
              <w:spacing w:after="40" w:line="240" w:lineRule="auto"/>
            </w:pPr>
            <w:r/>
            <w:r>
              <w:rPr>
                <w:sz w:val="20"/>
              </w:rPr>
              <w:t>21 (44%)</w:t>
            </w:r>
          </w:p>
        </w:tc>
        <w:tc>
          <w:tcPr>
            <w:tcW w:type="dxa" w:w="1944"/>
          </w:tcPr>
          <w:p>
            <w:pPr>
              <w:spacing w:after="40" w:line="240" w:lineRule="auto"/>
            </w:pPr>
            <w:r/>
            <w:r>
              <w:rPr>
                <w:sz w:val="20"/>
              </w:rPr>
              <w:t>Reliance inventory before further controls; warrant-transfer instruments with evidentiary content; verification housed outside the mediating layer</w:t>
            </w:r>
          </w:p>
        </w:tc>
      </w:tr>
      <w:tr>
        <w:tc>
          <w:tcPr>
            <w:tcW w:type="dxa" w:w="1224"/>
          </w:tcPr>
          <w:p>
            <w:pPr>
              <w:spacing w:after="40" w:line="240" w:lineRule="auto"/>
            </w:pPr>
            <w:r/>
            <w:r>
              <w:rPr>
                <w:sz w:val="20"/>
              </w:rPr>
              <w:t>Underextended</w:t>
            </w:r>
          </w:p>
        </w:tc>
        <w:tc>
          <w:tcPr>
            <w:tcW w:type="dxa" w:w="1152"/>
          </w:tcPr>
          <w:p>
            <w:pPr>
              <w:spacing w:after="40" w:line="240" w:lineRule="auto"/>
            </w:pPr>
            <w:r/>
            <w:r>
              <w:rPr>
                <w:sz w:val="20"/>
              </w:rPr>
              <w:t>High / Low</w:t>
            </w:r>
          </w:p>
        </w:tc>
        <w:tc>
          <w:tcPr>
            <w:tcW w:type="dxa" w:w="2088"/>
          </w:tcPr>
          <w:p>
            <w:pPr>
              <w:spacing w:after="40" w:line="240" w:lineRule="auto"/>
            </w:pPr>
            <w:r/>
            <w:r>
              <w:rPr>
                <w:sz w:val="20"/>
              </w:rPr>
              <w:t>Available capability withheld after a salient failure elsewhere</w:t>
            </w:r>
          </w:p>
        </w:tc>
        <w:tc>
          <w:tcPr>
            <w:tcW w:type="dxa" w:w="2088"/>
          </w:tcPr>
          <w:p>
            <w:pPr>
              <w:spacing w:after="40" w:line="240" w:lineRule="auto"/>
            </w:pPr>
            <w:r/>
            <w:r>
              <w:rPr>
                <w:sz w:val="20"/>
              </w:rPr>
              <w:t>Self-sealing, because withheld use suppresses the evidence further warrant requires</w:t>
            </w:r>
          </w:p>
        </w:tc>
        <w:tc>
          <w:tcPr>
            <w:tcW w:type="dxa" w:w="1008"/>
          </w:tcPr>
          <w:p>
            <w:pPr>
              <w:spacing w:after="40" w:line="240" w:lineRule="auto"/>
            </w:pPr>
            <w:r/>
            <w:r>
              <w:rPr>
                <w:sz w:val="20"/>
              </w:rPr>
              <w:t>1 (2%)</w:t>
            </w:r>
          </w:p>
        </w:tc>
        <w:tc>
          <w:tcPr>
            <w:tcW w:type="dxa" w:w="1944"/>
          </w:tcPr>
          <w:p>
            <w:pPr>
              <w:spacing w:after="40" w:line="240" w:lineRule="auto"/>
            </w:pPr>
            <w:r/>
            <w:r>
              <w:rPr>
                <w:sz w:val="20"/>
              </w:rPr>
              <w:t>Credible demonstration instruments that let withdrawn extension return without re-verifying from zero</w:t>
            </w:r>
          </w:p>
        </w:tc>
      </w:tr>
      <w:tr>
        <w:tc>
          <w:tcPr>
            <w:tcW w:type="dxa" w:w="1224"/>
          </w:tcPr>
          <w:p>
            <w:pPr>
              <w:spacing w:after="40" w:line="240" w:lineRule="auto"/>
            </w:pPr>
            <w:r/>
            <w:r>
              <w:rPr>
                <w:sz w:val="20"/>
              </w:rPr>
              <w:t>Dormant</w:t>
            </w:r>
          </w:p>
        </w:tc>
        <w:tc>
          <w:tcPr>
            <w:tcW w:type="dxa" w:w="1152"/>
          </w:tcPr>
          <w:p>
            <w:pPr>
              <w:spacing w:after="40" w:line="240" w:lineRule="auto"/>
            </w:pPr>
            <w:r/>
            <w:r>
              <w:rPr>
                <w:sz w:val="20"/>
              </w:rPr>
              <w:t>Low / Low</w:t>
            </w:r>
          </w:p>
        </w:tc>
        <w:tc>
          <w:tcPr>
            <w:tcW w:type="dxa" w:w="2088"/>
          </w:tcPr>
          <w:p>
            <w:pPr>
              <w:spacing w:after="40" w:line="240" w:lineRule="auto"/>
            </w:pPr>
            <w:r/>
            <w:r>
              <w:rPr>
                <w:sz w:val="20"/>
              </w:rPr>
              <w:t>Accurate self-assessment and no collective capability</w:t>
            </w:r>
          </w:p>
        </w:tc>
        <w:tc>
          <w:tcPr>
            <w:tcW w:type="dxa" w:w="2088"/>
          </w:tcPr>
          <w:p>
            <w:pPr>
              <w:spacing w:after="40" w:line="240" w:lineRule="auto"/>
            </w:pPr>
            <w:r/>
            <w:r>
              <w:rPr>
                <w:sz w:val="20"/>
              </w:rPr>
              <w:t>Short-lived origin of new ecosystems and the residue of corrected overextension</w:t>
            </w:r>
          </w:p>
        </w:tc>
        <w:tc>
          <w:tcPr>
            <w:tcW w:type="dxa" w:w="1008"/>
          </w:tcPr>
          <w:p>
            <w:pPr>
              <w:spacing w:after="40" w:line="240" w:lineRule="auto"/>
            </w:pPr>
            <w:r/>
            <w:r>
              <w:rPr>
                <w:sz w:val="20"/>
              </w:rPr>
              <w:t>4 (8%)</w:t>
            </w:r>
          </w:p>
        </w:tc>
        <w:tc>
          <w:tcPr>
            <w:tcW w:type="dxa" w:w="1944"/>
          </w:tcPr>
          <w:p>
            <w:pPr>
              <w:spacing w:after="40" w:line="240" w:lineRule="auto"/>
            </w:pPr>
            <w:r/>
            <w:r>
              <w:rPr>
                <w:sz w:val="20"/>
              </w:rPr>
              <w:t>Early legibility and bounded-extension instruments introduced before adoption accelerates</w:t>
            </w:r>
          </w:p>
        </w:tc>
      </w:tr>
    </w:tbl>
    <w:p>
      <w:pPr>
        <w:spacing w:before="120" w:after="200" w:line="240" w:lineRule="auto"/>
      </w:pPr>
      <w:r>
        <w:rPr>
          <w:i/>
          <w:sz w:val="20"/>
        </w:rPr>
        <w:t>Note. Source: Section 4 findings. Governance indicated summarizes Appendix Table D1, which maps each archetype and mechanism to its representative evidence, sources, and governance mechanism.</w:t>
      </w:r>
    </w:p>
    <w:p>
      <w:pPr>
        <w:keepNext/>
        <w:pageBreakBefore/>
        <w:spacing w:before="200" w:after="120" w:line="240" w:lineRule="auto"/>
      </w:pPr>
      <w:r>
        <w:t>Table IV.  Distribution of Analyzed Segments by Trust Domain and Calibration State, Reconciled Coding (N = 48)</w:t>
      </w:r>
    </w:p>
    <w:tbl>
      <w:tblPr>
        <w:tblStyle w:val="TableGrid"/>
        <w:tblW w:type="dxa" w:w="9360"/>
        <w:jc w:val="center"/>
        <w:tblLayout w:type="fixed"/>
        <w:tblLook w:firstColumn="1" w:firstRow="1" w:lastColumn="0" w:lastRow="0" w:noHBand="0" w:noVBand="1" w:val="04A0"/>
      </w:tblPr>
      <w:tblGrid>
        <w:gridCol w:w="2304"/>
        <w:gridCol w:w="1440"/>
        <w:gridCol w:w="1584"/>
        <w:gridCol w:w="1584"/>
        <w:gridCol w:w="1296"/>
        <w:gridCol w:w="1152"/>
      </w:tblGrid>
      <w:tr>
        <w:trPr>
          <w:tblHeader w:val="true"/>
        </w:trPr>
        <w:tc>
          <w:tcPr>
            <w:tcW w:type="dxa" w:w="2304"/>
          </w:tcPr>
          <w:p>
            <w:pPr>
              <w:spacing w:after="40" w:line="240" w:lineRule="auto"/>
            </w:pPr>
            <w:r/>
            <w:r>
              <w:rPr>
                <w:b/>
                <w:sz w:val="20"/>
              </w:rPr>
              <w:t>Primary trust domain</w:t>
            </w:r>
          </w:p>
        </w:tc>
        <w:tc>
          <w:tcPr>
            <w:tcW w:type="dxa" w:w="1440"/>
          </w:tcPr>
          <w:p>
            <w:pPr>
              <w:spacing w:after="40" w:line="240" w:lineRule="auto"/>
            </w:pPr>
            <w:r/>
            <w:r>
              <w:rPr>
                <w:b/>
                <w:sz w:val="20"/>
              </w:rPr>
              <w:t>Calibrated</w:t>
            </w:r>
          </w:p>
        </w:tc>
        <w:tc>
          <w:tcPr>
            <w:tcW w:type="dxa" w:w="1584"/>
          </w:tcPr>
          <w:p>
            <w:pPr>
              <w:spacing w:after="40" w:line="240" w:lineRule="auto"/>
            </w:pPr>
            <w:r/>
            <w:r>
              <w:rPr>
                <w:b/>
                <w:sz w:val="20"/>
              </w:rPr>
              <w:t>Overextended</w:t>
            </w:r>
          </w:p>
        </w:tc>
        <w:tc>
          <w:tcPr>
            <w:tcW w:type="dxa" w:w="1584"/>
          </w:tcPr>
          <w:p>
            <w:pPr>
              <w:spacing w:after="40" w:line="240" w:lineRule="auto"/>
            </w:pPr>
            <w:r/>
            <w:r>
              <w:rPr>
                <w:b/>
                <w:sz w:val="20"/>
              </w:rPr>
              <w:t>Underextended</w:t>
            </w:r>
          </w:p>
        </w:tc>
        <w:tc>
          <w:tcPr>
            <w:tcW w:type="dxa" w:w="1296"/>
          </w:tcPr>
          <w:p>
            <w:pPr>
              <w:spacing w:after="40" w:line="240" w:lineRule="auto"/>
            </w:pPr>
            <w:r/>
            <w:r>
              <w:rPr>
                <w:b/>
                <w:sz w:val="20"/>
              </w:rPr>
              <w:t>Dormant</w:t>
            </w:r>
          </w:p>
        </w:tc>
        <w:tc>
          <w:tcPr>
            <w:tcW w:type="dxa" w:w="1152"/>
          </w:tcPr>
          <w:p>
            <w:pPr>
              <w:spacing w:after="40" w:line="240" w:lineRule="auto"/>
            </w:pPr>
            <w:r/>
            <w:r>
              <w:rPr>
                <w:b/>
                <w:sz w:val="20"/>
              </w:rPr>
              <w:t>Total</w:t>
            </w:r>
          </w:p>
        </w:tc>
      </w:tr>
      <w:tr>
        <w:tc>
          <w:tcPr>
            <w:tcW w:type="dxa" w:w="2304"/>
          </w:tcPr>
          <w:p>
            <w:pPr>
              <w:spacing w:after="40" w:line="240" w:lineRule="auto"/>
            </w:pPr>
            <w:r/>
            <w:r>
              <w:rPr>
                <w:sz w:val="20"/>
              </w:rPr>
              <w:t>Infrastructural</w:t>
            </w:r>
          </w:p>
        </w:tc>
        <w:tc>
          <w:tcPr>
            <w:tcW w:type="dxa" w:w="1440"/>
          </w:tcPr>
          <w:p>
            <w:pPr>
              <w:spacing w:after="40" w:line="240" w:lineRule="auto"/>
            </w:pPr>
            <w:r/>
            <w:r>
              <w:rPr>
                <w:sz w:val="20"/>
              </w:rPr>
              <w:t>16</w:t>
            </w:r>
          </w:p>
        </w:tc>
        <w:tc>
          <w:tcPr>
            <w:tcW w:type="dxa" w:w="1584"/>
          </w:tcPr>
          <w:p>
            <w:pPr>
              <w:spacing w:after="40" w:line="240" w:lineRule="auto"/>
            </w:pPr>
            <w:r/>
            <w:r>
              <w:rPr>
                <w:sz w:val="20"/>
              </w:rPr>
              <w:t>10</w:t>
            </w:r>
          </w:p>
        </w:tc>
        <w:tc>
          <w:tcPr>
            <w:tcW w:type="dxa" w:w="1584"/>
          </w:tcPr>
          <w:p>
            <w:pPr>
              <w:spacing w:after="40" w:line="240" w:lineRule="auto"/>
            </w:pPr>
            <w:r/>
            <w:r>
              <w:rPr>
                <w:sz w:val="20"/>
              </w:rPr>
              <w:t>0</w:t>
            </w:r>
          </w:p>
        </w:tc>
        <w:tc>
          <w:tcPr>
            <w:tcW w:type="dxa" w:w="1296"/>
          </w:tcPr>
          <w:p>
            <w:pPr>
              <w:spacing w:after="40" w:line="240" w:lineRule="auto"/>
            </w:pPr>
            <w:r/>
            <w:r>
              <w:rPr>
                <w:sz w:val="20"/>
              </w:rPr>
              <w:t>1</w:t>
            </w:r>
          </w:p>
        </w:tc>
        <w:tc>
          <w:tcPr>
            <w:tcW w:type="dxa" w:w="1152"/>
          </w:tcPr>
          <w:p>
            <w:pPr>
              <w:spacing w:after="40" w:line="240" w:lineRule="auto"/>
            </w:pPr>
            <w:r/>
            <w:r>
              <w:rPr>
                <w:sz w:val="20"/>
              </w:rPr>
              <w:t>27 (56%)</w:t>
            </w:r>
          </w:p>
        </w:tc>
      </w:tr>
      <w:tr>
        <w:tc>
          <w:tcPr>
            <w:tcW w:type="dxa" w:w="2304"/>
          </w:tcPr>
          <w:p>
            <w:pPr>
              <w:spacing w:after="40" w:line="240" w:lineRule="auto"/>
            </w:pPr>
            <w:r/>
            <w:r>
              <w:rPr>
                <w:sz w:val="20"/>
              </w:rPr>
              <w:t>Institutional</w:t>
            </w:r>
          </w:p>
        </w:tc>
        <w:tc>
          <w:tcPr>
            <w:tcW w:type="dxa" w:w="1440"/>
          </w:tcPr>
          <w:p>
            <w:pPr>
              <w:spacing w:after="40" w:line="240" w:lineRule="auto"/>
            </w:pPr>
            <w:r/>
            <w:r>
              <w:rPr>
                <w:sz w:val="20"/>
              </w:rPr>
              <w:t>2</w:t>
            </w:r>
          </w:p>
        </w:tc>
        <w:tc>
          <w:tcPr>
            <w:tcW w:type="dxa" w:w="1584"/>
          </w:tcPr>
          <w:p>
            <w:pPr>
              <w:spacing w:after="40" w:line="240" w:lineRule="auto"/>
            </w:pPr>
            <w:r/>
            <w:r>
              <w:rPr>
                <w:sz w:val="20"/>
              </w:rPr>
              <w:t>5</w:t>
            </w:r>
          </w:p>
        </w:tc>
        <w:tc>
          <w:tcPr>
            <w:tcW w:type="dxa" w:w="1584"/>
          </w:tcPr>
          <w:p>
            <w:pPr>
              <w:spacing w:after="40" w:line="240" w:lineRule="auto"/>
            </w:pPr>
            <w:r/>
            <w:r>
              <w:rPr>
                <w:sz w:val="20"/>
              </w:rPr>
              <w:t>1</w:t>
            </w:r>
          </w:p>
        </w:tc>
        <w:tc>
          <w:tcPr>
            <w:tcW w:type="dxa" w:w="1296"/>
          </w:tcPr>
          <w:p>
            <w:pPr>
              <w:spacing w:after="40" w:line="240" w:lineRule="auto"/>
            </w:pPr>
            <w:r/>
            <w:r>
              <w:rPr>
                <w:sz w:val="20"/>
              </w:rPr>
              <w:t>3</w:t>
            </w:r>
          </w:p>
        </w:tc>
        <w:tc>
          <w:tcPr>
            <w:tcW w:type="dxa" w:w="1152"/>
          </w:tcPr>
          <w:p>
            <w:pPr>
              <w:spacing w:after="40" w:line="240" w:lineRule="auto"/>
            </w:pPr>
            <w:r/>
            <w:r>
              <w:rPr>
                <w:sz w:val="20"/>
              </w:rPr>
              <w:t>11 (23%)</w:t>
            </w:r>
          </w:p>
        </w:tc>
      </w:tr>
      <w:tr>
        <w:tc>
          <w:tcPr>
            <w:tcW w:type="dxa" w:w="2304"/>
          </w:tcPr>
          <w:p>
            <w:pPr>
              <w:spacing w:after="40" w:line="240" w:lineRule="auto"/>
            </w:pPr>
            <w:r/>
            <w:r>
              <w:rPr>
                <w:sz w:val="20"/>
              </w:rPr>
              <w:t>Organizational</w:t>
            </w:r>
          </w:p>
        </w:tc>
        <w:tc>
          <w:tcPr>
            <w:tcW w:type="dxa" w:w="1440"/>
          </w:tcPr>
          <w:p>
            <w:pPr>
              <w:spacing w:after="40" w:line="240" w:lineRule="auto"/>
            </w:pPr>
            <w:r/>
            <w:r>
              <w:rPr>
                <w:sz w:val="20"/>
              </w:rPr>
              <w:t>2</w:t>
            </w:r>
          </w:p>
        </w:tc>
        <w:tc>
          <w:tcPr>
            <w:tcW w:type="dxa" w:w="1584"/>
          </w:tcPr>
          <w:p>
            <w:pPr>
              <w:spacing w:after="40" w:line="240" w:lineRule="auto"/>
            </w:pPr>
            <w:r/>
            <w:r>
              <w:rPr>
                <w:sz w:val="20"/>
              </w:rPr>
              <w:t>6</w:t>
            </w:r>
          </w:p>
        </w:tc>
        <w:tc>
          <w:tcPr>
            <w:tcW w:type="dxa" w:w="1584"/>
          </w:tcPr>
          <w:p>
            <w:pPr>
              <w:spacing w:after="40" w:line="240" w:lineRule="auto"/>
            </w:pPr>
            <w:r/>
            <w:r>
              <w:rPr>
                <w:sz w:val="20"/>
              </w:rPr>
              <w:t>0</w:t>
            </w:r>
          </w:p>
        </w:tc>
        <w:tc>
          <w:tcPr>
            <w:tcW w:type="dxa" w:w="1296"/>
          </w:tcPr>
          <w:p>
            <w:pPr>
              <w:spacing w:after="40" w:line="240" w:lineRule="auto"/>
            </w:pPr>
            <w:r/>
            <w:r>
              <w:rPr>
                <w:sz w:val="20"/>
              </w:rPr>
              <w:t>0</w:t>
            </w:r>
          </w:p>
        </w:tc>
        <w:tc>
          <w:tcPr>
            <w:tcW w:type="dxa" w:w="1152"/>
          </w:tcPr>
          <w:p>
            <w:pPr>
              <w:spacing w:after="40" w:line="240" w:lineRule="auto"/>
            </w:pPr>
            <w:r/>
            <w:r>
              <w:rPr>
                <w:sz w:val="20"/>
              </w:rPr>
              <w:t>8 (17%)</w:t>
            </w:r>
          </w:p>
        </w:tc>
      </w:tr>
      <w:tr>
        <w:tc>
          <w:tcPr>
            <w:tcW w:type="dxa" w:w="2304"/>
          </w:tcPr>
          <w:p>
            <w:pPr>
              <w:spacing w:after="40" w:line="240" w:lineRule="auto"/>
            </w:pPr>
            <w:r/>
            <w:r>
              <w:rPr>
                <w:sz w:val="20"/>
              </w:rPr>
              <w:t>Interpersonal</w:t>
            </w:r>
          </w:p>
        </w:tc>
        <w:tc>
          <w:tcPr>
            <w:tcW w:type="dxa" w:w="1440"/>
          </w:tcPr>
          <w:p>
            <w:pPr>
              <w:spacing w:after="40" w:line="240" w:lineRule="auto"/>
            </w:pPr>
            <w:r/>
            <w:r>
              <w:rPr>
                <w:sz w:val="20"/>
              </w:rPr>
              <w:t>2</w:t>
            </w:r>
          </w:p>
        </w:tc>
        <w:tc>
          <w:tcPr>
            <w:tcW w:type="dxa" w:w="1584"/>
          </w:tcPr>
          <w:p>
            <w:pPr>
              <w:spacing w:after="40" w:line="240" w:lineRule="auto"/>
            </w:pPr>
            <w:r/>
            <w:r>
              <w:rPr>
                <w:sz w:val="20"/>
              </w:rPr>
              <w:t>0</w:t>
            </w:r>
          </w:p>
        </w:tc>
        <w:tc>
          <w:tcPr>
            <w:tcW w:type="dxa" w:w="1584"/>
          </w:tcPr>
          <w:p>
            <w:pPr>
              <w:spacing w:after="40" w:line="240" w:lineRule="auto"/>
            </w:pPr>
            <w:r/>
            <w:r>
              <w:rPr>
                <w:sz w:val="20"/>
              </w:rPr>
              <w:t>0</w:t>
            </w:r>
          </w:p>
        </w:tc>
        <w:tc>
          <w:tcPr>
            <w:tcW w:type="dxa" w:w="1296"/>
          </w:tcPr>
          <w:p>
            <w:pPr>
              <w:spacing w:after="40" w:line="240" w:lineRule="auto"/>
            </w:pPr>
            <w:r/>
            <w:r>
              <w:rPr>
                <w:sz w:val="20"/>
              </w:rPr>
              <w:t>0</w:t>
            </w:r>
          </w:p>
        </w:tc>
        <w:tc>
          <w:tcPr>
            <w:tcW w:type="dxa" w:w="1152"/>
          </w:tcPr>
          <w:p>
            <w:pPr>
              <w:spacing w:after="40" w:line="240" w:lineRule="auto"/>
            </w:pPr>
            <w:r/>
            <w:r>
              <w:rPr>
                <w:sz w:val="20"/>
              </w:rPr>
              <w:t>2 (4%)</w:t>
            </w:r>
          </w:p>
        </w:tc>
      </w:tr>
      <w:tr>
        <w:tc>
          <w:tcPr>
            <w:tcW w:type="dxa" w:w="2304"/>
          </w:tcPr>
          <w:p>
            <w:pPr>
              <w:spacing w:after="40" w:line="240" w:lineRule="auto"/>
            </w:pPr>
            <w:r/>
            <w:r>
              <w:rPr>
                <w:sz w:val="20"/>
              </w:rPr>
              <w:t>Total</w:t>
            </w:r>
          </w:p>
        </w:tc>
        <w:tc>
          <w:tcPr>
            <w:tcW w:type="dxa" w:w="1440"/>
          </w:tcPr>
          <w:p>
            <w:pPr>
              <w:spacing w:after="40" w:line="240" w:lineRule="auto"/>
            </w:pPr>
            <w:r/>
            <w:r>
              <w:rPr>
                <w:sz w:val="20"/>
              </w:rPr>
              <w:t>22 (46%)</w:t>
            </w:r>
          </w:p>
        </w:tc>
        <w:tc>
          <w:tcPr>
            <w:tcW w:type="dxa" w:w="1584"/>
          </w:tcPr>
          <w:p>
            <w:pPr>
              <w:spacing w:after="40" w:line="240" w:lineRule="auto"/>
            </w:pPr>
            <w:r/>
            <w:r>
              <w:rPr>
                <w:sz w:val="20"/>
              </w:rPr>
              <w:t>21 (44%)</w:t>
            </w:r>
          </w:p>
        </w:tc>
        <w:tc>
          <w:tcPr>
            <w:tcW w:type="dxa" w:w="1584"/>
          </w:tcPr>
          <w:p>
            <w:pPr>
              <w:spacing w:after="40" w:line="240" w:lineRule="auto"/>
            </w:pPr>
            <w:r/>
            <w:r>
              <w:rPr>
                <w:sz w:val="20"/>
              </w:rPr>
              <w:t>1 (2%)</w:t>
            </w:r>
          </w:p>
        </w:tc>
        <w:tc>
          <w:tcPr>
            <w:tcW w:type="dxa" w:w="1296"/>
          </w:tcPr>
          <w:p>
            <w:pPr>
              <w:spacing w:after="40" w:line="240" w:lineRule="auto"/>
            </w:pPr>
            <w:r/>
            <w:r>
              <w:rPr>
                <w:sz w:val="20"/>
              </w:rPr>
              <w:t>4 (8%)</w:t>
            </w:r>
          </w:p>
        </w:tc>
        <w:tc>
          <w:tcPr>
            <w:tcW w:type="dxa" w:w="1152"/>
          </w:tcPr>
          <w:p>
            <w:pPr>
              <w:spacing w:after="40" w:line="240" w:lineRule="auto"/>
            </w:pPr>
            <w:r/>
            <w:r>
              <w:rPr>
                <w:sz w:val="20"/>
              </w:rPr>
              <w:t>48</w:t>
            </w:r>
          </w:p>
        </w:tc>
      </w:tr>
    </w:tbl>
    <w:p>
      <w:pPr>
        <w:spacing w:before="0" w:after="80" w:line="240" w:lineRule="auto"/>
      </w:pPr>
      <w:r>
        <w:rPr>
          <w:sz w:val="12"/>
        </w:rPr>
      </w:r>
    </w:p>
    <w:p>
      <w:pPr>
        <w:keepNext/>
        <w:pageBreakBefore/>
        <w:spacing w:before="200" w:after="120" w:line="240" w:lineRule="auto"/>
      </w:pPr>
      <w:r>
        <w:t xml:space="preserve">Table V.  Within-Ecosystem Mesotrust Configurations in </w:t>
      </w:r>
      <w:r>
        <w:t>Six</w:t>
      </w:r>
      <w:r>
        <w:t xml:space="preserve"> Documented Incidents</w:t>
      </w:r>
    </w:p>
    <w:tbl>
      <w:tblPr>
        <w:tblStyle w:val="TableGrid"/>
        <w:tblW w:type="dxa" w:w="9360"/>
        <w:jc w:val="center"/>
        <w:tblLayout w:type="fixed"/>
        <w:tblLook w:firstColumn="1" w:firstRow="1" w:lastColumn="0" w:lastRow="0" w:noHBand="0" w:noVBand="1" w:val="04A0"/>
      </w:tblPr>
      <w:tblGrid>
        <w:gridCol w:w="1728"/>
        <w:gridCol w:w="864"/>
        <w:gridCol w:w="864"/>
        <w:gridCol w:w="1007"/>
        <w:gridCol w:w="864"/>
        <w:gridCol w:w="2664"/>
        <w:gridCol w:w="1368"/>
      </w:tblGrid>
      <w:tr>
        <w:trPr>
          <w:cantSplit w:val="true"/>
          <w:tblHeader w:val="true"/>
        </w:trPr>
        <w:tc>
          <w:tcPr>
            <w:tcW w:type="dxa" w:w="1728"/>
          </w:tcPr>
          <w:p>
            <w:pPr>
              <w:spacing w:after="40" w:line="240" w:lineRule="auto"/>
            </w:pPr>
            <w:r/>
            <w:r>
              <w:rPr>
                <w:b/>
                <w:sz w:val="20"/>
              </w:rPr>
              <w:t>Ecosystem and event</w:t>
            </w:r>
          </w:p>
        </w:tc>
        <w:tc>
          <w:tcPr>
            <w:tcW w:type="dxa" w:w="864"/>
          </w:tcPr>
          <w:p>
            <w:pPr>
              <w:spacing w:after="40" w:line="240" w:lineRule="auto"/>
            </w:pPr>
            <w:r/>
            <w:r>
              <w:rPr>
                <w:b/>
                <w:sz w:val="20"/>
              </w:rPr>
              <w:t>Interp.</w:t>
            </w:r>
          </w:p>
        </w:tc>
        <w:tc>
          <w:tcPr>
            <w:tcW w:type="dxa" w:w="864"/>
          </w:tcPr>
          <w:p>
            <w:pPr>
              <w:spacing w:after="40" w:line="240" w:lineRule="auto"/>
            </w:pPr>
            <w:r/>
            <w:r>
              <w:rPr>
                <w:b/>
                <w:sz w:val="20"/>
              </w:rPr>
              <w:t>Organ.</w:t>
            </w:r>
          </w:p>
        </w:tc>
        <w:tc>
          <w:tcPr>
            <w:tcW w:type="dxa" w:w="1008"/>
          </w:tcPr>
          <w:p>
            <w:pPr>
              <w:spacing w:after="40" w:line="240" w:lineRule="auto"/>
            </w:pPr>
            <w:r/>
            <w:r>
              <w:rPr>
                <w:b/>
                <w:sz w:val="20"/>
              </w:rPr>
              <w:t>Instit.</w:t>
            </w:r>
          </w:p>
        </w:tc>
        <w:tc>
          <w:tcPr>
            <w:tcW w:type="dxa" w:w="864"/>
          </w:tcPr>
          <w:p>
            <w:pPr>
              <w:spacing w:after="40" w:line="240" w:lineRule="auto"/>
            </w:pPr>
            <w:r/>
            <w:r>
              <w:rPr>
                <w:b/>
                <w:sz w:val="20"/>
              </w:rPr>
              <w:t>Infra.</w:t>
            </w:r>
          </w:p>
        </w:tc>
        <w:tc>
          <w:tcPr>
            <w:tcW w:type="dxa" w:w="2664"/>
          </w:tcPr>
          <w:p>
            <w:pPr>
              <w:spacing w:after="40" w:line="240" w:lineRule="auto"/>
            </w:pPr>
            <w:r/>
            <w:r>
              <w:rPr>
                <w:b/>
                <w:sz w:val="20"/>
              </w:rPr>
              <w:t>Bounding domain and trajectory</w:t>
            </w:r>
          </w:p>
        </w:tc>
        <w:tc>
          <w:tcPr>
            <w:tcW w:type="dxa" w:w="1368"/>
          </w:tcPr>
          <w:p>
            <w:pPr>
              <w:spacing w:after="40" w:line="240" w:lineRule="auto"/>
            </w:pPr>
            <w:r/>
            <w:r>
              <w:rPr>
                <w:b/>
                <w:sz w:val="20"/>
              </w:rPr>
              <w:t>Register sources</w:t>
            </w:r>
          </w:p>
        </w:tc>
      </w:tr>
      <w:tr>
        <w:trPr>
          <w:cantSplit w:val="true"/>
        </w:trPr>
        <w:tc>
          <w:tcPr>
            <w:tcW w:type="dxa" w:w="1728"/>
          </w:tcPr>
          <w:p>
            <w:pPr>
              <w:spacing w:after="40" w:line="240" w:lineRule="auto"/>
            </w:pPr>
            <w:r/>
            <w:r>
              <w:rPr>
                <w:sz w:val="20"/>
              </w:rPr>
              <w:t>Samsung source-code disclosure through a public model, 2023</w:t>
            </w:r>
          </w:p>
        </w:tc>
        <w:tc>
          <w:tcPr>
            <w:tcW w:type="dxa" w:w="864"/>
          </w:tcPr>
          <w:p>
            <w:pPr>
              <w:spacing w:after="40" w:line="240" w:lineRule="auto"/>
            </w:pPr>
            <w:r/>
            <w:r>
              <w:rPr>
                <w:sz w:val="20"/>
              </w:rPr>
              <w:t>U / L</w:t>
            </w:r>
          </w:p>
        </w:tc>
        <w:tc>
          <w:tcPr>
            <w:tcW w:type="dxa" w:w="864"/>
          </w:tcPr>
          <w:p>
            <w:pPr>
              <w:spacing w:after="40" w:line="240" w:lineRule="auto"/>
            </w:pPr>
            <w:r/>
            <w:r>
              <w:rPr>
                <w:sz w:val="20"/>
              </w:rPr>
              <w:t>L / H</w:t>
            </w:r>
          </w:p>
        </w:tc>
        <w:tc>
          <w:tcPr>
            <w:tcW w:type="dxa" w:w="1008"/>
          </w:tcPr>
          <w:p>
            <w:pPr>
              <w:spacing w:after="40" w:line="240" w:lineRule="auto"/>
            </w:pPr>
            <w:r/>
            <w:r>
              <w:rPr>
                <w:sz w:val="20"/>
              </w:rPr>
              <w:t>U / L</w:t>
            </w:r>
          </w:p>
        </w:tc>
        <w:tc>
          <w:tcPr>
            <w:tcW w:type="dxa" w:w="864"/>
          </w:tcPr>
          <w:p>
            <w:pPr>
              <w:spacing w:after="40" w:line="240" w:lineRule="auto"/>
            </w:pPr>
            <w:r/>
            <w:r>
              <w:rPr>
                <w:sz w:val="20"/>
              </w:rPr>
              <w:t>L / H</w:t>
            </w:r>
          </w:p>
        </w:tc>
        <w:tc>
          <w:tcPr>
            <w:tcW w:type="dxa" w:w="2664"/>
          </w:tcPr>
          <w:p>
            <w:pPr>
              <w:spacing w:after="40" w:line="240" w:lineRule="auto"/>
            </w:pPr>
            <w:r/>
            <w:r>
              <w:rPr>
                <w:sz w:val="20"/>
              </w:rPr>
              <w:t>Infrastructural. Overextended at entry; prohibition imposed after the failure and unwound by groupwide re-adoption in 2026, so the state at exit is overextended again on terms the firm could not have occupied in 2023</w:t>
            </w:r>
          </w:p>
        </w:tc>
        <w:tc>
          <w:tcPr>
            <w:tcW w:type="dxa" w:w="1368"/>
          </w:tcPr>
          <w:p>
            <w:pPr>
              <w:spacing w:after="40" w:line="240" w:lineRule="auto"/>
            </w:pPr>
            <w:r/>
            <w:r>
              <w:rPr>
                <w:sz w:val="20"/>
              </w:rPr>
              <w:t>The Register 2023; Bloomberg 2023; CIO 2026</w:t>
            </w:r>
          </w:p>
        </w:tc>
      </w:tr>
      <w:tr>
        <w:trPr>
          <w:cantSplit w:val="true"/>
        </w:trPr>
        <w:tc>
          <w:tcPr>
            <w:tcW w:type="dxa" w:w="1728"/>
          </w:tcPr>
          <w:p>
            <w:pPr>
              <w:spacing w:after="40" w:line="240" w:lineRule="auto"/>
            </w:pPr>
            <w:r/>
            <w:r>
              <w:rPr>
                <w:sz w:val="20"/>
              </w:rPr>
              <w:t>Moffatt v. Air Canada chatbot ruling, 2024</w:t>
            </w:r>
          </w:p>
        </w:tc>
        <w:tc>
          <w:tcPr>
            <w:tcW w:type="dxa" w:w="864"/>
          </w:tcPr>
          <w:p>
            <w:pPr>
              <w:spacing w:after="40" w:line="240" w:lineRule="auto"/>
            </w:pPr>
            <w:r/>
            <w:r>
              <w:rPr>
                <w:sz w:val="20"/>
              </w:rPr>
              <w:t>U / L</w:t>
            </w:r>
          </w:p>
        </w:tc>
        <w:tc>
          <w:tcPr>
            <w:tcW w:type="dxa" w:w="864"/>
          </w:tcPr>
          <w:p>
            <w:pPr>
              <w:spacing w:after="40" w:line="240" w:lineRule="auto"/>
            </w:pPr>
            <w:r/>
            <w:r>
              <w:rPr>
                <w:sz w:val="20"/>
              </w:rPr>
              <w:t>U / L</w:t>
            </w:r>
          </w:p>
        </w:tc>
        <w:tc>
          <w:tcPr>
            <w:tcW w:type="dxa" w:w="1008"/>
          </w:tcPr>
          <w:p>
            <w:pPr>
              <w:spacing w:after="40" w:line="240" w:lineRule="auto"/>
            </w:pPr>
            <w:r/>
            <w:r>
              <w:rPr>
                <w:sz w:val="20"/>
              </w:rPr>
              <w:t>H / H</w:t>
            </w:r>
          </w:p>
        </w:tc>
        <w:tc>
          <w:tcPr>
            <w:tcW w:type="dxa" w:w="864"/>
          </w:tcPr>
          <w:p>
            <w:pPr>
              <w:spacing w:after="40" w:line="240" w:lineRule="auto"/>
            </w:pPr>
            <w:r/>
            <w:r>
              <w:rPr>
                <w:sz w:val="20"/>
              </w:rPr>
              <w:t>L / H</w:t>
            </w:r>
          </w:p>
        </w:tc>
        <w:tc>
          <w:tcPr>
            <w:tcW w:type="dxa" w:w="2664"/>
          </w:tcPr>
          <w:p>
            <w:pPr>
              <w:spacing w:after="40" w:line="240" w:lineRule="auto"/>
            </w:pPr>
            <w:r/>
            <w:r>
              <w:rPr>
                <w:sz w:val="20"/>
              </w:rPr>
              <w:t>Infrastructural. Overextended at entry; at exit liability assigned in the institutional domain while the chatbot was withdrawn; no infrastructural assessment in the record</w:t>
            </w:r>
          </w:p>
        </w:tc>
        <w:tc>
          <w:tcPr>
            <w:tcW w:type="dxa" w:w="1368"/>
          </w:tcPr>
          <w:p>
            <w:pPr>
              <w:spacing w:after="40" w:line="240" w:lineRule="auto"/>
            </w:pPr>
            <w:r/>
            <w:r>
              <w:rPr>
                <w:sz w:val="20"/>
              </w:rPr>
              <w:t>Moffatt v. Air Canada 2024</w:t>
            </w:r>
          </w:p>
        </w:tc>
      </w:tr>
      <w:tr>
        <w:trPr>
          <w:cantSplit w:val="true"/>
        </w:trPr>
        <w:tc>
          <w:tcPr>
            <w:tcW w:type="dxa" w:w="1728"/>
          </w:tcPr>
          <w:p>
            <w:pPr>
              <w:spacing w:after="40" w:line="240" w:lineRule="auto"/>
            </w:pPr>
            <w:r/>
            <w:r>
              <w:rPr>
                <w:sz w:val="20"/>
              </w:rPr>
              <w:t>Deloitte Australia fabricated citations and refund, 2025</w:t>
            </w:r>
          </w:p>
        </w:tc>
        <w:tc>
          <w:tcPr>
            <w:tcW w:type="dxa" w:w="864"/>
          </w:tcPr>
          <w:p>
            <w:pPr>
              <w:spacing w:after="40" w:line="240" w:lineRule="auto"/>
            </w:pPr>
            <w:r/>
            <w:r>
              <w:rPr>
                <w:sz w:val="20"/>
              </w:rPr>
              <w:t>U / L</w:t>
            </w:r>
          </w:p>
        </w:tc>
        <w:tc>
          <w:tcPr>
            <w:tcW w:type="dxa" w:w="864"/>
          </w:tcPr>
          <w:p>
            <w:pPr>
              <w:spacing w:after="40" w:line="240" w:lineRule="auto"/>
            </w:pPr>
            <w:r/>
            <w:r>
              <w:rPr>
                <w:sz w:val="20"/>
              </w:rPr>
              <w:t>H / H</w:t>
            </w:r>
          </w:p>
        </w:tc>
        <w:tc>
          <w:tcPr>
            <w:tcW w:type="dxa" w:w="1008"/>
          </w:tcPr>
          <w:p>
            <w:pPr>
              <w:spacing w:after="40" w:line="240" w:lineRule="auto"/>
            </w:pPr>
            <w:r/>
            <w:r>
              <w:rPr>
                <w:sz w:val="20"/>
              </w:rPr>
              <w:t>U / L</w:t>
            </w:r>
          </w:p>
        </w:tc>
        <w:tc>
          <w:tcPr>
            <w:tcW w:type="dxa" w:w="864"/>
          </w:tcPr>
          <w:p>
            <w:pPr>
              <w:spacing w:after="40" w:line="240" w:lineRule="auto"/>
            </w:pPr>
            <w:r/>
            <w:r>
              <w:rPr>
                <w:sz w:val="20"/>
              </w:rPr>
              <w:t>L / H</w:t>
            </w:r>
          </w:p>
        </w:tc>
        <w:tc>
          <w:tcPr>
            <w:tcW w:type="dxa" w:w="2664"/>
          </w:tcPr>
          <w:p>
            <w:pPr>
              <w:spacing w:after="40" w:line="240" w:lineRule="auto"/>
            </w:pPr>
            <w:r/>
            <w:r>
              <w:rPr>
                <w:sz w:val="20"/>
              </w:rPr>
              <w:t>Infrastructural. Overextended at entry; at exit the refund and the verification requirements imposed from outside bound extension without producing an assessment, an imposed underextension rather than calibration</w:t>
            </w:r>
          </w:p>
        </w:tc>
        <w:tc>
          <w:tcPr>
            <w:tcW w:type="dxa" w:w="1368"/>
          </w:tcPr>
          <w:p>
            <w:pPr>
              <w:spacing w:after="40" w:line="240" w:lineRule="auto"/>
            </w:pPr>
            <w:r/>
            <w:r>
              <w:rPr>
                <w:sz w:val="20"/>
              </w:rPr>
              <w:t>Fortune 2025; CFO Dive 2025</w:t>
            </w:r>
          </w:p>
        </w:tc>
      </w:tr>
      <w:tr>
        <w:trPr>
          <w:cantSplit w:val="true"/>
        </w:trPr>
        <w:tc>
          <w:tcPr>
            <w:tcW w:type="dxa" w:w="1728"/>
          </w:tcPr>
          <w:p>
            <w:pPr>
              <w:spacing w:after="40" w:line="240" w:lineRule="auto"/>
            </w:pPr>
            <w:r/>
            <w:r>
              <w:rPr>
                <w:sz w:val="20"/>
              </w:rPr>
              <w:t>OpenAI and Hugging Face sandbox breach and postmortem, 2026</w:t>
            </w:r>
          </w:p>
        </w:tc>
        <w:tc>
          <w:tcPr>
            <w:tcW w:type="dxa" w:w="864"/>
          </w:tcPr>
          <w:p>
            <w:pPr>
              <w:spacing w:after="40" w:line="240" w:lineRule="auto"/>
            </w:pPr>
            <w:r/>
            <w:r>
              <w:rPr>
                <w:sz w:val="20"/>
              </w:rPr>
              <w:t>L / H</w:t>
            </w:r>
          </w:p>
        </w:tc>
        <w:tc>
          <w:tcPr>
            <w:tcW w:type="dxa" w:w="864"/>
          </w:tcPr>
          <w:p>
            <w:pPr>
              <w:spacing w:after="40" w:line="240" w:lineRule="auto"/>
            </w:pPr>
            <w:r/>
            <w:r>
              <w:rPr>
                <w:sz w:val="20"/>
              </w:rPr>
              <w:t>L / H</w:t>
            </w:r>
          </w:p>
        </w:tc>
        <w:tc>
          <w:tcPr>
            <w:tcW w:type="dxa" w:w="1008"/>
          </w:tcPr>
          <w:p>
            <w:pPr>
              <w:spacing w:after="40" w:line="240" w:lineRule="auto"/>
            </w:pPr>
            <w:r/>
            <w:r>
              <w:rPr>
                <w:sz w:val="20"/>
              </w:rPr>
              <w:t>L / H</w:t>
            </w:r>
          </w:p>
        </w:tc>
        <w:tc>
          <w:tcPr>
            <w:tcW w:type="dxa" w:w="864"/>
          </w:tcPr>
          <w:p>
            <w:pPr>
              <w:spacing w:after="40" w:line="240" w:lineRule="auto"/>
            </w:pPr>
            <w:r/>
            <w:r>
              <w:rPr>
                <w:sz w:val="20"/>
              </w:rPr>
              <w:t>L / H</w:t>
            </w:r>
          </w:p>
        </w:tc>
        <w:tc>
          <w:tcPr>
            <w:tcW w:type="dxa" w:w="2664"/>
          </w:tcPr>
          <w:p>
            <w:pPr>
              <w:spacing w:after="40" w:line="240" w:lineRule="auto"/>
            </w:pPr>
            <w:r/>
            <w:r>
              <w:rPr>
                <w:sz w:val="20"/>
              </w:rPr>
              <w:t>Infrastructural. Overextended at entry; at exit the producer’s postmortem returned usable findings and the added isolation and pause rules bounded extension, moving the infrastructural domain toward calibration; the proposed legislation is not relied on for the exit code</w:t>
            </w:r>
          </w:p>
        </w:tc>
        <w:tc>
          <w:tcPr>
            <w:tcW w:type="dxa" w:w="1368"/>
          </w:tcPr>
          <w:p>
            <w:pPr>
              <w:spacing w:after="40" w:line="240" w:lineRule="auto"/>
            </w:pPr>
            <w:r/>
            <w:r>
              <w:rPr>
                <w:sz w:val="20"/>
              </w:rPr>
              <w:t>Reuters 2026; CNBC 2026; OpenAI 2026</w:t>
            </w:r>
          </w:p>
        </w:tc>
      </w:tr>
      <w:tr>
        <w:trPr>
          <w:cantSplit w:val="true"/>
        </w:trPr>
        <w:tc>
          <w:tcPr>
            <w:tcW w:type="dxa" w:w="1728"/>
          </w:tcPr>
          <w:p>
            <w:pPr>
              <w:spacing w:after="40" w:line="240" w:lineRule="auto"/>
            </w:pPr>
            <w:r/>
            <w:r>
              <w:rPr>
                <w:sz w:val="20"/>
              </w:rPr>
              <w:t>Vercel breach through a connected AI vendor, 2026</w:t>
            </w:r>
          </w:p>
        </w:tc>
        <w:tc>
          <w:tcPr>
            <w:tcW w:type="dxa" w:w="864"/>
          </w:tcPr>
          <w:p>
            <w:pPr>
              <w:spacing w:after="40" w:line="240" w:lineRule="auto"/>
            </w:pPr>
            <w:r/>
            <w:r>
              <w:rPr>
                <w:sz w:val="20"/>
              </w:rPr>
              <w:t>L / H</w:t>
            </w:r>
          </w:p>
        </w:tc>
        <w:tc>
          <w:tcPr>
            <w:tcW w:type="dxa" w:w="864"/>
          </w:tcPr>
          <w:p>
            <w:pPr>
              <w:spacing w:after="40" w:line="240" w:lineRule="auto"/>
            </w:pPr>
            <w:r/>
            <w:r>
              <w:rPr>
                <w:sz w:val="20"/>
              </w:rPr>
              <w:t>L / H</w:t>
            </w:r>
          </w:p>
        </w:tc>
        <w:tc>
          <w:tcPr>
            <w:tcW w:type="dxa" w:w="1008"/>
          </w:tcPr>
          <w:p>
            <w:pPr>
              <w:spacing w:after="40" w:line="240" w:lineRule="auto"/>
            </w:pPr>
            <w:r/>
            <w:r>
              <w:rPr>
                <w:sz w:val="20"/>
              </w:rPr>
              <w:t>U / L</w:t>
            </w:r>
          </w:p>
        </w:tc>
        <w:tc>
          <w:tcPr>
            <w:tcW w:type="dxa" w:w="864"/>
          </w:tcPr>
          <w:p>
            <w:pPr>
              <w:spacing w:after="40" w:line="240" w:lineRule="auto"/>
            </w:pPr>
            <w:r/>
            <w:r>
              <w:rPr>
                <w:sz w:val="20"/>
              </w:rPr>
              <w:t>L / H</w:t>
            </w:r>
          </w:p>
        </w:tc>
        <w:tc>
          <w:tcPr>
            <w:tcW w:type="dxa" w:w="2664"/>
          </w:tcPr>
          <w:p>
            <w:pPr>
              <w:spacing w:after="40" w:line="240" w:lineRule="auto"/>
            </w:pPr>
            <w:r/>
            <w:r>
              <w:rPr>
                <w:sz w:val="20"/>
              </w:rPr>
              <w:t>Infrastructural. Overextended at entry; at exit the vendor connection deprecated and removed and the configuration defaults tightened, bounding extension without an assessment that would raise warrant</w:t>
            </w:r>
          </w:p>
        </w:tc>
        <w:tc>
          <w:tcPr>
            <w:tcW w:type="dxa" w:w="1368"/>
          </w:tcPr>
          <w:p>
            <w:pPr>
              <w:spacing w:after="40" w:line="240" w:lineRule="auto"/>
            </w:pPr>
            <w:r/>
            <w:r>
              <w:rPr>
                <w:sz w:val="20"/>
              </w:rPr>
              <w:t>Vercel 2026; Rauch 2026</w:t>
            </w:r>
          </w:p>
        </w:tc>
      </w:tr>
      <w:tr>
        <w:trPr>
          <w:cantSplit w:val="true"/>
        </w:trPr>
        <w:tc>
          <w:tcPr>
            <w:tcW w:type="dxa" w:w="1728"/>
          </w:tcPr>
          <w:p>
            <w:pPr>
              <w:spacing w:after="40" w:line="240" w:lineRule="auto"/>
            </w:pPr>
            <w:r/>
            <w:r>
              <w:rPr>
                <w:sz w:val="20"/>
              </w:rPr>
              <w:t>McKinsey Lilli platform entered by an autonomous agent, 2026</w:t>
            </w:r>
          </w:p>
        </w:tc>
        <w:tc>
          <w:tcPr>
            <w:tcW w:type="dxa" w:w="864"/>
          </w:tcPr>
          <w:p>
            <w:pPr>
              <w:spacing w:after="40" w:line="240" w:lineRule="auto"/>
            </w:pPr>
            <w:r/>
            <w:r>
              <w:rPr>
                <w:sz w:val="20"/>
              </w:rPr>
              <w:t>U / L</w:t>
            </w:r>
          </w:p>
        </w:tc>
        <w:tc>
          <w:tcPr>
            <w:tcW w:type="dxa" w:w="864"/>
          </w:tcPr>
          <w:p>
            <w:pPr>
              <w:spacing w:after="40" w:line="240" w:lineRule="auto"/>
            </w:pPr>
            <w:r/>
            <w:r>
              <w:rPr>
                <w:sz w:val="20"/>
              </w:rPr>
              <w:t>L / H</w:t>
            </w:r>
          </w:p>
        </w:tc>
        <w:tc>
          <w:tcPr>
            <w:tcW w:type="dxa" w:w="1008"/>
          </w:tcPr>
          <w:p>
            <w:pPr>
              <w:spacing w:after="40" w:line="240" w:lineRule="auto"/>
            </w:pPr>
            <w:r/>
            <w:r>
              <w:rPr>
                <w:sz w:val="20"/>
              </w:rPr>
              <w:t>U / L</w:t>
            </w:r>
          </w:p>
        </w:tc>
        <w:tc>
          <w:tcPr>
            <w:tcW w:type="dxa" w:w="864"/>
          </w:tcPr>
          <w:p>
            <w:pPr>
              <w:spacing w:after="40" w:line="240" w:lineRule="auto"/>
            </w:pPr>
            <w:r/>
            <w:r>
              <w:rPr>
                <w:sz w:val="20"/>
              </w:rPr>
              <w:t>L / H</w:t>
            </w:r>
          </w:p>
        </w:tc>
        <w:tc>
          <w:tcPr>
            <w:tcW w:type="dxa" w:w="2664"/>
          </w:tcPr>
          <w:p>
            <w:pPr>
              <w:spacing w:after="40" w:line="240" w:lineRule="auto"/>
            </w:pPr>
            <w:r/>
            <w:r>
              <w:rPr>
                <w:sz w:val="20"/>
              </w:rPr>
              <w:t>Infrastructural. Overextended at entry; at exit the patch verified by the outside researcher raised infrastructural warrant while the fixes bounded use, the register’s first adopter-side movement toward calibration</w:t>
            </w:r>
          </w:p>
        </w:tc>
        <w:tc>
          <w:tcPr>
            <w:tcW w:type="dxa" w:w="1368"/>
          </w:tcPr>
          <w:p>
            <w:pPr>
              <w:spacing w:after="40" w:line="240" w:lineRule="auto"/>
            </w:pPr>
            <w:r/>
            <w:r>
              <w:rPr>
                <w:sz w:val="20"/>
              </w:rPr>
              <w:t>CodeWall 2026; McKinsey and Company 2026</w:t>
            </w:r>
          </w:p>
        </w:tc>
      </w:tr>
    </w:tbl>
    <w:p>
      <w:pPr>
        <w:spacing w:before="120" w:after="200" w:line="240" w:lineRule="auto"/>
      </w:pPr>
      <w:r>
        <w:rPr>
          <w:i/>
          <w:sz w:val="20"/>
        </w:rPr>
        <w:t>Note. Cells report entry warrant / extension (H high, L low, U unobservable). The trajectory column gives the reconciled exit; coding rules and agreement appear in Section 3.4 and Appendix A.</w:t>
      </w:r>
    </w:p>
    <w:p>
      <w:pPr>
        <w:keepNext/>
        <w:pageBreakBefore/>
        <w:spacing w:before="120" w:after="0" w:line="240" w:lineRule="auto"/>
        <w:jc w:val="center"/>
      </w:pPr>
      <w:r>
        <w:drawing>
          <wp:inline xmlns:a="http://schemas.openxmlformats.org/drawingml/2006/main" xmlns:pic="http://schemas.openxmlformats.org/drawingml/2006/picture">
            <wp:extent cx="5486400" cy="7258929"/>
            <wp:docPr id="1" name="Picture 1"/>
            <wp:cNvGraphicFramePr>
              <a:graphicFrameLocks noChangeAspect="1"/>
            </wp:cNvGraphicFramePr>
            <a:graphic>
              <a:graphicData uri="http://schemas.openxmlformats.org/drawingml/2006/picture">
                <pic:pic>
                  <pic:nvPicPr>
                    <pic:cNvPr id="0" name="fig1_v9.png"/>
                    <pic:cNvPicPr/>
                  </pic:nvPicPr>
                  <pic:blipFill>
                    <a:blip r:embed="rId12"/>
                    <a:stretch>
                      <a:fillRect/>
                    </a:stretch>
                  </pic:blipFill>
                  <pic:spPr>
                    <a:xfrm>
                      <a:off x="0" y="0"/>
                      <a:ext cx="5486400" cy="7258929"/>
                    </a:xfrm>
                    <a:prstGeom prst="rect"/>
                  </pic:spPr>
                </pic:pic>
              </a:graphicData>
            </a:graphic>
          </wp:inline>
        </w:drawing>
      </w:r>
    </w:p>
    <w:p>
      <w:pPr>
        <w:spacing w:before="80" w:after="240" w:line="240" w:lineRule="auto"/>
        <w:jc w:val="center"/>
      </w:pPr>
      <w:r>
        <w:rPr>
          <w:b/>
          <w:sz w:val="20"/>
        </w:rPr>
        <w:t>Figure 1.  Mesotrust Configuration, Calibration State, and Collaborative Outcomes: The Theoretical Model</w:t>
      </w:r>
    </w:p>
    <w:p>
      <w:pPr>
        <w:keepNext/>
        <w:pageBreakBefore/>
        <w:spacing w:before="120" w:after="0" w:line="240" w:lineRule="auto"/>
        <w:jc w:val="center"/>
      </w:pPr>
      <w:r>
        <w:drawing>
          <wp:inline xmlns:a="http://schemas.openxmlformats.org/drawingml/2006/main" xmlns:pic="http://schemas.openxmlformats.org/drawingml/2006/picture">
            <wp:extent cx="5486400" cy="7258929"/>
            <wp:docPr id="2" name="Picture 2"/>
            <wp:cNvGraphicFramePr>
              <a:graphicFrameLocks noChangeAspect="1"/>
            </wp:cNvGraphicFramePr>
            <a:graphic>
              <a:graphicData uri="http://schemas.openxmlformats.org/drawingml/2006/picture">
                <pic:pic>
                  <pic:nvPicPr>
                    <pic:cNvPr id="0" name="fig2_v9.png"/>
                    <pic:cNvPicPr/>
                  </pic:nvPicPr>
                  <pic:blipFill>
                    <a:blip r:embed="rId13"/>
                    <a:stretch>
                      <a:fillRect/>
                    </a:stretch>
                  </pic:blipFill>
                  <pic:spPr>
                    <a:xfrm>
                      <a:off x="0" y="0"/>
                      <a:ext cx="5486400" cy="7258929"/>
                    </a:xfrm>
                    <a:prstGeom prst="rect"/>
                  </pic:spPr>
                </pic:pic>
              </a:graphicData>
            </a:graphic>
          </wp:inline>
        </w:drawing>
      </w:r>
    </w:p>
    <w:p>
      <w:pPr>
        <w:spacing w:before="80" w:after="240" w:line="240" w:lineRule="auto"/>
        <w:jc w:val="center"/>
      </w:pPr>
      <w:r>
        <w:rPr>
          <w:b/>
          <w:sz w:val="20"/>
        </w:rPr>
        <w:t>Figure 2.  Ecosystem Calibration-State Typology: Four Archetypes in the Warrant-by-Extension Space</w:t>
      </w:r>
    </w:p>
    <w:p>
      <w:pPr>
        <w:keepNext/>
        <w:pageBreakBefore/>
        <w:spacing w:before="120" w:after="0" w:line="240" w:lineRule="auto"/>
        <w:jc w:val="center"/>
      </w:pPr>
      <w:r>
        <w:drawing>
          <wp:inline xmlns:a="http://schemas.openxmlformats.org/drawingml/2006/main" xmlns:pic="http://schemas.openxmlformats.org/drawingml/2006/picture">
            <wp:extent cx="5486400" cy="7258929"/>
            <wp:docPr id="3" name="Picture 3"/>
            <wp:cNvGraphicFramePr>
              <a:graphicFrameLocks noChangeAspect="1"/>
            </wp:cNvGraphicFramePr>
            <a:graphic>
              <a:graphicData uri="http://schemas.openxmlformats.org/drawingml/2006/picture">
                <pic:pic>
                  <pic:nvPicPr>
                    <pic:cNvPr id="0" name="fig3_v9.png"/>
                    <pic:cNvPicPr/>
                  </pic:nvPicPr>
                  <pic:blipFill>
                    <a:blip r:embed="rId14"/>
                    <a:stretch>
                      <a:fillRect/>
                    </a:stretch>
                  </pic:blipFill>
                  <pic:spPr>
                    <a:xfrm>
                      <a:off x="0" y="0"/>
                      <a:ext cx="5486400" cy="7258929"/>
                    </a:xfrm>
                    <a:prstGeom prst="rect"/>
                  </pic:spPr>
                </pic:pic>
              </a:graphicData>
            </a:graphic>
          </wp:inline>
        </w:drawing>
      </w:r>
    </w:p>
    <w:p>
      <w:pPr>
        <w:spacing w:before="80" w:after="240" w:line="240" w:lineRule="auto"/>
        <w:jc w:val="center"/>
      </w:pPr>
      <w:r>
        <w:rPr>
          <w:b/>
          <w:sz w:val="20"/>
        </w:rPr>
        <w:t>Figure 3.  The Process Model of Calibration: Calibration as a Process (Upper Tier) and the Transitions It Produces Among the Four Archetypes (Lower Tier)</w:t>
      </w:r>
    </w:p>
    <w:sectPr w:rsidR="004C7F5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86055902">
    <w:abstractNumId w:val="8"/>
  </w:num>
  <w:num w:numId="2" w16cid:durableId="578294391">
    <w:abstractNumId w:val="6"/>
  </w:num>
  <w:num w:numId="3" w16cid:durableId="1097364755">
    <w:abstractNumId w:val="5"/>
  </w:num>
  <w:num w:numId="4" w16cid:durableId="1858352626">
    <w:abstractNumId w:val="4"/>
  </w:num>
  <w:num w:numId="5" w16cid:durableId="1450272519">
    <w:abstractNumId w:val="7"/>
  </w:num>
  <w:num w:numId="6" w16cid:durableId="1069963346">
    <w:abstractNumId w:val="3"/>
  </w:num>
  <w:num w:numId="7" w16cid:durableId="885025205">
    <w:abstractNumId w:val="2"/>
  </w:num>
  <w:num w:numId="8" w16cid:durableId="187329492">
    <w:abstractNumId w:val="1"/>
  </w:num>
  <w:num w:numId="9" w16cid:durableId="662857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B0F38"/>
    <w:rsid w:val="00324B48"/>
    <w:rsid w:val="00326F90"/>
    <w:rsid w:val="00411774"/>
    <w:rsid w:val="004C7F5C"/>
    <w:rsid w:val="006030E0"/>
    <w:rsid w:val="00660A42"/>
    <w:rsid w:val="006860D7"/>
    <w:rsid w:val="007A225D"/>
    <w:rsid w:val="00806F30"/>
    <w:rsid w:val="008658E0"/>
    <w:rsid w:val="008A6B06"/>
    <w:rsid w:val="008E75EE"/>
    <w:rsid w:val="009F6B54"/>
    <w:rsid w:val="00A20F09"/>
    <w:rsid w:val="00AA1D8D"/>
    <w:rsid w:val="00B47730"/>
    <w:rsid w:val="00B63607"/>
    <w:rsid w:val="00B65485"/>
    <w:rsid w:val="00C262C9"/>
    <w:rsid w:val="00C55757"/>
    <w:rsid w:val="00CB0664"/>
    <w:rsid w:val="00D850D7"/>
    <w:rsid w:val="00DA78BC"/>
    <w:rsid w:val="00E17EFA"/>
    <w:rsid w:val="00F55B23"/>
    <w:rsid w:val="00F61E49"/>
    <w:rsid w:val="00FC693F"/>
    <w:rsid w:val="00FD0B2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D990491-0F44-4534-AF23-35826F478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outlineLvl w:val="0"/>
    </w:pPr>
    <w:rPr>
      <w:rFonts w:ascii="Times New Roman" w:hAnsi="Times New Roman" w:eastAsia="Times New Roman" w:cs="Times New Roman"/>
      <w:b/>
      <w:bCs/>
      <w:sz w:val="24"/>
      <w:szCs w:val="28"/>
    </w:rPr>
  </w:style>
  <w:style w:type="paragraph" w:styleId="Heading2">
    <w:name w:val="heading 2"/>
    <w:basedOn w:val="Normal"/>
    <w:next w:val="Normal"/>
    <w:link w:val="Heading2Char"/>
    <w:uiPriority w:val="9"/>
    <w:unhideWhenUsed/>
    <w:qFormat/>
    <w:rsid w:val="00FC693F"/>
    <w:pPr>
      <w:keepNext/>
      <w:keepLines/>
      <w:outlineLvl w:val="1"/>
    </w:pPr>
    <w:rPr>
      <w:rFonts w:ascii="Times New Roman" w:hAnsi="Times New Roman" w:eastAsia="Times New Roman" w:cs="Times New Roman"/>
      <w:b/>
      <w:bCs/>
      <w:i/>
      <w:sz w:val="24"/>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imes New Roman" w:hAnsi="Times New Roman" w:eastAsia="Times New Roman" w:cs="Times New Roman"/>
      <w:b/>
      <w:bCs/>
      <w:sz w:val="24"/>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imes New Roman" w:hAnsi="Times New Roman" w:eastAsia="Times New Roman" w:cs="Times New Roman"/>
      <w:spacing w:val="5"/>
      <w:kern w:val="28"/>
      <w:sz w:val="2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69</Pages>
  <Words>23775</Words>
  <Characters>135524</Characters>
  <Application>Microsoft Office Word</Application>
  <DocSecurity>0</DocSecurity>
  <Lines>1129</Lines>
  <Paragraphs>317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158982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Racing Past Trust: Calibrating Mesotrust in AI-Enabled Organizational Ecosystems</dc:title>
  <dc:subject/>
  <dc:creator/>
  <cp:keywords/>
  <dc:description/>
  <cp:lastModifiedBy/>
  <cp:revision>1</cp:revision>
  <dcterms:created xsi:type="dcterms:W3CDTF">2026-09-17T16:47:00Z</dcterms:created>
  <dcterms:modified xsi:type="dcterms:W3CDTF">2026-09-17T19:25:00Z</dcterms:modified>
  <cp:category/>
</cp:coreProperties>
</file>