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Heading1"/>
      </w:pPr>
      <w:r>
        <w:t xml:space="preserve">Theoretical Framework</w:t>
      </w:r>
    </w:p>
    <w:p>
      <w:pPr/>
      <w:r>
        <w:rPr>
          <w:b/>
        </w:rPr>
        <w:t xml:space="preserve">Narrative Multiplicity, Narrative Humility, and Close Reading in the Analysis of Illness Narratives</w:t>
      </w:r>
    </w:p>
    <w:p>
      <w:pPr>
        <w:pStyle w:val="Heading2"/>
      </w:pPr>
      <w:r>
        <w:t xml:space="preserve">Introduction</w:t>
      </w:r>
    </w:p>
    <w:p>
      <w:pPr/>
      <w:r>
        <w:t xml:space="preserve">This study approaches illness narratives through three connected sources. The first is Stella Bolaki's argument, in </w:t>
      </w:r>
      <w:r>
        <w:rPr>
          <w:i/>
        </w:rPr>
        <w:t xml:space="preserve">Illness as Many Narratives: Arts, Medicine and Culture</w:t>
      </w:r>
      <w:r>
        <w:t xml:space="preserve"> (2016), that illness narratives are plural in form and that debates about the limits of narrative should widen the category rather than abandon it. The second is Sayantani DasGupta's concept of narrative humility, set out in </w:t>
      </w:r>
      <w:r>
        <w:rPr>
          <w:i/>
        </w:rPr>
        <w:t xml:space="preserve">The Principles and Practice of Narrative Medicine</w:t>
      </w:r>
      <w:r>
        <w:t xml:space="preserve"> (Charon et al., 2017), which supplies an ethics of reading. The third is Rita Charon's account of close reading in the same volume, from which the study takes four analytical categories: time, space, voice, and metaphor. The three sources do different work. Bolaki supplies the </w:t>
      </w:r>
      <w:r>
        <w:rPr>
          <w:b/>
        </w:rPr>
        <w:t xml:space="preserve">conceptual premise</w:t>
      </w:r>
      <w:r>
        <w:t xml:space="preserve">: what an illness narrative is and how it exceeds a single form. DasGupta supplies the </w:t>
      </w:r>
      <w:r>
        <w:rPr>
          <w:b/>
        </w:rPr>
        <w:t xml:space="preserve">ethical stance</w:t>
      </w:r>
      <w:r>
        <w:t xml:space="preserve">: how a reader should hold an account that can never be fully known. Charon supplies the </w:t>
      </w:r>
      <w:r>
        <w:rPr>
          <w:b/>
        </w:rPr>
        <w:t xml:space="preserve">method</w:t>
      </w:r>
      <w:r>
        <w:t xml:space="preserve">: the procedure through which a text is actually read.</w:t>
      </w:r>
    </w:p>
    <w:p>
      <w:pPr/>
      <w:r>
        <w:t xml:space="preserve">Both books originate in the medical humanities, and neither was written as a manual for literary criticism. Bolaki's corpus consists of photography, artists' books, performance, documentary film, theatre, and animated documentary, not of novels. Charon's close reading is presented within a program of teaching clinicians and students. This framework therefore adapts these ideas to the analysis of literary texts. The sections below state what each source argues, quote its own formulations, and explain how each is carried into the analysis.</w:t>
      </w:r>
    </w:p>
    <w:p>
      <w:pPr>
        <w:pStyle w:val="Heading2"/>
      </w:pPr>
      <w:r>
        <w:t xml:space="preserve">1. Illness as Many Narratives: Multiplicity and the Limits of Narrative</w:t>
      </w:r>
    </w:p>
    <w:p>
      <w:pPr>
        <w:pStyle w:val="Heading3"/>
      </w:pPr>
      <w:r>
        <w:t xml:space="preserve">1.1 The premise of multiplicity</w:t>
      </w:r>
    </w:p>
    <w:p>
      <w:pPr/>
      <w:r>
        <w:t xml:space="preserve">Bolaki's introduction begins with a claim that organizes the whole book: it "starts from the premise that illness narratives are characterised by multiplicity" (1). She reaches this premise through her late father's unpublished account of his cancer. That account is neither "straightforward" nor "single": "In its multiplicity of styles, it refuses easy categorisation" (1). Diary entries with medical detail sit inside a larger life narrative, which in turn sits inside what she calls a "narrative of community" (1). Drawings and </w:t>
      </w:r>
      <w:r>
        <w:rPr>
          <w:i/>
        </w:rPr>
        <w:t xml:space="preserve">mantinádes</w:t>
      </w:r>
      <w:r>
        <w:t xml:space="preserve">, a Cretan oral tradition of improvised rhyming couplets, interrupt the prose (2).</w:t>
      </w:r>
    </w:p>
    <w:p>
      <w:pPr/>
      <w:r>
        <w:t xml:space="preserve">Two observations from this opening are carried into the present study. First, Bolaki insists that a representation of illness is mediated: "as a representation, it did not offer unmediated access to his lived experience during the years of his illness" (2). Second, she denies that mediation weakens the text: "this does not lessen the work's expressive power," and the fragmentation and switches of genre "draw attention to the contingent nature and inadequacy of verbal forms of communication, and the affective excess that cannot be contained by them" (2). On this view, formal disruption is a way of registering what language cannot hold, and it should not be read as a flaw. The same view underlies the way this study treats rupture, fragmentation, and generic mixing in the primary texts.</w:t>
      </w:r>
    </w:p>
    <w:p>
      <w:pPr>
        <w:pStyle w:val="Heading3"/>
      </w:pPr>
      <w:r>
        <w:t xml:space="preserve">1.2 The critique of narrative normativity</w:t>
      </w:r>
    </w:p>
    <w:p>
      <w:pPr/>
      <w:r>
        <w:t xml:space="preserve">Bolaki places her project within a debate. She reports that, despite the recognized value of illness narratives for narrative medicine, Angela Woods's essay "The Limits of Narrative" raises "a series of pressing questions about the use of narrative" (5). Woods's central concern is what Bolaki calls "the normativity of narrativity," glossed as "the suggestion that conceiving one's life as a narrative or story is fundamentally healthy, desirable and necessary" (Woods, qtd. in Bolaki 5). Bolaki links this assumption to Arthur Frank's typology, in which "the quest narrative is presented as an ideal to which everyone should aspire" (5). In Frank's words, "Restitution stories attempt to outdistance mortality by rendering illness transitory. Chaos stories are sucked into the undertow of illness and the disasters that attend it. Quest stories meet suffering head on; they accept illness and seek to use it" (qtd. in Bolaki 5).</w:t>
      </w:r>
    </w:p>
    <w:p>
      <w:pPr/>
      <w:r>
        <w:t xml:space="preserve">Woods's own question is sharper: "What place is there for formlessness, for meaninglessness, for silence?" (qtd. in Bolaki 5). Bolaki adds that Woods does not recommend that scholars "discourage patients and doctors from telling stories"; she urges the field "to foster a critical approach to the normative scripts of particular kinds of narrative" (qtd. in Bolaki 5–6). This gives the study a critical question to bring to any text: which scripts of restitution, chaos, or quest does the narrative follow, and which does it resist? It also gives the study permission to attend to the places where narrative itself breaks down.</w:t>
      </w:r>
    </w:p>
    <w:p>
      <w:pPr>
        <w:pStyle w:val="Heading3"/>
      </w:pPr>
      <w:r>
        <w:t xml:space="preserve">1.3 Bolaki's response: expanding rather than abandoning narrative</w:t>
      </w:r>
    </w:p>
    <w:p>
      <w:pPr/>
      <w:r>
        <w:t xml:space="preserve">Bolaki accepts the force of Woods's critique but declines its conclusion. "Woods' reminder of the limits of narrative is an important intervention in the field," she writes, "but there is more to say about this term" (6). Her book therefore "retains the term 'narrative' even as it defamiliarises it by linking it to different media and artistic forms" (6). Her diagnosis of the field's earlier habits is pointed: there has been a tendency "to treat narrative as synonymous with verbal, if not literary, expression and to define it in terms of linearity and coherence" (6). Against this she cites scholarship showing that "illness stories often challenge chronological causality and unity" (6), and she draws on Cheryl Mattingly's notion of "emergent narratives," which are "'embodied' and 'improvised' rather than told" (6).</w:t>
      </w:r>
    </w:p>
    <w:p>
      <w:pPr/>
      <w:r>
        <w:t xml:space="preserve">Bolaki also complicates Woods's proposed alternatives to narrative. Metaphor and photography, she argues, "function in this way, rather than as strictly anti-narrative modes" (7), and Woods herself calls metaphors "building blocks of narrative" (qtd. in Bolaki 7). The method she describes is immanent: "the category of illness narrative can be opened up by addressing some of its limits and conservative assumptions from within, that is, through the works' own generic multiplicity and mixed-media nature" (7). She concludes that "expanding rather than limiting current definitions and approaches to illness narrative can benefit medicine, the arts and cultural studies" (7), and she gives her title a double meaning: "the many narratives of illness in all the senses of this phrase: the multiplicity of illnesses and their treatments; the different arts and media that need to be included" (7).</w:t>
      </w:r>
    </w:p>
    <w:p>
      <w:pPr>
        <w:pStyle w:val="Heading3"/>
      </w:pPr>
      <w:r>
        <w:t xml:space="preserve">1.4 Adapting Bolaki to literary analysis</w:t>
      </w:r>
    </w:p>
    <w:p>
      <w:pPr/>
      <w:r>
        <w:t xml:space="preserve">Bolaki's focus is not fiction. Her case studies are "word and image in photography; stories and images or distinct visual modalities in documentary film; text and the various other elements of an artist's book; performance art and theatrical conventions in autobiographical theatre; and animated drawing and documentary voice in animated documentary" (7). Applying her argument to literary texts therefore requires deliberate adaptation, and the study makes four moves.</w:t>
      </w:r>
    </w:p>
    <w:p>
      <w:pPr>
        <w:pStyle w:val="ListParagraph"/>
        <w:numPr>
          <w:ilvl w:val="0"/>
          <w:numId w:val="2"/>
        </w:numPr>
      </w:pPr>
      <w:r>
        <w:rPr>
          <w:b/>
        </w:rPr>
        <w:t xml:space="preserve">Multiplicity within a single text.</w:t>
      </w:r>
      <w:r>
        <w:t xml:space="preserve"> Bolaki finds plurality in mixed media. The study looks for the literary equivalents: shifts of narrator, changes of genre or register, embedded documents, interruptions of the plot, and competing temporal orders. A novel's formal variety is read as an instance of Bolaki's "generic multiplicity" and as part of how the text represents illness.</w:t>
      </w:r>
    </w:p>
    <w:p>
      <w:pPr>
        <w:pStyle w:val="ListParagraph"/>
        <w:numPr>
          <w:ilvl w:val="0"/>
          <w:numId w:val="2"/>
        </w:numPr>
      </w:pPr>
      <w:r>
        <w:rPr>
          <w:b/>
        </w:rPr>
        <w:t xml:space="preserve">Resistance to normative scripts.</w:t>
      </w:r>
      <w:r>
        <w:t xml:space="preserve"> Following Woods and Frank as Bolaki reports them, the study asks whether a text consoles with restitution, offers the quest as an ideal, or leaves room for the "formlessness" and "silence" Woods names.</w:t>
      </w:r>
    </w:p>
    <w:p>
      <w:pPr>
        <w:pStyle w:val="ListParagraph"/>
        <w:numPr>
          <w:ilvl w:val="0"/>
          <w:numId w:val="2"/>
        </w:numPr>
      </w:pPr>
      <w:r>
        <w:rPr>
          <w:b/>
        </w:rPr>
        <w:t xml:space="preserve">Limits as objects of analysis.</w:t>
      </w:r>
      <w:r>
        <w:t xml:space="preserve"> Because Bolaki reads the "inadequacy of verbal forms of communication" (2) as meaningful, gaps, evasions, and breakdowns of language are analyzed as part of the text's meaning and are not treated as failures to be repaired.</w:t>
      </w:r>
    </w:p>
    <w:p>
      <w:pPr>
        <w:pStyle w:val="ListParagraph"/>
        <w:numPr>
          <w:ilvl w:val="0"/>
          <w:numId w:val="2"/>
        </w:numPr>
      </w:pPr>
      <w:r>
        <w:rPr>
          <w:b/>
        </w:rPr>
        <w:t xml:space="preserve">Critical distance from the fictional text.</w:t>
      </w:r>
      <w:r>
        <w:t xml:space="preserve"> Bolaki observes that a representation offers no "unmediated access" to lived experience (2). The study carries this over to fiction, which is doubly mediated by author and narrator. The analysis therefore speaks of how illness is </w:t>
      </w:r>
      <w:r>
        <w:rPr>
          <w:i/>
        </w:rPr>
        <w:t xml:space="preserve">narrated</w:t>
      </w:r>
      <w:r>
        <w:t xml:space="preserve"> in the text. It does not claim that the text transparently reveals how illness is </w:t>
      </w:r>
      <w:r>
        <w:rPr>
          <w:i/>
        </w:rPr>
        <w:t xml:space="preserve">experienced</w:t>
      </w:r>
      <w:r>
        <w:t xml:space="preserve">.</w:t>
      </w:r>
    </w:p>
    <w:p>
      <w:pPr/>
      <w:r>
        <w:t xml:space="preserve">These moves are the study's own extensions of Bolaki's argument. They are not claims she makes about novels.</w:t>
      </w:r>
    </w:p>
    <w:p>
      <w:pPr>
        <w:pStyle w:val="Heading2"/>
      </w:pPr>
      <w:r>
        <w:t xml:space="preserve">2. Narrative Humility: An Ethics of Reading</w:t>
      </w:r>
    </w:p>
    <w:p>
      <w:pPr>
        <w:pStyle w:val="Heading3"/>
      </w:pPr>
      <w:r>
        <w:t xml:space="preserve">2.1 DasGupta's concept</w:t>
      </w:r>
    </w:p>
    <w:p>
      <w:pPr/>
      <w:r>
        <w:t xml:space="preserve">The study's ethical commitments come from Sayantani DasGupta's chapter in </w:t>
      </w:r>
      <w:r>
        <w:rPr>
          <w:i/>
        </w:rPr>
        <w:t xml:space="preserve">The Principles and Practice of Narrative Medicine</w:t>
      </w:r>
      <w:r>
        <w:t xml:space="preserve">, "The Politics of the Pedagogy: Cripping, Queering and Un-homing Health Humanities." The chapter names "three pedagogical pillars supporting socially just narrative practices": "narrative humility, structural competency, and engaged pedagogy" (DasGupta 148). Narrative humility is the pillar most relevant to reading, and the study draws on it in particular.</w:t>
      </w:r>
    </w:p>
    <w:p>
      <w:pPr/>
      <w:r>
        <w:t xml:space="preserve">DasGupta traces the concept to her 2008 writing, "adapting the idea from Melanie Tervalon and Jann Murray-García's term cultural humility" (148). Tervalon and Murray-García, she explains, argued that medicine "tends to reify culture into fixed facts, which encourages practitioners to approach cultural background as something they can completely understand" (148). Narrative humility extends this caution "to all narratives a clinician encounters, not just those of people identified as cultural 'others'" (148). It is a stance of "wonder and the understanding that some aspect of their stories will necessarily be unfamiliar or unknowable" (148). The reader's first task, on this account, is reflexive: "rather than looking out and learning all there is to know about racially marginalized or other communities, clinicians begin by looking inward and becoming aware of our own prejudices, expectations, and frames of listening" (148).</w:t>
      </w:r>
    </w:p>
    <w:p>
      <w:pPr>
        <w:pStyle w:val="Heading3"/>
      </w:pPr>
      <w:r>
        <w:t xml:space="preserve">2.2 The gap between story and storyteller</w:t>
      </w:r>
    </w:p>
    <w:p>
      <w:pPr/>
      <w:r>
        <w:t xml:space="preserve">Charon's chapter on close reading restates DasGupta's idea in terms that fit literary analysis closely. Charon describes narrative humility as "the awareness of the impossibility of knowing accurately what another's account fully encompasses" ("Close Reading" 173). She then quotes DasGupta directly: "We cannot ever claim to comprehend the totality of another's story, which is only ever an approximation for the totality of another's self" (DasGupta, qtd. in Charon, "Close Reading" 173). A story is thus an approximation of its teller. A teller is always larger than the telling, and a reader is always positioned outside it. The quotation continues by describing stories as "not objects that we can comprehend or master, but rather dynamic entities that we can approach and engage with, while simultaneously remaining open to their ambiguity and contradiction, and engaging in constant self-evaluation and self-critique" (qtd. in Charon, "Close Reading" 173).</w:t>
      </w:r>
    </w:p>
    <w:p>
      <w:pPr/>
      <w:r>
        <w:t xml:space="preserve">Charon extends the point beyond the clinic: "Whether a story is heard in a clinic office or a novel by James, the receiver of the account of the other can only approximate, near, guess, wonder about what the source of the story might have had in mind" ("Close Reading" 173). She places this humility at the base of close reading itself: "A position of non-totalizing elemental contingency undergirds our reading of literary texts, our responding to one another's creative writing, and our witnessing of events in healthcare" (173). This passage is the study's license for applying narrative humility to fiction. It comes from the same book that supplies the method, and it names "literary texts" explicitly.</w:t>
      </w:r>
    </w:p>
    <w:p>
      <w:pPr>
        <w:pStyle w:val="Heading3"/>
      </w:pPr>
      <w:r>
        <w:t xml:space="preserve">2.3 Power and positionality</w:t>
      </w:r>
    </w:p>
    <w:p>
      <w:pPr/>
      <w:r>
        <w:t xml:space="preserve">DasGupta's chapter also addresses power. In health humanities teaching, narrative humility "requires that we teachers and facilitators reflect on our own power when we teach and elicit narratives from our students" (149). The relevant questions concern whose voices are heard and how disagreement is received (149). The study is not a classroom, but the point carries over: a critic holds interpretive power over the text and over the experience of illness it represents. Narrative humility asks the critic to state the limits of the critic's own position and to avoid presenting an interpretation as the final account of a teller's self.</w:t>
      </w:r>
    </w:p>
    <w:p>
      <w:pPr>
        <w:pStyle w:val="Heading3"/>
      </w:pPr>
      <w:r>
        <w:t xml:space="preserve">2.4 Narrative humility in this study</w:t>
      </w:r>
    </w:p>
    <w:p>
      <w:pPr/>
      <w:r>
        <w:t xml:space="preserve">Humility, as the study uses it, is a discipline of reading and is not an excuse for vagueness. It has three consequences.</w:t>
      </w:r>
    </w:p>
    <w:p>
      <w:pPr>
        <w:pStyle w:val="ListParagraph"/>
        <w:numPr>
          <w:ilvl w:val="0"/>
          <w:numId w:val="3"/>
        </w:numPr>
      </w:pPr>
      <w:r>
        <w:rPr>
          <w:b/>
        </w:rPr>
        <w:t xml:space="preserve">Claims are framed as approximations.</w:t>
      </w:r>
      <w:r>
        <w:t xml:space="preserve"> Interpretations are offered as readings that "approximate" and "wonder about" (Charon, "Close Reading" 173), and the analysis says where a text withholds information, resists paraphrase, or leaves an experience unrepresented.</w:t>
      </w:r>
    </w:p>
    <w:p>
      <w:pPr>
        <w:pStyle w:val="ListParagraph"/>
        <w:numPr>
          <w:ilvl w:val="0"/>
          <w:numId w:val="3"/>
        </w:numPr>
      </w:pPr>
      <w:r>
        <w:rPr>
          <w:b/>
        </w:rPr>
        <w:t xml:space="preserve">Ambiguity is preserved.</w:t>
      </w:r>
      <w:r>
        <w:t xml:space="preserve"> DasGupta's language of remaining "open to their ambiguity and contradiction" (qtd. in Charon, "Close Reading" 173) governs how the study treats contradictory details, unreliable narration, and unresolved endings. These are weighed as features of the text, and the analysis does not resolve them to produce a single meaning.</w:t>
      </w:r>
    </w:p>
    <w:p>
      <w:pPr>
        <w:pStyle w:val="ListParagraph"/>
        <w:numPr>
          <w:ilvl w:val="0"/>
          <w:numId w:val="3"/>
        </w:numPr>
      </w:pPr>
      <w:r>
        <w:rPr>
          <w:b/>
        </w:rPr>
        <w:t xml:space="preserve">The critic's frames are named.</w:t>
      </w:r>
      <w:r>
        <w:t xml:space="preserve"> Following DasGupta's inward turn toward "our own prejudices, expectations, and frames of listening" (148), the study acknowledges the critical, cultural, and theoretical lenses it brings, and avoids treating them as neutral.</w:t>
      </w:r>
    </w:p>
    <w:p>
      <w:pPr/>
      <w:r>
        <w:t xml:space="preserve">Narrative humility also connects to Bolaki's argument. For Bolaki, multiplicity and the "affective excess that cannot be contained" (2) show that no single form can capture illness. For DasGupta and Charon, a story can never be fully comprehended by its receiver. The two claims support each other: a plural narrative calls for a humble reader.</w:t>
      </w:r>
    </w:p>
    <w:p>
      <w:pPr>
        <w:pStyle w:val="Heading2"/>
      </w:pPr>
      <w:r>
        <w:t xml:space="preserve">3. Close Reading: Charon's Four Analytical Categories</w:t>
      </w:r>
    </w:p>
    <w:p>
      <w:pPr>
        <w:pStyle w:val="Heading3"/>
      </w:pPr>
      <w:r>
        <w:t xml:space="preserve">3.1 Close reading as method</w:t>
      </w:r>
    </w:p>
    <w:p>
      <w:pPr/>
      <w:r>
        <w:t xml:space="preserve">Charon's "A Framework for Teaching Close Reading" (chapter 8) describes how readers can attend to a text's features. The close reader, she writes, "squanders none of the evidence of meaning from any linguistic, structural, metaphorical, allusive, poetic, or rhetorical aspect of either a sentence or an utterance" ("Framework" 181). Readers become oriented to "a set of features encountered in almost any text: time, space, genre, metaphor, voice, mood, and a relationship with the text itself" (181). She acknowledges that separating them is a methodological device: "These features can be artificially separated from one another for the sake of seeing each clearly" (181). Her analogy is musical, comparing the reader to a pianist who practices each hand separately before combining them (181). Detailed attention to each feature gives readers access to the whole: "By paying detailed and disciplined attention to each of several narrative features of texts, readers find doors into them" (181).</w:t>
      </w:r>
    </w:p>
    <w:p>
      <w:pPr/>
      <w:r>
        <w:t xml:space="preserve">The chapter is a teaching framework, and its examples include seminars that pair close reading with spontaneous writing prompts (184). This study uses only the analytical core of the chapter. It takes four of the features Charon discusses at length (time, space, voice, and metaphor) as analytical tools for reading literary texts. It does not adopt the clinical-pedagogical apparatus around them, including the volume's attention–representation–affiliation model, because its object is textual analysis and not clinical or classroom practice.</w:t>
      </w:r>
    </w:p>
    <w:p>
      <w:pPr>
        <w:pStyle w:val="Heading3"/>
      </w:pPr>
      <w:r>
        <w:t xml:space="preserve">3.2 Time</w:t>
      </w:r>
    </w:p>
    <w:p>
      <w:pPr/>
      <w:r>
        <w:t xml:space="preserve">Charon begins by stating that "narrative studies have been obsessed with time" (184). She surveys a long line of thought, from Augustine's account of "a present of things past, a present of things present, a present of things future" (185) to Lukács's claim that "the entire inner action of the novel is nothing but a struggle against the power of time" (qtd. in Charon, "Framework" 185). She cites Ricoeur's formulation that "[T]ime is both what passes and flows away and, on the other hand, what endures and remains" (185), and his proposal that "time becomes human to the extent that it is articulated through a narrative mode" (185). The literary artists, she adds, have been "the laboratories for a linguistic depiction of time's paradoxes" (186).</w:t>
      </w:r>
    </w:p>
    <w:p>
      <w:pPr/>
      <w:r>
        <w:t xml:space="preserve">For the present study, time is read at the level of structure and syntax. The analysis asks how the text orders events, where it moves between past and present, and where it compresses, delays, or suspends duration. Charon's own reading of a short poem models the procedure: her group notes that past-tense verbs "attest to this account being given as a retrospect," while the final lines "felt as if they were uttered in the very act of witnessing" (187). Close reading of this kind registers whether an illness narrative is told from within the experience or from a distance after it. This is also a point where Bolaki's critique applies, since illness stories "often challenge chronological causality and unity" (Bolaki 6), and the temporal structure of a text shows whether it follows or resists the normative arc of restitution or quest.</w:t>
      </w:r>
    </w:p>
    <w:p>
      <w:pPr>
        <w:pStyle w:val="Heading3"/>
      </w:pPr>
      <w:r>
        <w:t xml:space="preserve">3.3 Space</w:t>
      </w:r>
    </w:p>
    <w:p>
      <w:pPr/>
      <w:r>
        <w:t xml:space="preserve">Charon introduces space as what "is irrefutably material" ("Framework" 190). Her principal tool is Bakhtin's chronotope, in which "spatial and temporal indicators are fused into one carefully thought-out, concrete whole" (qtd. in Charon, "Framework" 190). She notes that, within narrative medicine, the chronotope "solidifies the abstract categories of time and space into palpability" (190). She also recommends a concrete practice: "Inspecting the space described in a literary text or depicted in a work of visual art can provide a key to the meanings hidden within" (191). She draws on Bachelard for the idea that space "seized upon by the imagination cannot remain indifferent space" (qtd. in Charon, "Framework" 191), and on Michel de Certeau's distinction between place and space (191).</w:t>
      </w:r>
    </w:p>
    <w:p>
      <w:pPr/>
      <w:r>
        <w:t xml:space="preserve">The study applies this by examining the settings in which illness occurs: rooms, institutions, domestic interiors, and thresholds. It also attends to how the body itself is spatialized. Charon calls narrative medicine "a nondualistic effort to appreciate the spatial nature of a body, both within its individual biological frame and within its social and political and professional frame" (191). The analysis asks how a text's spaces shape the ill person's experience, and which spaces confine, expose, or shelter.</w:t>
      </w:r>
    </w:p>
    <w:p>
      <w:pPr>
        <w:pStyle w:val="Heading3"/>
      </w:pPr>
      <w:r>
        <w:t xml:space="preserve">3.4 Voice</w:t>
      </w:r>
    </w:p>
    <w:p>
      <w:pPr/>
      <w:r>
        <w:t xml:space="preserve">Charon frames voice through a set of questions: "Who tells a narrative? To whom is the narrative told?" ("Framework" 194). To attend to voice is to ask about "the creator," "the narrator chosen by the creator," "the role of the receiver," and "the contact made between the creator and the receiver" (194). She stresses that voice "need not come from one individual" and can be "emitted by a Greek chorus, collective social minds, plural minds" (194), which suits Bolaki's emphasis on multiplicity. She also insists that "Voice is a sociocultural and ethical concern as well as a literary one" (194). Citing Brockmeier and Harré, she notes that "Stories are told from 'positions'" in "local moral orders in which the rights and duties of persons as speakers influence the location of the prime authorial voice" (qtd. in Charon, "Framework" 195). The healthcare setting makes the point sharply: "Power asymmetries of class, race, gender identity, preferred language, and health status all complicate the hearing-out of persons marginalized on any of these bases" (195).</w:t>
      </w:r>
    </w:p>
    <w:p>
      <w:pPr/>
      <w:r>
        <w:t xml:space="preserve">This category links directly to narrative humility. To ask who speaks, and from what position, is to recognize that a voice is a position and not a transparent window onto a self. In the primary texts, the study examines the choice of narrator, the distance between narrator and character, the presence of silenced or absent voices, and the way the voice of medical authority interacts with the voice of the ill person. Charon's account of what readers gain from questions of voice is a statement of humility in practice: readers become "better prepared, on hearing or reading a story, to wonder about the teller, to wonder about the consequences of this teller meeting this listener, and maybe to wonder about the listener too" (200).</w:t>
      </w:r>
    </w:p>
    <w:p>
      <w:pPr>
        <w:pStyle w:val="Heading3"/>
      </w:pPr>
      <w:r>
        <w:t xml:space="preserve">3.5 Metaphor</w:t>
      </w:r>
    </w:p>
    <w:p>
      <w:pPr/>
      <w:r>
        <w:t xml:space="preserve">Charon opens her discussion of metaphor with Wallace Stevens: "Metaphor [is] the creation of resemblance by the imagination" (200). She explains that figural language conveys "thought or perception from a creator to a receiver in excess of its content" (201), and that "Metaphor defamiliarizes the actual, making of it a mirror by virtue of placing things side by side that do not seem to belong side by side" (201). She cites Derek Attridge's description of the experience of reading a metaphor as "the registering of an anomaly, the searching for a sense that would fit with the literary context, the experience of strangeness that is produced, the richness of the meanings made possible by the indeterminacy of the metaphor" (qtd. in Charon, "Framework" 201). Her conclusion is that metaphor "resists reduction and defies capture" (201).</w:t>
      </w:r>
    </w:p>
    <w:p>
      <w:pPr/>
      <w:r>
        <w:t xml:space="preserve">This resistance explains why metaphor matters for illness narratives. It follows that the study treats figurative language as a site of both meaning and excess. The analysis identifies recurring figures (for the body, disease, or the passage of time), examines the logic of resemblance they establish, and notes where they exceed or contradict the narrative they serve. Bolaki's observation that metaphor is a "building block" of narrative and not its opposite (7) supports this approach. It also keeps the analysis modest: since metaphor "is not open to manipulation or domination" (Charon, "Framework" 201, paraphrased), the study offers its readings of figures as interpretations that preserve indeterminacy.</w:t>
      </w:r>
    </w:p>
    <w:p>
      <w:pPr>
        <w:pStyle w:val="Heading2"/>
      </w:pPr>
      <w:r>
        <w:t xml:space="preserve">4. Integrating the Framework: Analytical Procedure</w:t>
      </w:r>
    </w:p>
    <w:p>
      <w:pPr/>
      <w:r>
        <w:t xml:space="preserve">The three components operate together. Bolaki's multiplicity determines what the study looks for: plural forms, resisted scripts, and meaningful limits. Charon's four categories determine how the text is examined at the level of detail. DasGupta's narrative humility determines the stance in which findings are stated. The table below summarizes the relation.</w:t>
      </w:r>
    </w:p>
    <w:tbl>
      <w:tblPr>
        <w:tblStyle w:val="TableGrid"/>
        <w:tblW w:w="0" w:type="auto"/>
        <w:tblLayout w:type="fixed"/>
        <w:tblLook w:val="04A0" w:firstRow="1" w:lastRow="0" w:firstColumn="0" w:lastColumn="0" w:noHBand="0" w:noVBand="1"/>
      </w:tblPr>
      <w:tblGrid>
        <w:gridCol w:w="2340"/>
        <w:gridCol w:w="2340"/>
        <w:gridCol w:w="2340"/>
        <w:gridCol w:w="2340"/>
      </w:tblGrid>
      <w:tr>
        <w:trPr>
          <w:tblHeader/>
        </w:trPr>
        <w:tc>
          <w:tcPr>
            <w:tcW w:w="2340" w:type="dxa"/>
            <w:shd w:val="clear" w:color="auto" w:fill="F2F2F2"/>
          </w:tcPr>
          <w:p>
            <w:pPr/>
            <w:r>
              <w:t xml:space="preserve">Category</w:t>
            </w:r>
          </w:p>
        </w:tc>
        <w:tc>
          <w:tcPr>
            <w:tcW w:w="2340" w:type="dxa"/>
            <w:shd w:val="clear" w:color="auto" w:fill="F2F2F2"/>
          </w:tcPr>
          <w:p>
            <w:pPr/>
            <w:r>
              <w:t xml:space="preserve">Analytical question</w:t>
            </w:r>
          </w:p>
        </w:tc>
        <w:tc>
          <w:tcPr>
            <w:tcW w:w="2340" w:type="dxa"/>
            <w:shd w:val="clear" w:color="auto" w:fill="F2F2F2"/>
          </w:tcPr>
          <w:p>
            <w:pPr/>
            <w:r>
              <w:t xml:space="preserve">Link to Bolaki</w:t>
            </w:r>
          </w:p>
        </w:tc>
        <w:tc>
          <w:tcPr>
            <w:tcW w:w="2340" w:type="dxa"/>
            <w:shd w:val="clear" w:color="auto" w:fill="F2F2F2"/>
          </w:tcPr>
          <w:p>
            <w:pPr/>
            <w:r>
              <w:t xml:space="preserve">Link to narrative humility</w:t>
            </w:r>
          </w:p>
        </w:tc>
      </w:tr>
      <w:tr>
        <w:tc>
          <w:tcPr>
            <w:tcW w:w="2340" w:type="dxa"/>
          </w:tcPr>
          <w:p>
            <w:pPr/>
            <w:r>
              <w:t xml:space="preserve">Time</w:t>
            </w:r>
          </w:p>
        </w:tc>
        <w:tc>
          <w:tcPr>
            <w:tcW w:w="2340" w:type="dxa"/>
          </w:tcPr>
          <w:p>
            <w:pPr/>
            <w:r>
              <w:t xml:space="preserve">How is duration ordered, suspended, or retrospective?</w:t>
            </w:r>
          </w:p>
        </w:tc>
        <w:tc>
          <w:tcPr>
            <w:tcW w:w="2340" w:type="dxa"/>
          </w:tcPr>
          <w:p>
            <w:pPr/>
            <w:r>
              <w:t xml:space="preserve">Challenges to "chronological causality and unity" (6)</w:t>
            </w:r>
          </w:p>
        </w:tc>
        <w:tc>
          <w:tcPr>
            <w:tcW w:w="2340" w:type="dxa"/>
          </w:tcPr>
          <w:p>
            <w:pPr/>
            <w:r>
              <w:t xml:space="preserve">Retrospection as approximation; acknowledging what the account withholds</w:t>
            </w:r>
          </w:p>
        </w:tc>
      </w:tr>
      <w:tr>
        <w:tc>
          <w:tcPr>
            <w:tcW w:w="2340" w:type="dxa"/>
          </w:tcPr>
          <w:p>
            <w:pPr/>
            <w:r>
              <w:t xml:space="preserve">Space</w:t>
            </w:r>
          </w:p>
        </w:tc>
        <w:tc>
          <w:tcPr>
            <w:tcW w:w="2340" w:type="dxa"/>
          </w:tcPr>
          <w:p>
            <w:pPr/>
            <w:r>
              <w:t xml:space="preserve">Which places and bodies does the text map, and how do they shape experience?</w:t>
            </w:r>
          </w:p>
        </w:tc>
        <w:tc>
          <w:tcPr>
            <w:tcW w:w="2340" w:type="dxa"/>
          </w:tcPr>
          <w:p>
            <w:pPr/>
            <w:r>
              <w:t xml:space="preserve">Mixed forms that spatialize experience; the "collective" and "community" contexts of illness (1)</w:t>
            </w:r>
          </w:p>
        </w:tc>
        <w:tc>
          <w:tcPr>
            <w:tcW w:w="2340" w:type="dxa"/>
          </w:tcPr>
          <w:p>
            <w:pPr/>
            <w:r>
              <w:t xml:space="preserve">Place as lived and partial, not "indifferent space" (Charon, "Framework" 191)</w:t>
            </w:r>
          </w:p>
        </w:tc>
      </w:tr>
      <w:tr>
        <w:tc>
          <w:tcPr>
            <w:tcW w:w="2340" w:type="dxa"/>
          </w:tcPr>
          <w:p>
            <w:pPr/>
            <w:r>
              <w:t xml:space="preserve">Voice</w:t>
            </w:r>
          </w:p>
        </w:tc>
        <w:tc>
          <w:tcPr>
            <w:tcW w:w="2340" w:type="dxa"/>
          </w:tcPr>
          <w:p>
            <w:pPr/>
            <w:r>
              <w:t xml:space="preserve">Who tells, to whom, and from what position?</w:t>
            </w:r>
          </w:p>
        </w:tc>
        <w:tc>
          <w:tcPr>
            <w:tcW w:w="2340" w:type="dxa"/>
          </w:tcPr>
          <w:p>
            <w:pPr/>
            <w:r>
              <w:t xml:space="preserve">Plural voices, collective stories, and silences</w:t>
            </w:r>
          </w:p>
        </w:tc>
        <w:tc>
          <w:tcPr>
            <w:tcW w:w="2340" w:type="dxa"/>
          </w:tcPr>
          <w:p>
            <w:pPr/>
            <w:r>
              <w:t xml:space="preserve">Voice as a position; attention to the "rights and duties" of speakers (195)</w:t>
            </w:r>
          </w:p>
        </w:tc>
      </w:tr>
      <w:tr>
        <w:tc>
          <w:tcPr>
            <w:tcW w:w="2340" w:type="dxa"/>
          </w:tcPr>
          <w:p>
            <w:pPr/>
            <w:r>
              <w:t xml:space="preserve">Metaphor</w:t>
            </w:r>
          </w:p>
        </w:tc>
        <w:tc>
          <w:tcPr>
            <w:tcW w:w="2340" w:type="dxa"/>
          </w:tcPr>
          <w:p>
            <w:pPr/>
            <w:r>
              <w:t xml:space="preserve">What resemblances organize the text, and what exceeds them?</w:t>
            </w:r>
          </w:p>
        </w:tc>
        <w:tc>
          <w:tcPr>
            <w:tcW w:w="2340" w:type="dxa"/>
          </w:tcPr>
          <w:p>
            <w:pPr/>
            <w:r>
              <w:t xml:space="preserve">Metaphor as a "building block of narrative" (7)</w:t>
            </w:r>
          </w:p>
        </w:tc>
        <w:tc>
          <w:tcPr>
            <w:tcW w:w="2340" w:type="dxa"/>
          </w:tcPr>
          <w:p>
            <w:pPr/>
            <w:r>
              <w:t xml:space="preserve">Metaphor that "resists reduction" (201); preserved ambiguity</w:t>
            </w:r>
          </w:p>
        </w:tc>
      </w:tr>
    </w:tbl>
    <w:p>
      <w:pPr/>
      <w:r>
        <w:t xml:space="preserve">The procedure for each primary text has four stages.</w:t>
      </w:r>
    </w:p>
    <w:p>
      <w:pPr>
        <w:pStyle w:val="ListParagraph"/>
        <w:numPr>
          <w:ilvl w:val="0"/>
          <w:numId w:val="4"/>
        </w:numPr>
      </w:pPr>
      <w:r>
        <w:rPr>
          <w:b/>
        </w:rPr>
        <w:t xml:space="preserve">Orientation.</w:t>
      </w:r>
      <w:r>
        <w:t xml:space="preserve"> The text is read once for its overall shape. The study notes its generic mixtures, its narrating positions, and the scripts (restitution, chaos, quest) it appears to engage, following Frank as reported by Bolaki (5).</w:t>
      </w:r>
    </w:p>
    <w:p>
      <w:pPr>
        <w:pStyle w:val="ListParagraph"/>
        <w:numPr>
          <w:ilvl w:val="0"/>
          <w:numId w:val="4"/>
        </w:numPr>
      </w:pPr>
      <w:r>
        <w:rPr>
          <w:b/>
        </w:rPr>
        <w:t xml:space="preserve">Category readings.</w:t>
      </w:r>
      <w:r>
        <w:t xml:space="preserve"> Time, space, voice, and metaphor are examined in turn, as Charon recommends, by separating the features "for the sake of seeing each clearly" ("Framework" 181). Each reading attends to particular passages and quotes them.</w:t>
      </w:r>
    </w:p>
    <w:p>
      <w:pPr>
        <w:pStyle w:val="ListParagraph"/>
        <w:numPr>
          <w:ilvl w:val="0"/>
          <w:numId w:val="4"/>
        </w:numPr>
      </w:pPr>
      <w:r>
        <w:rPr>
          <w:b/>
        </w:rPr>
        <w:t xml:space="preserve">Recombination.</w:t>
      </w:r>
      <w:r>
        <w:t xml:space="preserve"> The category readings are brought back together. Charon's claim is that when "all these aspects of the text are then combined, the reader has achieved a deep and unforgettable grasp of what that text has done" (181). The study asks how the four categories interact and where they pull against one another.</w:t>
      </w:r>
    </w:p>
    <w:p>
      <w:pPr>
        <w:pStyle w:val="ListParagraph"/>
        <w:numPr>
          <w:ilvl w:val="0"/>
          <w:numId w:val="4"/>
        </w:numPr>
      </w:pPr>
      <w:r>
        <w:rPr>
          <w:b/>
        </w:rPr>
        <w:t xml:space="preserve">Reflexive statement of limits.</w:t>
      </w:r>
      <w:r>
        <w:t xml:space="preserve"> Each analysis ends by naming what remains unknowable or unresolved in the text and what interpretive assumptions the reading depends on. This stage applies narrative humility and Bolaki's recognition of the limits of verbal representation (2).</w:t>
      </w:r>
    </w:p>
    <w:p>
      <w:pPr>
        <w:pStyle w:val="Heading3"/>
      </w:pPr>
      <w:r>
        <w:t xml:space="preserve">Scope and limits of the framework</w:t>
      </w:r>
    </w:p>
    <w:p>
      <w:pPr/>
      <w:r>
        <w:t xml:space="preserve">The framework has deliberate boundaries. It uses Bolaki's argument about multiplicity and her treatment of Woods's critique, and it does not claim that her case studies about non-literary media apply directly to fiction. It uses narrative humility as an ethic of reading, and it does not claim that a literary critic stands in the same relation to a text as a clinician to a patient. It uses four of Charon's categories as tools of close reading, and it leaves aside the book's wider clinical and pedagogical program. These boundaries keep each source's claims within their original scope while allowing them to support a coherent approach to literary analysis.</w:t>
      </w:r>
    </w:p>
    <w:p>
      <w:pPr>
        <w:pStyle w:val="Heading2"/>
      </w:pPr>
      <w:r>
        <w:t xml:space="preserve">Works Cited</w:t>
      </w:r>
    </w:p>
    <w:p>
      <w:pPr/>
      <w:r>
        <w:t xml:space="preserve">Bolaki, Stella. </w:t>
      </w:r>
      <w:r>
        <w:rPr>
          <w:i/>
        </w:rPr>
        <w:t xml:space="preserve">Illness as Many Narratives: Arts, Medicine and Culture</w:t>
      </w:r>
      <w:r>
        <w:t xml:space="preserve">. Edinburgh UP, 2016.</w:t>
      </w:r>
    </w:p>
    <w:p>
      <w:pPr/>
      <w:r>
        <w:t xml:space="preserve">Charon, Rita. "A Framework for Teaching Close Reading." </w:t>
      </w:r>
      <w:r>
        <w:rPr>
          <w:i/>
        </w:rPr>
        <w:t xml:space="preserve">The Principles and Practice of Narrative Medicine</w:t>
      </w:r>
      <w:r>
        <w:t xml:space="preserve">, by Rita Charon et al., Oxford UP, 2017, pp. 180–210.</w:t>
      </w:r>
    </w:p>
    <w:p>
      <w:pPr/>
      <w:r>
        <w:t xml:space="preserve">---. "Close Reading: The Signature Method of Narrative Medicine." </w:t>
      </w:r>
      <w:r>
        <w:rPr>
          <w:i/>
        </w:rPr>
        <w:t xml:space="preserve">The Principles and Practice of Narrative Medicine</w:t>
      </w:r>
      <w:r>
        <w:t xml:space="preserve">, by Rita Charon et al., Oxford UP, 2017, pp. 157–79.</w:t>
      </w:r>
    </w:p>
    <w:p>
      <w:pPr/>
      <w:r>
        <w:t xml:space="preserve">DasGupta, Sayantani. "The Politics of the Pedagogy: Cripping, Queering and Un-homing Health Humanities." </w:t>
      </w:r>
      <w:r>
        <w:rPr>
          <w:i/>
        </w:rPr>
        <w:t xml:space="preserve">The Principles and Practice of Narrative Medicine</w:t>
      </w:r>
      <w:r>
        <w:t xml:space="preserve">, by Rita Charon et al., Oxford UP, 2017, pp. 137–55.</w:t>
      </w:r>
    </w:p>
    <w:sectPr>
      <w:pgSz w:w="12240" w:h="15840"/>
      <w:pgMar w:top="1440" w:right="1440" w:bottom="1440" w:left="1440" w:header="720" w:footer="720" w:gutter="0"/>
    </w:sectPr>
  </w:body>
</w:document>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lvl>
    <w:lvl w:ilvl="1">
      <w:start w:val="1"/>
      <w:numFmt w:val="bullet"/>
      <w:lvlText w:val="o"/>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o"/>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o"/>
      <w:lvlJc w:val="left"/>
      <w:pPr>
        <w:ind w:left="5760" w:hanging="360"/>
      </w:pPr>
    </w:lvl>
    <w:lvl w:ilvl="8">
      <w:start w:val="1"/>
      <w:numFmt w:val="bullet"/>
      <w:lvlText w:val="▪"/>
      <w:lvlJc w:val="left"/>
      <w:pPr>
        <w:ind w:left="6480" w:hanging="360"/>
      </w:pPr>
    </w:lvl>
  </w:abstractNum>
  <w:abstractNum w:abstractNumId="1">
    <w:multiLevelType w:val="hybrid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0"/>
  </w:num>
  <w:num w:numId="2">
    <w:abstractNumId w:val="1"/>
    <w:lvlOverride w:ilvl="0">
      <w:startOverride w:val="1"/>
    </w:lvlOverride>
  </w:num>
  <w:num w:numId="3">
    <w:abstractNumId w:val="1"/>
    <w:lvlOverride w:ilvl="0">
      <w:startOverride w:val="1"/>
    </w:lvlOverride>
  </w:num>
  <w:num w:numId="4">
    <w:abstractNumId w:val="1"/>
    <w:lvlOverride w:ilvl="0">
      <w:startOverride w:val="1"/>
    </w:lvlOverride>
  </w:num>
</w:numbering>
</file>

<file path=word/styles.xml><?xml version="1.0" encoding="utf-8"?>
<w:styles xmlns:w="http://schemas.openxmlformats.org/wordprocessingml/2006/main">
  <w:docDefaults>
    <w:rPrDefault>
      <w:rPr>
        <w:rFonts w:ascii="Calibri" w:hAnsi="Calibri" w:eastAsia="Calibri" w:cs="Calibri"/>
        <w:sz w:val="22"/>
        <w:szCs w:val="22"/>
        <w:lang w:val="en-US"/>
      </w:rPr>
    </w:rPrDefault>
    <w:pPrDefault>
      <w:pPr>
        <w:spacing w:after="160" w:line="259" w:lineRule="auto"/>
      </w:pPr>
    </w:pPrDefault>
  </w:docDefaults>
  <w:style w:type="paragraph" w:default="1" w:styleId="Normal">
    <w:name w:val="Normal"/>
    <w:qFormat/>
  </w:style>
  <w:style w:type="paragraph" w:styleId="Heading1">
    <w:name w:val="heading 1"/>
    <w:basedOn w:val="Normal"/>
    <w:next w:val="Normal"/>
    <w:qFormat/>
    <w:pPr>
      <w:keepNext/>
      <w:spacing w:before="360" w:after="120"/>
      <w:outlineLvl w:val="0"/>
    </w:pPr>
    <w:rPr>
      <w:b/>
      <w:sz w:val="32"/>
    </w:rPr>
  </w:style>
  <w:style w:type="paragraph" w:styleId="Heading2">
    <w:name w:val="heading 2"/>
    <w:basedOn w:val="Normal"/>
    <w:next w:val="Normal"/>
    <w:qFormat/>
    <w:pPr>
      <w:keepNext/>
      <w:spacing w:before="280" w:after="100"/>
      <w:outlineLvl w:val="1"/>
    </w:pPr>
    <w:rPr>
      <w:b/>
      <w:sz w:val="26"/>
    </w:rPr>
  </w:style>
  <w:style w:type="paragraph" w:styleId="Heading3">
    <w:name w:val="heading 3"/>
    <w:basedOn w:val="Normal"/>
    <w:next w:val="Normal"/>
    <w:qFormat/>
    <w:pPr>
      <w:keepNext/>
      <w:spacing w:before="240" w:after="80"/>
      <w:outlineLvl w:val="2"/>
    </w:pPr>
    <w:rPr>
      <w:b/>
      <w:sz w:val="24"/>
    </w:rPr>
  </w:style>
  <w:style w:type="paragraph" w:styleId="Heading4">
    <w:name w:val="heading 4"/>
    <w:basedOn w:val="Normal"/>
    <w:next w:val="Normal"/>
    <w:qFormat/>
    <w:pPr>
      <w:keepNext/>
      <w:outlineLvl w:val="3"/>
    </w:pPr>
    <w:rPr>
      <w:b/>
      <w:sz w:val="22"/>
    </w:rPr>
  </w:style>
  <w:style w:type="paragraph" w:styleId="Heading5">
    <w:name w:val="heading 5"/>
    <w:basedOn w:val="Normal"/>
    <w:next w:val="Normal"/>
    <w:qFormat/>
    <w:pPr>
      <w:keepNext/>
      <w:outlineLvl w:val="4"/>
    </w:pPr>
    <w:rPr>
      <w:b/>
      <w:sz w:val="22"/>
    </w:rPr>
  </w:style>
  <w:style w:type="paragraph" w:styleId="Heading6">
    <w:name w:val="heading 6"/>
    <w:basedOn w:val="Normal"/>
    <w:next w:val="Normal"/>
    <w:qFormat/>
    <w:pPr>
      <w:keepNext/>
      <w:outlineLvl w:val="5"/>
    </w:pPr>
    <w:rPr>
      <w:i/>
      <w:sz w:val="22"/>
    </w:rPr>
  </w:style>
  <w:style w:type="paragraph" w:styleId="Title">
    <w:name w:val="Title"/>
    <w:basedOn w:val="Normal"/>
    <w:next w:val="Normal"/>
    <w:qFormat/>
    <w:pPr>
      <w:spacing w:after="80"/>
      <w:contextualSpacing/>
    </w:pPr>
    <w:rPr>
      <w:sz w:val="56"/>
    </w:rPr>
  </w:style>
  <w:style w:type="paragraph" w:styleId="Quote">
    <w:name w:val="Quote"/>
    <w:basedOn w:val="Normal"/>
    <w:qFormat/>
    <w:pPr>
      <w:ind w:left="720" w:right="720"/>
      <w:pBdr>
        <w:left w:val="single" w:sz="12" w:space="8" w:color="A0A0A0"/>
      </w:pBdr>
    </w:pPr>
    <w:rPr>
      <w:i/>
      <w:color w:val="404040"/>
    </w:rPr>
  </w:style>
  <w:style w:type="paragraph" w:styleId="Code">
    <w:name w:val="Code"/>
    <w:basedOn w:val="Normal"/>
    <w:link w:val="CodeChar"/>
    <w:pPr>
      <w:spacing w:after="0" w:line="240" w:lineRule="auto"/>
      <w:contextualSpacing/>
      <w:shd w:val="clear" w:color="auto" w:fill="F5F5F5"/>
    </w:pPr>
    <w:rPr>
      <w:rFonts w:ascii="Consolas" w:hAnsi="Consolas" w:eastAsia="Consolas" w:cs="Consolas"/>
      <w:sz w:val="20"/>
    </w:rPr>
  </w:style>
  <w:style w:type="character" w:styleId="CodeChar">
    <w:name w:val="Code Char"/>
    <w:link w:val="Code"/>
    <w:rPr>
      <w:rFonts w:ascii="Consolas" w:hAnsi="Consolas" w:eastAsia="Consolas" w:cs="Consolas"/>
      <w:sz w:val="20"/>
      <w:shd w:val="clear" w:color="auto" w:fill="F5F5F5"/>
    </w:rPr>
  </w:style>
  <w:style w:type="paragraph" w:styleId="ListParagraph">
    <w:name w:val="List Paragraph"/>
    <w:basedOn w:val="Normal"/>
    <w:qFormat/>
    <w:pPr>
      <w:ind w:left="720"/>
      <w:contextualSpacing/>
    </w:pPr>
  </w:style>
  <w:style w:type="character" w:styleId="Hyperlink">
    <w:name w:val="Hyperlink"/>
    <w:rPr>
      <w:color w:val="0563C1"/>
      <w:u w:val="single"/>
    </w:rPr>
  </w:style>
  <w:style w:type="paragraph" w:styleId="CommentText">
    <w:name w:val="annotation text"/>
    <w:basedOn w:val="Normal"/>
    <w:link w:val="CommentTextChar"/>
    <w:pPr>
      <w:spacing w:line="240" w:lineRule="auto"/>
    </w:pPr>
    <w:rPr>
      <w:sz w:val="20"/>
      <w:szCs w:val="20"/>
    </w:rPr>
  </w:style>
  <w:style w:type="character" w:styleId="CommentReference">
    <w:name w:val="annotation reference"/>
    <w:rPr>
      <w:sz w:val="16"/>
      <w:szCs w:val="16"/>
    </w:rPr>
  </w:style>
  <w:style w:type="table" w:default="1" w:styleId="TableNormal">
    <w:name w:val="Normal Table"/>
    <w:tblPr>
      <w:tblInd w:w="0" w:type="dxa"/>
      <w:tblCellMar>
        <w:top w:w="0" w:type="dxa"/>
        <w:left w:w="108" w:type="dxa"/>
        <w:bottom w:w="0" w:type="dxa"/>
        <w:right w:w="108" w:type="dxa"/>
      </w:tblCellMar>
    </w:tbl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s>
</file>

<file path=docProps/app.xml><?xml version="1.0" encoding="utf-8"?>
<Properties xmlns="http://schemas.openxmlformats.org/officeDocument/2006/extended-properties">
  <Application>Claude Docs</Application>
  <AppVersion>2.0000</AppVersion>
</Properties>
</file>

<file path=docProps/core.xml><?xml version="1.0" encoding="utf-8"?>
<cp:coreProperties xmlns:cp="http://schemas.openxmlformats.org/package/2006/metadata/core-properties" xmlns:dc="http://purl.org/dc/elements/1.1/" xmlns:dcterms="http://purl.org/dc/terms/" xmlns:xsi="http://www.w3.org/2001/XMLSchema-instance">
  <dc:title>Theoretical Framework</dc:title>
  <dc:description>Claude Docs node/bc5e9f7c-688d@1 docx-w6</dc:description>
  <cp:revision>1</cp:revision>
</cp:coreProperties>
</file>